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3AA5872C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06415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E06415" w:rsidRPr="00E06415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d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6CDEB4B2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496EEF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1</w:t>
      </w:r>
      <w:r w:rsidR="00AF7DF1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3</w:t>
      </w:r>
      <w:r w:rsidR="00496EEF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4</w:t>
      </w:r>
    </w:p>
    <w:p w14:paraId="6CA3DF2C" w14:textId="77777777" w:rsidR="00DF7D86" w:rsidRPr="00251481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4671B679" w:rsidR="00DF7D86" w:rsidRDefault="00130F02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29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6C5F3E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E06415">
        <w:rPr>
          <w:rFonts w:ascii="Book Antiqua" w:eastAsia="Book Antiqua" w:hAnsi="Book Antiqua" w:cs="Book Antiqua"/>
          <w:color w:val="000000" w:themeColor="text1"/>
          <w:lang w:val="es-PR"/>
        </w:rPr>
        <w:t>gosto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5</w:t>
      </w:r>
    </w:p>
    <w:p w14:paraId="2714CB15" w14:textId="77777777" w:rsidR="00DF7D86" w:rsidRPr="00251481" w:rsidRDefault="0038510E" w:rsidP="002A065A">
      <w:pPr>
        <w:spacing w:after="240"/>
        <w:jc w:val="both"/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  <w:t>A LA CÁMARA DE REPRESENTANTES DE PUERTO RICO</w:t>
      </w:r>
    </w:p>
    <w:p w14:paraId="48CACF04" w14:textId="09AA15BF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P. de la C. </w:t>
      </w:r>
      <w:r w:rsidR="00496EEF"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="00D56E4A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496EEF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que se encuentran en el 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entrillado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1481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ALCANCE DE LA MEDIDA</w:t>
      </w:r>
    </w:p>
    <w:p w14:paraId="1840F209" w14:textId="09CF7620" w:rsidR="0099305E" w:rsidRPr="004F3EF4" w:rsidRDefault="003B38A4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C1C6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496EEF"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="005D2A7D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496EEF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01EDE" w:rsidRPr="00A01EDE">
        <w:rPr>
          <w:rFonts w:ascii="Book Antiqua" w:eastAsia="Book Antiqua" w:hAnsi="Book Antiqua" w:cs="Book Antiqua"/>
          <w:color w:val="000000" w:themeColor="text1"/>
          <w:lang w:val="es-PR"/>
        </w:rPr>
        <w:t xml:space="preserve">añadir un nuevo Artículo 137, Artículo 137A, Artículo 137B, Artículo 137C y Artículo 137D </w:t>
      </w:r>
      <w:r w:rsidR="006115FC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A01EDE" w:rsidRPr="00A01EDE">
        <w:rPr>
          <w:rFonts w:ascii="Book Antiqua" w:eastAsia="Book Antiqua" w:hAnsi="Book Antiqua" w:cs="Book Antiqua"/>
          <w:color w:val="000000" w:themeColor="text1"/>
          <w:lang w:val="es-PR"/>
        </w:rPr>
        <w:t xml:space="preserve"> la Ley 146</w:t>
      </w:r>
      <w:r w:rsidR="00D80B99">
        <w:rPr>
          <w:rFonts w:ascii="Book Antiqua" w:eastAsia="Book Antiqua" w:hAnsi="Book Antiqua" w:cs="Book Antiqua"/>
          <w:color w:val="000000" w:themeColor="text1"/>
          <w:lang w:val="es-PR"/>
        </w:rPr>
        <w:t>-</w:t>
      </w:r>
      <w:r w:rsidR="00A01EDE" w:rsidRPr="00A01EDE">
        <w:rPr>
          <w:rFonts w:ascii="Book Antiqua" w:eastAsia="Book Antiqua" w:hAnsi="Book Antiqua" w:cs="Book Antiqua"/>
          <w:color w:val="000000" w:themeColor="text1"/>
          <w:lang w:val="es-PR"/>
        </w:rPr>
        <w:t xml:space="preserve">2012, según enmendada, mejor conocida como </w:t>
      </w:r>
      <w:r w:rsidR="00A01EDE" w:rsidRPr="004F3EF4">
        <w:rPr>
          <w:rFonts w:ascii="Book Antiqua" w:eastAsia="Book Antiqua" w:hAnsi="Book Antiqua" w:cs="Book Antiqua"/>
          <w:color w:val="000000" w:themeColor="text1"/>
          <w:lang w:val="es-PR"/>
        </w:rPr>
        <w:t>Código Penal de Puerto Rico</w:t>
      </w:r>
      <w:r w:rsidR="00A01EDE" w:rsidRPr="00A01EDE">
        <w:rPr>
          <w:rFonts w:ascii="Book Antiqua" w:eastAsia="Book Antiqua" w:hAnsi="Book Antiqua" w:cs="Book Antiqua"/>
          <w:color w:val="000000" w:themeColor="text1"/>
          <w:lang w:val="es-PR"/>
        </w:rPr>
        <w:t>, con el fin de crear el delito de exposición obscena frente a menores</w:t>
      </w:r>
      <w:r w:rsidR="0000086C" w:rsidRPr="004F3EF4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</w:p>
    <w:p w14:paraId="4595A8FA" w14:textId="4DC06CF9" w:rsidR="003B38A4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C35AA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ANÁLISIS DE LA MEDIDA</w:t>
      </w:r>
    </w:p>
    <w:p w14:paraId="4A62CE3B" w14:textId="47854540" w:rsidR="00E6000B" w:rsidRDefault="00ED2850" w:rsidP="0089403B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Gobierno </w:t>
      </w:r>
      <w:r w:rsidRPr="00ED2850">
        <w:rPr>
          <w:rFonts w:ascii="Book Antiqua" w:eastAsia="Book Antiqua" w:hAnsi="Book Antiqua" w:cs="Book Antiqua"/>
          <w:color w:val="000000" w:themeColor="text1"/>
          <w:lang w:val="es-PR"/>
        </w:rPr>
        <w:t>tiene un interés apremiante en proteger el derecho de nuestra niñez a crecer en un mundo sano y apropiado donde imperen los más altos valores humanos sin exponerlos a contenido y exposiciones obscenas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591971">
        <w:rPr>
          <w:rFonts w:ascii="Book Antiqua" w:eastAsia="Book Antiqua" w:hAnsi="Book Antiqua" w:cs="Book Antiqua"/>
          <w:color w:val="000000" w:themeColor="text1"/>
          <w:lang w:val="es-PR"/>
        </w:rPr>
        <w:t>C</w:t>
      </w:r>
      <w:r w:rsidR="00591971" w:rsidRPr="00591971">
        <w:rPr>
          <w:rFonts w:ascii="Book Antiqua" w:eastAsia="Book Antiqua" w:hAnsi="Book Antiqua" w:cs="Book Antiqua"/>
          <w:color w:val="000000" w:themeColor="text1"/>
          <w:lang w:val="es-PR"/>
        </w:rPr>
        <w:t>ualquier exposición obscena puede provocar estímulos negativos, traumas, desviaciones y un pobre desarrollo social y emocional del niño que prevalecerá hasta su adultez.</w:t>
      </w:r>
    </w:p>
    <w:p w14:paraId="3305BCC0" w14:textId="3D48FB94" w:rsidR="0089403B" w:rsidRDefault="0089403B" w:rsidP="00ED2850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9403B">
        <w:rPr>
          <w:rFonts w:ascii="Book Antiqua" w:eastAsia="Book Antiqua" w:hAnsi="Book Antiqua" w:cs="Book Antiqua"/>
          <w:color w:val="000000" w:themeColor="text1"/>
          <w:lang w:val="es-PR"/>
        </w:rPr>
        <w:t>En Puerto Rico, existen medidas en pro del bienestar y protección de los menores en temas relacionados al contenido sexual. Por tanto, esta Asamblea Legislativa tiene el deber ministerial de continuar extendiendo protecciones en pro de una niñez libre, sana y protegida.</w:t>
      </w:r>
    </w:p>
    <w:p w14:paraId="19139031" w14:textId="5DF051EF" w:rsidR="008E1A90" w:rsidRDefault="009B0628" w:rsidP="00A173F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Una versión de e</w:t>
      </w:r>
      <w:r w:rsidR="00E6000B">
        <w:rPr>
          <w:rFonts w:ascii="Book Antiqua" w:eastAsia="Book Antiqua" w:hAnsi="Book Antiqua" w:cs="Book Antiqua"/>
          <w:color w:val="000000" w:themeColor="text1"/>
          <w:lang w:val="es-PR"/>
        </w:rPr>
        <w:t>sta medida se presentó durante la pasada Asamb</w:t>
      </w:r>
      <w:r w:rsidR="00715E79">
        <w:rPr>
          <w:rFonts w:ascii="Book Antiqua" w:eastAsia="Book Antiqua" w:hAnsi="Book Antiqua" w:cs="Book Antiqua"/>
          <w:color w:val="000000" w:themeColor="text1"/>
          <w:lang w:val="es-PR"/>
        </w:rPr>
        <w:t>lea Legislativa como el P. de la C. 1821.</w:t>
      </w:r>
      <w:r w:rsidR="00AD1516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1"/>
      </w:r>
      <w:r w:rsidR="00715E7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81770">
        <w:rPr>
          <w:rFonts w:ascii="Book Antiqua" w:eastAsia="Book Antiqua" w:hAnsi="Book Antiqua" w:cs="Book Antiqua"/>
          <w:color w:val="000000" w:themeColor="text1"/>
          <w:lang w:val="es-PR"/>
        </w:rPr>
        <w:t xml:space="preserve">El 9 de noviembre de 2023, </w:t>
      </w:r>
      <w:r w:rsidR="001A18DA">
        <w:rPr>
          <w:rFonts w:ascii="Book Antiqua" w:eastAsia="Book Antiqua" w:hAnsi="Book Antiqua" w:cs="Book Antiqua"/>
          <w:color w:val="000000" w:themeColor="text1"/>
          <w:lang w:val="es-PR"/>
        </w:rPr>
        <w:t xml:space="preserve">esta Comisión presentó un informe positivo en el cual </w:t>
      </w:r>
      <w:r w:rsidR="009E56FC">
        <w:rPr>
          <w:rFonts w:ascii="Book Antiqua" w:eastAsia="Book Antiqua" w:hAnsi="Book Antiqua" w:cs="Book Antiqua"/>
          <w:color w:val="000000" w:themeColor="text1"/>
          <w:lang w:val="es-PR"/>
        </w:rPr>
        <w:t>analizó la medida sin comparecencia de entidad</w:t>
      </w:r>
      <w:r w:rsidR="004D125E">
        <w:rPr>
          <w:rFonts w:ascii="Book Antiqua" w:eastAsia="Book Antiqua" w:hAnsi="Book Antiqua" w:cs="Book Antiqua"/>
          <w:color w:val="000000" w:themeColor="text1"/>
          <w:lang w:val="es-PR"/>
        </w:rPr>
        <w:t xml:space="preserve"> alguna</w:t>
      </w:r>
      <w:r w:rsidR="009E56FC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expresarse. </w:t>
      </w:r>
      <w:r w:rsidR="00272871">
        <w:rPr>
          <w:rFonts w:ascii="Book Antiqua" w:eastAsia="Book Antiqua" w:hAnsi="Book Antiqua" w:cs="Book Antiqua"/>
          <w:color w:val="000000" w:themeColor="text1"/>
          <w:lang w:val="es-PR"/>
        </w:rPr>
        <w:t xml:space="preserve">El 16 de mayo de 2024, </w:t>
      </w:r>
      <w:r w:rsidR="002227F8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2227F8" w:rsidRPr="002227F8">
        <w:rPr>
          <w:rFonts w:ascii="Book Antiqua" w:eastAsia="Book Antiqua" w:hAnsi="Book Antiqua" w:cs="Book Antiqua"/>
          <w:color w:val="000000" w:themeColor="text1"/>
          <w:lang w:val="es-PR"/>
        </w:rPr>
        <w:t>a Comisión de lo Jurídico y Desarrollo Económico del Senado de Puerto Rico</w:t>
      </w:r>
      <w:r w:rsidR="005007F9">
        <w:rPr>
          <w:rFonts w:ascii="Book Antiqua" w:eastAsia="Book Antiqua" w:hAnsi="Book Antiqua" w:cs="Book Antiqua"/>
          <w:color w:val="000000" w:themeColor="text1"/>
          <w:lang w:val="es-PR"/>
        </w:rPr>
        <w:t xml:space="preserve"> también presentó un informe positivo. 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>Procedemos a resumir las ponencias de las entidades que comparecieron</w:t>
      </w:r>
      <w:r w:rsidR="00FC205B">
        <w:rPr>
          <w:rFonts w:ascii="Book Antiqua" w:eastAsia="Book Antiqua" w:hAnsi="Book Antiqua" w:cs="Book Antiqua"/>
          <w:color w:val="000000" w:themeColor="text1"/>
          <w:lang w:val="es-PR"/>
        </w:rPr>
        <w:t xml:space="preserve"> ante el Senado.</w:t>
      </w:r>
      <w:r w:rsidR="005D2AFE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2"/>
      </w:r>
    </w:p>
    <w:p w14:paraId="40F75561" w14:textId="75863500" w:rsidR="00EB0CD9" w:rsidRDefault="00530FFC" w:rsidP="001561A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Sociedad </w:t>
      </w:r>
      <w:r w:rsidR="00E93D4C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para Asistencia Legal</w:t>
      </w:r>
      <w:r w:rsidR="00102587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de Puerto Rico</w:t>
      </w:r>
      <w:r w:rsidR="00E93D4C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E93D4C">
        <w:rPr>
          <w:rFonts w:ascii="Book Antiqua" w:eastAsia="Book Antiqua" w:hAnsi="Book Antiqua" w:cs="Book Antiqua"/>
          <w:color w:val="000000" w:themeColor="text1"/>
          <w:lang w:val="es-PR"/>
        </w:rPr>
        <w:t xml:space="preserve">(SAL) </w:t>
      </w:r>
      <w:r w:rsidR="007121F7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AB163E">
        <w:rPr>
          <w:rFonts w:ascii="Book Antiqua" w:eastAsia="Book Antiqua" w:hAnsi="Book Antiqua" w:cs="Book Antiqua"/>
          <w:color w:val="000000" w:themeColor="text1"/>
          <w:lang w:val="es-PR"/>
        </w:rPr>
        <w:t xml:space="preserve">ntiende que existen disposiciones </w:t>
      </w:r>
      <w:r w:rsidR="0010680D">
        <w:rPr>
          <w:rFonts w:ascii="Book Antiqua" w:eastAsia="Book Antiqua" w:hAnsi="Book Antiqua" w:cs="Book Antiqua"/>
          <w:color w:val="000000" w:themeColor="text1"/>
          <w:lang w:val="es-PR"/>
        </w:rPr>
        <w:t xml:space="preserve">en nuestro ordenamiento jurídico </w:t>
      </w:r>
      <w:r w:rsidR="007121F7">
        <w:rPr>
          <w:rFonts w:ascii="Book Antiqua" w:eastAsia="Book Antiqua" w:hAnsi="Book Antiqua" w:cs="Book Antiqua"/>
          <w:color w:val="000000" w:themeColor="text1"/>
          <w:lang w:val="es-PR"/>
        </w:rPr>
        <w:t xml:space="preserve">—tanto en el </w:t>
      </w:r>
      <w:r w:rsidR="007121F7" w:rsidRPr="00B83BC1">
        <w:rPr>
          <w:rFonts w:ascii="Book Antiqua" w:eastAsia="Book Antiqua" w:hAnsi="Book Antiqua" w:cs="Book Antiqua"/>
          <w:color w:val="000000" w:themeColor="text1"/>
          <w:lang w:val="es-PR"/>
        </w:rPr>
        <w:t>Código Penal</w:t>
      </w:r>
      <w:r w:rsidR="007121F7">
        <w:rPr>
          <w:rFonts w:ascii="Book Antiqua" w:eastAsia="Book Antiqua" w:hAnsi="Book Antiqua" w:cs="Book Antiqua"/>
          <w:color w:val="000000" w:themeColor="text1"/>
          <w:lang w:val="es-PR"/>
        </w:rPr>
        <w:t xml:space="preserve"> como en l</w:t>
      </w:r>
      <w:r w:rsidR="00EE3613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7121F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E3613" w:rsidRPr="00422255">
        <w:rPr>
          <w:rFonts w:ascii="Book Antiqua" w:eastAsia="Book Antiqua" w:hAnsi="Book Antiqua" w:cs="Book Antiqua"/>
          <w:color w:val="000000" w:themeColor="text1"/>
          <w:lang w:val="es-PR"/>
        </w:rPr>
        <w:t>Ley 57-2023</w:t>
      </w:r>
      <w:r w:rsidR="00EE3613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="00A87675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3"/>
      </w:r>
      <w:r w:rsidR="00EE361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0680D">
        <w:rPr>
          <w:rFonts w:ascii="Book Antiqua" w:eastAsia="Book Antiqua" w:hAnsi="Book Antiqua" w:cs="Book Antiqua"/>
          <w:color w:val="000000" w:themeColor="text1"/>
          <w:lang w:val="es-PR"/>
        </w:rPr>
        <w:t xml:space="preserve">que atienden y protegen el desarrollo íntegro de </w:t>
      </w:r>
      <w:r w:rsidR="00206E8A">
        <w:rPr>
          <w:rFonts w:ascii="Book Antiqua" w:eastAsia="Book Antiqua" w:hAnsi="Book Antiqua" w:cs="Book Antiqua"/>
          <w:color w:val="000000" w:themeColor="text1"/>
          <w:lang w:val="es-PR"/>
        </w:rPr>
        <w:t>la niñez</w:t>
      </w:r>
      <w:r w:rsidR="00EE361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206E8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50B2C">
        <w:rPr>
          <w:rFonts w:ascii="Book Antiqua" w:eastAsia="Book Antiqua" w:hAnsi="Book Antiqua" w:cs="Book Antiqua"/>
          <w:color w:val="000000" w:themeColor="text1"/>
          <w:lang w:val="es-PR"/>
        </w:rPr>
        <w:t xml:space="preserve">A su </w:t>
      </w:r>
      <w:r w:rsidR="00206E8A">
        <w:rPr>
          <w:rFonts w:ascii="Book Antiqua" w:eastAsia="Book Antiqua" w:hAnsi="Book Antiqua" w:cs="Book Antiqua"/>
          <w:color w:val="000000" w:themeColor="text1"/>
          <w:lang w:val="es-PR"/>
        </w:rPr>
        <w:t>vez</w:t>
      </w:r>
      <w:r w:rsidR="00050B2C">
        <w:rPr>
          <w:rFonts w:ascii="Book Antiqua" w:eastAsia="Book Antiqua" w:hAnsi="Book Antiqua" w:cs="Book Antiqua"/>
          <w:color w:val="000000" w:themeColor="text1"/>
          <w:lang w:val="es-PR"/>
        </w:rPr>
        <w:t>, estas</w:t>
      </w:r>
      <w:r w:rsidR="00206E8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4731E">
        <w:rPr>
          <w:rFonts w:ascii="Book Antiqua" w:eastAsia="Book Antiqua" w:hAnsi="Book Antiqua" w:cs="Book Antiqua"/>
          <w:color w:val="000000" w:themeColor="text1"/>
          <w:lang w:val="es-PR"/>
        </w:rPr>
        <w:t>ofrecen garantías procesales que aseguran no lacerar injustificadamente el derecho fundamental a la libre expresión</w:t>
      </w:r>
      <w:r w:rsidR="00783933">
        <w:rPr>
          <w:rFonts w:ascii="Book Antiqua" w:eastAsia="Book Antiqua" w:hAnsi="Book Antiqua" w:cs="Book Antiqua"/>
          <w:color w:val="000000" w:themeColor="text1"/>
          <w:lang w:val="es-PR"/>
        </w:rPr>
        <w:t xml:space="preserve"> —distinto a lo propuesto en la medida, la </w:t>
      </w:r>
      <w:r w:rsidR="00952A9C">
        <w:rPr>
          <w:rFonts w:ascii="Book Antiqua" w:eastAsia="Book Antiqua" w:hAnsi="Book Antiqua" w:cs="Book Antiqua"/>
          <w:color w:val="000000" w:themeColor="text1"/>
          <w:lang w:val="es-PR"/>
        </w:rPr>
        <w:t>cual</w:t>
      </w:r>
      <w:r w:rsidR="005D1F4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52A9C">
        <w:rPr>
          <w:rFonts w:ascii="Book Antiqua" w:eastAsia="Book Antiqua" w:hAnsi="Book Antiqua" w:cs="Book Antiqua"/>
          <w:color w:val="000000" w:themeColor="text1"/>
          <w:lang w:val="es-PR"/>
        </w:rPr>
        <w:t xml:space="preserve">parece ser un subterfugio para penalizar conducta constitucionalmente protegida. </w:t>
      </w:r>
    </w:p>
    <w:p w14:paraId="5E7BF440" w14:textId="1407ACEE" w:rsidR="00AB163E" w:rsidRDefault="00E713EE" w:rsidP="001561A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Al analizarse junto a otras disposiciones que suponen una lesión más grave</w:t>
      </w:r>
      <w:r w:rsidR="00353592">
        <w:rPr>
          <w:rFonts w:ascii="Book Antiqua" w:eastAsia="Book Antiqua" w:hAnsi="Book Antiqua" w:cs="Book Antiqua"/>
          <w:color w:val="000000" w:themeColor="text1"/>
          <w:lang w:val="es-PR"/>
        </w:rPr>
        <w:t xml:space="preserve"> a la indemnidad sexual, la medida result</w:t>
      </w:r>
      <w:r w:rsidR="00486978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353592">
        <w:rPr>
          <w:rFonts w:ascii="Book Antiqua" w:eastAsia="Book Antiqua" w:hAnsi="Book Antiqua" w:cs="Book Antiqua"/>
          <w:color w:val="000000" w:themeColor="text1"/>
          <w:lang w:val="es-PR"/>
        </w:rPr>
        <w:t xml:space="preserve"> desproporcional</w:t>
      </w:r>
      <w:r w:rsidR="00E72245">
        <w:rPr>
          <w:rFonts w:ascii="Book Antiqua" w:eastAsia="Book Antiqua" w:hAnsi="Book Antiqua" w:cs="Book Antiqua"/>
          <w:color w:val="000000" w:themeColor="text1"/>
          <w:lang w:val="es-PR"/>
        </w:rPr>
        <w:t>. A manera de ejempl</w:t>
      </w:r>
      <w:r w:rsidR="00B75957"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="00E72245">
        <w:rPr>
          <w:rFonts w:ascii="Book Antiqua" w:eastAsia="Book Antiqua" w:hAnsi="Book Antiqua" w:cs="Book Antiqua"/>
          <w:color w:val="000000" w:themeColor="text1"/>
          <w:lang w:val="es-PR"/>
        </w:rPr>
        <w:t xml:space="preserve">, el </w:t>
      </w:r>
      <w:r w:rsidR="00E72245" w:rsidRPr="00E72245">
        <w:rPr>
          <w:rFonts w:ascii="Book Antiqua" w:eastAsia="Book Antiqua" w:hAnsi="Book Antiqua" w:cs="Book Antiqua"/>
          <w:color w:val="000000" w:themeColor="text1"/>
          <w:lang w:val="es-PR"/>
        </w:rPr>
        <w:t>P. de la C. 1821</w:t>
      </w:r>
      <w:r w:rsidR="00E7224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91145">
        <w:rPr>
          <w:rFonts w:ascii="Book Antiqua" w:eastAsia="Book Antiqua" w:hAnsi="Book Antiqua" w:cs="Book Antiqua"/>
          <w:color w:val="000000" w:themeColor="text1"/>
          <w:lang w:val="es-PR"/>
        </w:rPr>
        <w:t xml:space="preserve">estableció que el </w:t>
      </w:r>
      <w:r w:rsidR="00A836F4" w:rsidRPr="00A836F4">
        <w:rPr>
          <w:rFonts w:ascii="Book Antiqua" w:eastAsia="Book Antiqua" w:hAnsi="Book Antiqua" w:cs="Book Antiqua"/>
          <w:color w:val="000000" w:themeColor="text1"/>
          <w:lang w:val="es-PR"/>
        </w:rPr>
        <w:t>consentimiento de la víctima menor de 16 años no eximirá de responsabilidad penal</w:t>
      </w:r>
      <w:r w:rsidR="00E13FE4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exposiciones obscenas</w:t>
      </w:r>
      <w:r w:rsidR="00A836F4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8C7425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4"/>
      </w:r>
      <w:r w:rsidR="00A836F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D1757">
        <w:rPr>
          <w:rFonts w:ascii="Book Antiqua" w:eastAsia="Book Antiqua" w:hAnsi="Book Antiqua" w:cs="Book Antiqua"/>
          <w:color w:val="000000" w:themeColor="text1"/>
          <w:lang w:val="es-PR"/>
        </w:rPr>
        <w:t xml:space="preserve">La SAL aludió al delito de agresión sexual, </w:t>
      </w:r>
      <w:r w:rsidR="009123CA">
        <w:rPr>
          <w:rFonts w:ascii="Book Antiqua" w:eastAsia="Book Antiqua" w:hAnsi="Book Antiqua" w:cs="Book Antiqua"/>
          <w:color w:val="000000" w:themeColor="text1"/>
          <w:lang w:val="es-PR"/>
        </w:rPr>
        <w:t xml:space="preserve">el cual valida el </w:t>
      </w:r>
      <w:r w:rsidR="002673B6">
        <w:rPr>
          <w:rFonts w:ascii="Book Antiqua" w:eastAsia="Book Antiqua" w:hAnsi="Book Antiqua" w:cs="Book Antiqua"/>
          <w:color w:val="000000" w:themeColor="text1"/>
          <w:lang w:val="es-PR"/>
        </w:rPr>
        <w:t xml:space="preserve">consentimiento de la víctima cuando esta </w:t>
      </w:r>
      <w:r w:rsidR="00917E92">
        <w:rPr>
          <w:rFonts w:ascii="Book Antiqua" w:eastAsia="Book Antiqua" w:hAnsi="Book Antiqua" w:cs="Book Antiqua"/>
          <w:color w:val="000000" w:themeColor="text1"/>
          <w:lang w:val="es-PR"/>
        </w:rPr>
        <w:t xml:space="preserve">es mayor </w:t>
      </w:r>
      <w:r w:rsidR="00917E92" w:rsidRPr="00917E92">
        <w:rPr>
          <w:rFonts w:ascii="Book Antiqua" w:eastAsia="Book Antiqua" w:hAnsi="Book Antiqua" w:cs="Book Antiqua"/>
          <w:color w:val="000000" w:themeColor="text1"/>
          <w:lang w:val="es-PR"/>
        </w:rPr>
        <w:t>de 14 años</w:t>
      </w:r>
      <w:r w:rsidR="0076405E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917E92" w:rsidRPr="00917E92">
        <w:rPr>
          <w:rFonts w:ascii="Book Antiqua" w:eastAsia="Book Antiqua" w:hAnsi="Book Antiqua" w:cs="Book Antiqua"/>
          <w:color w:val="000000" w:themeColor="text1"/>
          <w:lang w:val="es-PR"/>
        </w:rPr>
        <w:t xml:space="preserve"> y la diferencia de edad entre la víctima y el acusado</w:t>
      </w:r>
      <w:r w:rsidR="00926B0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17E92" w:rsidRPr="00917E92">
        <w:rPr>
          <w:rFonts w:ascii="Book Antiqua" w:eastAsia="Book Antiqua" w:hAnsi="Book Antiqua" w:cs="Book Antiqua"/>
          <w:color w:val="000000" w:themeColor="text1"/>
          <w:lang w:val="es-PR"/>
        </w:rPr>
        <w:t>es de cuatro años o menos.</w:t>
      </w:r>
      <w:r w:rsidR="00926B0A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5"/>
      </w:r>
      <w:r w:rsidR="00EC6C0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874AC">
        <w:rPr>
          <w:rFonts w:ascii="Book Antiqua" w:eastAsia="Book Antiqua" w:hAnsi="Book Antiqua" w:cs="Book Antiqua"/>
          <w:color w:val="000000" w:themeColor="text1"/>
          <w:lang w:val="es-PR"/>
        </w:rPr>
        <w:t>As</w:t>
      </w:r>
      <w:r w:rsidR="00D55D23">
        <w:rPr>
          <w:rFonts w:ascii="Book Antiqua" w:eastAsia="Book Antiqua" w:hAnsi="Book Antiqua" w:cs="Book Antiqua"/>
          <w:color w:val="000000" w:themeColor="text1"/>
          <w:lang w:val="es-PR"/>
        </w:rPr>
        <w:t>í, el Código Penal permitiría que un menor mayor de 14 años consient</w:t>
      </w:r>
      <w:r w:rsidR="001F72C1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D55D23">
        <w:rPr>
          <w:rFonts w:ascii="Book Antiqua" w:eastAsia="Book Antiqua" w:hAnsi="Book Antiqua" w:cs="Book Antiqua"/>
          <w:color w:val="000000" w:themeColor="text1"/>
          <w:lang w:val="es-PR"/>
        </w:rPr>
        <w:t xml:space="preserve"> a relaciones sexuales</w:t>
      </w:r>
      <w:r w:rsidR="00710987">
        <w:rPr>
          <w:rFonts w:ascii="Book Antiqua" w:eastAsia="Book Antiqua" w:hAnsi="Book Antiqua" w:cs="Book Antiqua"/>
          <w:color w:val="000000" w:themeColor="text1"/>
          <w:lang w:val="es-PR"/>
        </w:rPr>
        <w:t xml:space="preserve"> pero no a la </w:t>
      </w:r>
      <w:r w:rsidR="00911453">
        <w:rPr>
          <w:rFonts w:ascii="Book Antiqua" w:eastAsia="Book Antiqua" w:hAnsi="Book Antiqua" w:cs="Book Antiqua"/>
          <w:color w:val="000000" w:themeColor="text1"/>
          <w:lang w:val="es-PR"/>
        </w:rPr>
        <w:t>exhibición de genitales en los mismos hechos o circunstancias.</w:t>
      </w:r>
    </w:p>
    <w:p w14:paraId="568C2B63" w14:textId="05C47D57" w:rsidR="00715E79" w:rsidRDefault="0083483F" w:rsidP="00B5254C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Por último, la </w:t>
      </w:r>
      <w:r w:rsidR="00486978">
        <w:rPr>
          <w:rFonts w:ascii="Book Antiqua" w:eastAsia="Book Antiqua" w:hAnsi="Book Antiqua" w:cs="Book Antiqua"/>
          <w:color w:val="000000" w:themeColor="text1"/>
          <w:lang w:val="es-PR"/>
        </w:rPr>
        <w:t>SAL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entendió</w:t>
      </w:r>
      <w:r w:rsidR="0048697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33B5B">
        <w:rPr>
          <w:rFonts w:ascii="Book Antiqua" w:eastAsia="Book Antiqua" w:hAnsi="Book Antiqua" w:cs="Book Antiqua"/>
          <w:color w:val="000000" w:themeColor="text1"/>
          <w:lang w:val="es-PR"/>
        </w:rPr>
        <w:t xml:space="preserve">que el </w:t>
      </w:r>
      <w:r w:rsidR="004F3EF4" w:rsidRPr="00E72245">
        <w:rPr>
          <w:rFonts w:ascii="Book Antiqua" w:eastAsia="Book Antiqua" w:hAnsi="Book Antiqua" w:cs="Book Antiqua"/>
          <w:color w:val="000000" w:themeColor="text1"/>
          <w:lang w:val="es-PR"/>
        </w:rPr>
        <w:t>P. de la C. 1821</w:t>
      </w:r>
      <w:r w:rsidR="004F3EF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86978">
        <w:rPr>
          <w:rFonts w:ascii="Book Antiqua" w:eastAsia="Book Antiqua" w:hAnsi="Book Antiqua" w:cs="Book Antiqua"/>
          <w:color w:val="000000" w:themeColor="text1"/>
          <w:lang w:val="es-PR"/>
        </w:rPr>
        <w:t>repercute significativamente contra la rehabilitación moral y social del individuo</w:t>
      </w:r>
      <w:r w:rsidR="00AE3DD0">
        <w:rPr>
          <w:rFonts w:ascii="Book Antiqua" w:eastAsia="Book Antiqua" w:hAnsi="Book Antiqua" w:cs="Book Antiqua"/>
          <w:color w:val="000000" w:themeColor="text1"/>
          <w:lang w:val="es-PR"/>
        </w:rPr>
        <w:t>. Esto,</w:t>
      </w:r>
      <w:r w:rsidR="00A173F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E3DD0">
        <w:rPr>
          <w:rFonts w:ascii="Book Antiqua" w:eastAsia="Book Antiqua" w:hAnsi="Book Antiqua" w:cs="Book Antiqua"/>
          <w:color w:val="000000" w:themeColor="text1"/>
          <w:lang w:val="es-PR"/>
        </w:rPr>
        <w:t>por</w:t>
      </w:r>
      <w:r w:rsidR="00A173F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E3DD0">
        <w:rPr>
          <w:rFonts w:ascii="Book Antiqua" w:eastAsia="Book Antiqua" w:hAnsi="Book Antiqua" w:cs="Book Antiqua"/>
          <w:color w:val="000000" w:themeColor="text1"/>
          <w:lang w:val="es-PR"/>
        </w:rPr>
        <w:t>incluir el delito de exposición obscena frente a menores en la lista de ofensores sexuales tipo II.</w:t>
      </w:r>
      <w:r w:rsidR="00D8316C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6"/>
      </w:r>
      <w:r w:rsidR="00AE3DD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F72E2">
        <w:rPr>
          <w:rFonts w:ascii="Book Antiqua" w:eastAsia="Book Antiqua" w:hAnsi="Book Antiqua" w:cs="Book Antiqua"/>
          <w:color w:val="000000" w:themeColor="text1"/>
          <w:lang w:val="es-PR"/>
        </w:rPr>
        <w:t xml:space="preserve">La SAL se </w:t>
      </w:r>
      <w:r w:rsidR="00CF72E2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opone al registro de personas convictas </w:t>
      </w:r>
      <w:r w:rsidR="00B328FE">
        <w:rPr>
          <w:rFonts w:ascii="Book Antiqua" w:eastAsia="Book Antiqua" w:hAnsi="Book Antiqua" w:cs="Book Antiqua"/>
          <w:color w:val="000000" w:themeColor="text1"/>
          <w:lang w:val="es-PR"/>
        </w:rPr>
        <w:t>por entender que tal registro constituye un castigo adicional a la pena impuesta.</w:t>
      </w:r>
    </w:p>
    <w:p w14:paraId="33C640D0" w14:textId="5EF8C265" w:rsidR="009060A3" w:rsidRDefault="00B5254C" w:rsidP="00B5254C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Departamento de la Familia </w:t>
      </w:r>
      <w:r w:rsidR="00CA0FEC">
        <w:rPr>
          <w:rFonts w:ascii="Book Antiqua" w:eastAsia="Book Antiqua" w:hAnsi="Book Antiqua" w:cs="Book Antiqua"/>
          <w:color w:val="000000" w:themeColor="text1"/>
          <w:lang w:val="es-PR"/>
        </w:rPr>
        <w:t xml:space="preserve">(DF) </w:t>
      </w:r>
      <w:r w:rsidR="000B4063">
        <w:rPr>
          <w:rFonts w:ascii="Book Antiqua" w:eastAsia="Book Antiqua" w:hAnsi="Book Antiqua" w:cs="Book Antiqua"/>
          <w:color w:val="000000" w:themeColor="text1"/>
          <w:lang w:val="es-PR"/>
        </w:rPr>
        <w:t>coincidi</w:t>
      </w:r>
      <w:r w:rsidR="00EA2162">
        <w:rPr>
          <w:rFonts w:ascii="Book Antiqua" w:eastAsia="Book Antiqua" w:hAnsi="Book Antiqua" w:cs="Book Antiqua"/>
          <w:color w:val="000000" w:themeColor="text1"/>
          <w:lang w:val="es-PR"/>
        </w:rPr>
        <w:t xml:space="preserve">ó con la SAL en que la </w:t>
      </w:r>
      <w:r w:rsidR="00EA2162" w:rsidRPr="00422255">
        <w:rPr>
          <w:rFonts w:ascii="Book Antiqua" w:eastAsia="Book Antiqua" w:hAnsi="Book Antiqua" w:cs="Book Antiqua"/>
          <w:color w:val="000000" w:themeColor="text1"/>
          <w:lang w:val="es-PR"/>
        </w:rPr>
        <w:t>Ley 57-2023</w:t>
      </w:r>
      <w:r w:rsidR="00EA2162">
        <w:rPr>
          <w:rFonts w:ascii="Book Antiqua" w:eastAsia="Book Antiqua" w:hAnsi="Book Antiqua" w:cs="Book Antiqua"/>
          <w:color w:val="000000" w:themeColor="text1"/>
          <w:lang w:val="es-PR"/>
        </w:rPr>
        <w:t xml:space="preserve"> atiende </w:t>
      </w:r>
      <w:r w:rsidR="00CF291D">
        <w:rPr>
          <w:rFonts w:ascii="Book Antiqua" w:eastAsia="Book Antiqua" w:hAnsi="Book Antiqua" w:cs="Book Antiqua"/>
          <w:color w:val="000000" w:themeColor="text1"/>
          <w:lang w:val="es-PR"/>
        </w:rPr>
        <w:t>lo que propone</w:t>
      </w:r>
      <w:r w:rsidR="00C95AC5">
        <w:rPr>
          <w:rFonts w:ascii="Book Antiqua" w:eastAsia="Book Antiqua" w:hAnsi="Book Antiqua" w:cs="Book Antiqua"/>
          <w:color w:val="000000" w:themeColor="text1"/>
          <w:lang w:val="es-PR"/>
        </w:rPr>
        <w:t xml:space="preserve"> la medida legislativa</w:t>
      </w:r>
      <w:r w:rsidR="00CF291D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29786E">
        <w:rPr>
          <w:rFonts w:ascii="Book Antiqua" w:eastAsia="Book Antiqua" w:hAnsi="Book Antiqua" w:cs="Book Antiqua"/>
          <w:color w:val="000000" w:themeColor="text1"/>
          <w:lang w:val="es-PR"/>
        </w:rPr>
        <w:t xml:space="preserve">Inclusive, el Art. </w:t>
      </w:r>
      <w:r w:rsidR="002D67CE">
        <w:rPr>
          <w:rFonts w:ascii="Book Antiqua" w:eastAsia="Book Antiqua" w:hAnsi="Book Antiqua" w:cs="Book Antiqua"/>
          <w:color w:val="000000" w:themeColor="text1"/>
          <w:lang w:val="es-PR"/>
        </w:rPr>
        <w:t xml:space="preserve">53 del referido estatuto </w:t>
      </w:r>
      <w:r w:rsidR="00065929">
        <w:rPr>
          <w:rFonts w:ascii="Book Antiqua" w:eastAsia="Book Antiqua" w:hAnsi="Book Antiqua" w:cs="Book Antiqua"/>
          <w:color w:val="000000" w:themeColor="text1"/>
          <w:lang w:val="es-PR"/>
        </w:rPr>
        <w:t xml:space="preserve">tiene </w:t>
      </w:r>
      <w:r w:rsidR="002D67CE">
        <w:rPr>
          <w:rFonts w:ascii="Book Antiqua" w:eastAsia="Book Antiqua" w:hAnsi="Book Antiqua" w:cs="Book Antiqua"/>
          <w:color w:val="000000" w:themeColor="text1"/>
          <w:lang w:val="es-PR"/>
        </w:rPr>
        <w:t>una pena</w:t>
      </w:r>
      <w:r w:rsidR="001161EB">
        <w:rPr>
          <w:rFonts w:ascii="Book Antiqua" w:eastAsia="Book Antiqua" w:hAnsi="Book Antiqua" w:cs="Book Antiqua"/>
          <w:color w:val="000000" w:themeColor="text1"/>
          <w:lang w:val="es-PR"/>
        </w:rPr>
        <w:t xml:space="preserve"> de reclusión</w:t>
      </w:r>
      <w:r w:rsidR="002D67CE">
        <w:rPr>
          <w:rFonts w:ascii="Book Antiqua" w:eastAsia="Book Antiqua" w:hAnsi="Book Antiqua" w:cs="Book Antiqua"/>
          <w:color w:val="000000" w:themeColor="text1"/>
          <w:lang w:val="es-PR"/>
        </w:rPr>
        <w:t xml:space="preserve"> mayor </w:t>
      </w:r>
      <w:r w:rsidR="007F475E">
        <w:rPr>
          <w:rFonts w:ascii="Book Antiqua" w:eastAsia="Book Antiqua" w:hAnsi="Book Antiqua" w:cs="Book Antiqua"/>
          <w:color w:val="000000" w:themeColor="text1"/>
          <w:lang w:val="es-PR"/>
        </w:rPr>
        <w:t xml:space="preserve">por conducta obscena contra un menor </w:t>
      </w:r>
      <w:r w:rsidR="0025428E">
        <w:rPr>
          <w:rFonts w:ascii="Book Antiqua" w:eastAsia="Book Antiqua" w:hAnsi="Book Antiqua" w:cs="Book Antiqua"/>
          <w:color w:val="000000" w:themeColor="text1"/>
          <w:lang w:val="es-PR"/>
        </w:rPr>
        <w:t>—10 años—</w:t>
      </w:r>
      <w:r w:rsidR="007F475E">
        <w:rPr>
          <w:rFonts w:ascii="Book Antiqua" w:eastAsia="Book Antiqua" w:hAnsi="Book Antiqua" w:cs="Book Antiqua"/>
          <w:color w:val="000000" w:themeColor="text1"/>
          <w:lang w:val="es-PR"/>
        </w:rPr>
        <w:t xml:space="preserve">que la que </w:t>
      </w:r>
      <w:r w:rsidR="00065929">
        <w:rPr>
          <w:rFonts w:ascii="Book Antiqua" w:eastAsia="Book Antiqua" w:hAnsi="Book Antiqua" w:cs="Book Antiqua"/>
          <w:color w:val="000000" w:themeColor="text1"/>
          <w:lang w:val="es-PR"/>
        </w:rPr>
        <w:t>prop</w:t>
      </w:r>
      <w:r w:rsidR="00B66FB7">
        <w:rPr>
          <w:rFonts w:ascii="Book Antiqua" w:eastAsia="Book Antiqua" w:hAnsi="Book Antiqua" w:cs="Book Antiqua"/>
          <w:color w:val="000000" w:themeColor="text1"/>
          <w:lang w:val="es-PR"/>
        </w:rPr>
        <w:t>uso</w:t>
      </w:r>
      <w:r w:rsidR="00065929">
        <w:rPr>
          <w:rFonts w:ascii="Book Antiqua" w:eastAsia="Book Antiqua" w:hAnsi="Book Antiqua" w:cs="Book Antiqua"/>
          <w:color w:val="000000" w:themeColor="text1"/>
          <w:lang w:val="es-PR"/>
        </w:rPr>
        <w:t xml:space="preserve"> e</w:t>
      </w:r>
      <w:r w:rsidR="000777FE">
        <w:rPr>
          <w:rFonts w:ascii="Book Antiqua" w:eastAsia="Book Antiqua" w:hAnsi="Book Antiqua" w:cs="Book Antiqua"/>
          <w:color w:val="000000" w:themeColor="text1"/>
          <w:lang w:val="es-PR"/>
        </w:rPr>
        <w:t>l P. de la C. 1</w:t>
      </w:r>
      <w:r w:rsidR="00B66FB7">
        <w:rPr>
          <w:rFonts w:ascii="Book Antiqua" w:eastAsia="Book Antiqua" w:hAnsi="Book Antiqua" w:cs="Book Antiqua"/>
          <w:color w:val="000000" w:themeColor="text1"/>
          <w:lang w:val="es-PR"/>
        </w:rPr>
        <w:t>821</w:t>
      </w:r>
      <w:r w:rsidR="00065929">
        <w:rPr>
          <w:rFonts w:ascii="Book Antiqua" w:eastAsia="Book Antiqua" w:hAnsi="Book Antiqua" w:cs="Book Antiqua"/>
          <w:color w:val="000000" w:themeColor="text1"/>
          <w:lang w:val="es-PR"/>
        </w:rPr>
        <w:t xml:space="preserve"> —3 años.</w:t>
      </w:r>
      <w:r w:rsidR="000777F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33210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38413A">
        <w:rPr>
          <w:rFonts w:ascii="Book Antiqua" w:eastAsia="Book Antiqua" w:hAnsi="Book Antiqua" w:cs="Book Antiqua"/>
          <w:color w:val="000000" w:themeColor="text1"/>
          <w:lang w:val="es-PR"/>
        </w:rPr>
        <w:t xml:space="preserve">l DF condicionó </w:t>
      </w:r>
      <w:r w:rsidR="009060A3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8E3158">
        <w:rPr>
          <w:rFonts w:ascii="Book Antiqua" w:eastAsia="Book Antiqua" w:hAnsi="Book Antiqua" w:cs="Book Antiqua"/>
          <w:color w:val="000000" w:themeColor="text1"/>
          <w:lang w:val="es-PR"/>
        </w:rPr>
        <w:t>poyar la medida a</w:t>
      </w:r>
      <w:r w:rsidR="0038413A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así lo hiciera el </w:t>
      </w:r>
      <w:r w:rsidR="009060A3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Departamento de Justicia </w:t>
      </w:r>
      <w:r w:rsidR="009060A3">
        <w:rPr>
          <w:rFonts w:ascii="Book Antiqua" w:eastAsia="Book Antiqua" w:hAnsi="Book Antiqua" w:cs="Book Antiqua"/>
          <w:color w:val="000000" w:themeColor="text1"/>
          <w:lang w:val="es-PR"/>
        </w:rPr>
        <w:t>(DJ).</w:t>
      </w:r>
    </w:p>
    <w:p w14:paraId="1D3C3BE5" w14:textId="7FEE12CC" w:rsidR="00B5254C" w:rsidRPr="00CA0FEC" w:rsidRDefault="000F2868" w:rsidP="000240CE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En lugar de crear nuevos artículos, el DJ sugirió incluir lo propuesto </w:t>
      </w:r>
      <w:r w:rsidR="00BF09D3">
        <w:rPr>
          <w:rFonts w:ascii="Book Antiqua" w:eastAsia="Book Antiqua" w:hAnsi="Book Antiqua" w:cs="Book Antiqua"/>
          <w:color w:val="000000" w:themeColor="text1"/>
          <w:lang w:val="es-PR"/>
        </w:rPr>
        <w:t>en el P. de la C. 1821</w:t>
      </w:r>
      <w:r w:rsidR="00231E7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05B4C">
        <w:rPr>
          <w:rFonts w:ascii="Book Antiqua" w:eastAsia="Book Antiqua" w:hAnsi="Book Antiqua" w:cs="Book Antiqua"/>
          <w:color w:val="000000" w:themeColor="text1"/>
          <w:lang w:val="es-PR"/>
        </w:rPr>
        <w:t xml:space="preserve">como una enmienda al Art. 136 </w:t>
      </w:r>
      <w:r w:rsidR="00527957">
        <w:rPr>
          <w:rFonts w:ascii="Book Antiqua" w:eastAsia="Book Antiqua" w:hAnsi="Book Antiqua" w:cs="Book Antiqua"/>
          <w:color w:val="000000" w:themeColor="text1"/>
          <w:lang w:val="es-PR"/>
        </w:rPr>
        <w:t>del Código Penal y así diferencia</w:t>
      </w:r>
      <w:r w:rsidR="00136622">
        <w:rPr>
          <w:rFonts w:ascii="Book Antiqua" w:eastAsia="Book Antiqua" w:hAnsi="Book Antiqua" w:cs="Book Antiqua"/>
          <w:color w:val="000000" w:themeColor="text1"/>
          <w:lang w:val="es-PR"/>
        </w:rPr>
        <w:t>r</w:t>
      </w:r>
      <w:r w:rsidR="00527957">
        <w:rPr>
          <w:rFonts w:ascii="Book Antiqua" w:eastAsia="Book Antiqua" w:hAnsi="Book Antiqua" w:cs="Book Antiqua"/>
          <w:color w:val="000000" w:themeColor="text1"/>
          <w:lang w:val="es-PR"/>
        </w:rPr>
        <w:t xml:space="preserve"> la exposición obscena </w:t>
      </w:r>
      <w:r w:rsidR="00136622">
        <w:rPr>
          <w:rFonts w:ascii="Book Antiqua" w:eastAsia="Book Antiqua" w:hAnsi="Book Antiqua" w:cs="Book Antiqua"/>
          <w:color w:val="000000" w:themeColor="text1"/>
          <w:lang w:val="es-PR"/>
        </w:rPr>
        <w:t>frente a menores de la que ya se prohíbe frente a los adultos.</w:t>
      </w:r>
      <w:r w:rsidR="001F269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30A7C">
        <w:rPr>
          <w:rFonts w:ascii="Book Antiqua" w:eastAsia="Book Antiqua" w:hAnsi="Book Antiqua" w:cs="Book Antiqua"/>
          <w:color w:val="000000" w:themeColor="text1"/>
          <w:lang w:val="es-PR"/>
        </w:rPr>
        <w:t>Para e</w:t>
      </w:r>
      <w:r w:rsidR="00136622">
        <w:rPr>
          <w:rFonts w:ascii="Book Antiqua" w:eastAsia="Book Antiqua" w:hAnsi="Book Antiqua" w:cs="Book Antiqua"/>
          <w:color w:val="000000" w:themeColor="text1"/>
          <w:lang w:val="es-PR"/>
        </w:rPr>
        <w:t>l DJ</w:t>
      </w:r>
      <w:r w:rsidR="00F30A7C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136622">
        <w:rPr>
          <w:rFonts w:ascii="Book Antiqua" w:eastAsia="Book Antiqua" w:hAnsi="Book Antiqua" w:cs="Book Antiqua"/>
          <w:color w:val="000000" w:themeColor="text1"/>
          <w:lang w:val="es-PR"/>
        </w:rPr>
        <w:t xml:space="preserve"> esto evitaría planteamientos constitucionales —como los que </w:t>
      </w:r>
      <w:r w:rsidR="00635694">
        <w:rPr>
          <w:rFonts w:ascii="Book Antiqua" w:eastAsia="Book Antiqua" w:hAnsi="Book Antiqua" w:cs="Book Antiqua"/>
          <w:color w:val="000000" w:themeColor="text1"/>
          <w:lang w:val="es-PR"/>
        </w:rPr>
        <w:t>intimó</w:t>
      </w:r>
      <w:r w:rsidR="00136622">
        <w:rPr>
          <w:rFonts w:ascii="Book Antiqua" w:eastAsia="Book Antiqua" w:hAnsi="Book Antiqua" w:cs="Book Antiqua"/>
          <w:color w:val="000000" w:themeColor="text1"/>
          <w:lang w:val="es-PR"/>
        </w:rPr>
        <w:t xml:space="preserve"> la SAL</w:t>
      </w:r>
      <w:r w:rsidR="00F30A7C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13662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528F8908" w14:textId="26C77587" w:rsidR="003B38A4" w:rsidRPr="000142E7" w:rsidRDefault="003B38A4" w:rsidP="000240CE">
      <w:pPr>
        <w:spacing w:after="240"/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</w:pPr>
      <w:r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CONCLUSIÓN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I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ÓN</w:t>
      </w:r>
    </w:p>
    <w:p w14:paraId="393B1CBE" w14:textId="6771096A" w:rsidR="00B2796C" w:rsidRPr="00006E0B" w:rsidRDefault="004A4A9F" w:rsidP="0064568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Evaluad</w:t>
      </w:r>
      <w:r w:rsidR="004F1E9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os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los comentarios </w:t>
      </w:r>
      <w:r w:rsidR="005C33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recibidos </w:t>
      </w:r>
      <w:r w:rsidR="004F1E9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para el </w:t>
      </w:r>
      <w:r w:rsidR="00C12A63">
        <w:rPr>
          <w:rFonts w:ascii="Book Antiqua" w:eastAsia="Book Antiqua" w:hAnsi="Book Antiqua" w:cs="Book Antiqua"/>
          <w:color w:val="000000" w:themeColor="text1"/>
          <w:lang w:val="es-PR"/>
        </w:rPr>
        <w:t>P. de la C. 1821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, esta Comisión</w:t>
      </w:r>
      <w:r w:rsidR="00770FE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B2796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decidió acoger parte de</w:t>
      </w:r>
      <w:r w:rsidR="005C33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 entirillado que el Senado preparó</w:t>
      </w:r>
      <w:r w:rsidR="00A2486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Coincidimos con el Senado y el DJ </w:t>
      </w:r>
      <w:r w:rsidR="0067175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 que </w:t>
      </w:r>
      <w:r w:rsidR="00D71A3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procede enmendarse e</w:t>
      </w:r>
      <w:r w:rsidR="00D71A36">
        <w:rPr>
          <w:rFonts w:ascii="Book Antiqua" w:eastAsia="Book Antiqua" w:hAnsi="Book Antiqua" w:cs="Book Antiqua"/>
          <w:color w:val="000000" w:themeColor="text1"/>
          <w:lang w:val="es-PR"/>
        </w:rPr>
        <w:t>l Art. 136 del Código Penal en lugar de crear nuevos artículos</w:t>
      </w:r>
      <w:r w:rsidR="006A4879">
        <w:rPr>
          <w:rFonts w:ascii="Book Antiqua" w:eastAsia="Book Antiqua" w:hAnsi="Book Antiqua" w:cs="Book Antiqua"/>
          <w:color w:val="000000" w:themeColor="text1"/>
          <w:lang w:val="es-PR"/>
        </w:rPr>
        <w:t xml:space="preserve">. Distinto a ellos, </w:t>
      </w:r>
      <w:r w:rsidR="008F4F8B">
        <w:rPr>
          <w:rFonts w:ascii="Book Antiqua" w:eastAsia="Book Antiqua" w:hAnsi="Book Antiqua" w:cs="Book Antiqua"/>
          <w:color w:val="000000" w:themeColor="text1"/>
          <w:lang w:val="es-PR"/>
        </w:rPr>
        <w:t xml:space="preserve">no nos parece necesario enmendar la </w:t>
      </w:r>
      <w:r w:rsidR="00006E0B">
        <w:rPr>
          <w:rFonts w:ascii="Book Antiqua" w:eastAsia="Book Antiqua" w:hAnsi="Book Antiqua" w:cs="Book Antiqua"/>
          <w:color w:val="000000" w:themeColor="text1"/>
          <w:lang w:val="es-PR"/>
        </w:rPr>
        <w:t>Ley 266-2004,</w:t>
      </w:r>
      <w:r w:rsidR="00AE16C4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7"/>
      </w:r>
      <w:r w:rsidR="00006E0B">
        <w:rPr>
          <w:rFonts w:ascii="Book Antiqua" w:eastAsia="Book Antiqua" w:hAnsi="Book Antiqua" w:cs="Book Antiqua"/>
          <w:color w:val="000000" w:themeColor="text1"/>
          <w:lang w:val="es-PR"/>
        </w:rPr>
        <w:t xml:space="preserve"> ya que la misma contempla </w:t>
      </w:r>
      <w:r w:rsidR="007E5040">
        <w:rPr>
          <w:rFonts w:ascii="Book Antiqua" w:eastAsia="Book Antiqua" w:hAnsi="Book Antiqua" w:cs="Book Antiqua"/>
          <w:color w:val="000000" w:themeColor="text1"/>
          <w:lang w:val="es-PR"/>
        </w:rPr>
        <w:t>las exposiciones obscenas como ofensas sexuales tipo I.</w:t>
      </w:r>
      <w:r w:rsidR="00E67804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8"/>
      </w:r>
    </w:p>
    <w:p w14:paraId="3BE57315" w14:textId="59658A3B" w:rsidR="004512E8" w:rsidRPr="001711E6" w:rsidRDefault="00FD6179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Por los fundamentos antes expuestos, la Comisión de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presenta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Informe Positivo en el que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recomienda 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 este Honorable Cuerpo la aprobación del P. de la C. </w:t>
      </w:r>
      <w:r w:rsidR="002A06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1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3</w:t>
      </w:r>
      <w:r w:rsidR="002A06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4</w:t>
      </w:r>
      <w:r w:rsidR="00C11C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 Ello,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contenidas en el entirillado electrónico que se acompaña junto al informe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60A2F689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F81F8" w14:textId="77777777" w:rsidR="0097284A" w:rsidRDefault="0097284A">
      <w:r>
        <w:separator/>
      </w:r>
    </w:p>
  </w:endnote>
  <w:endnote w:type="continuationSeparator" w:id="0">
    <w:p w14:paraId="171E5CBC" w14:textId="77777777" w:rsidR="0097284A" w:rsidRDefault="0097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0BDF3" w14:textId="77777777" w:rsidR="0097284A" w:rsidRDefault="0097284A">
      <w:r>
        <w:separator/>
      </w:r>
    </w:p>
  </w:footnote>
  <w:footnote w:type="continuationSeparator" w:id="0">
    <w:p w14:paraId="0DB3F9CC" w14:textId="77777777" w:rsidR="0097284A" w:rsidRDefault="0097284A">
      <w:r>
        <w:continuationSeparator/>
      </w:r>
    </w:p>
  </w:footnote>
  <w:footnote w:id="1">
    <w:p w14:paraId="3BC3F474" w14:textId="59910751" w:rsidR="00AD1516" w:rsidRPr="004045A0" w:rsidRDefault="00AD1516" w:rsidP="00862995">
      <w:pPr>
        <w:pStyle w:val="FootnoteText"/>
        <w:spacing w:after="120"/>
        <w:rPr>
          <w:rFonts w:ascii="Book Antiqua" w:hAnsi="Book Antiqua"/>
        </w:rPr>
      </w:pPr>
      <w:r w:rsidRPr="00926B0A">
        <w:rPr>
          <w:rStyle w:val="FootnoteReference"/>
          <w:rFonts w:ascii="Book Antiqua" w:hAnsi="Book Antiqua"/>
        </w:rPr>
        <w:footnoteRef/>
      </w:r>
      <w:r w:rsidRPr="00926B0A">
        <w:rPr>
          <w:rFonts w:ascii="Book Antiqua" w:hAnsi="Book Antiqua"/>
        </w:rPr>
        <w:t xml:space="preserve"> </w:t>
      </w:r>
      <w:r w:rsidR="000A31E4" w:rsidRPr="00926B0A">
        <w:rPr>
          <w:rFonts w:ascii="Book Antiqua" w:hAnsi="Book Antiqua"/>
        </w:rPr>
        <w:t xml:space="preserve">El Art. 137 propuesto en </w:t>
      </w:r>
      <w:r w:rsidR="0072435A" w:rsidRPr="00926B0A">
        <w:rPr>
          <w:rFonts w:ascii="Book Antiqua" w:hAnsi="Book Antiqua"/>
        </w:rPr>
        <w:t xml:space="preserve">el </w:t>
      </w:r>
      <w:bookmarkStart w:id="0" w:name="_Hlk207101356"/>
      <w:r w:rsidR="00F512C5" w:rsidRPr="00926B0A">
        <w:rPr>
          <w:rFonts w:ascii="Book Antiqua" w:hAnsi="Book Antiqua"/>
        </w:rPr>
        <w:t>P. de la C. 1821</w:t>
      </w:r>
      <w:bookmarkEnd w:id="0"/>
      <w:r w:rsidR="00A23DE6" w:rsidRPr="00926B0A">
        <w:rPr>
          <w:rFonts w:ascii="Book Antiqua" w:hAnsi="Book Antiqua"/>
        </w:rPr>
        <w:t xml:space="preserve"> </w:t>
      </w:r>
      <w:r w:rsidR="00264342" w:rsidRPr="00926B0A">
        <w:rPr>
          <w:rFonts w:ascii="Book Antiqua" w:hAnsi="Book Antiqua"/>
        </w:rPr>
        <w:t xml:space="preserve">fue </w:t>
      </w:r>
      <w:r w:rsidR="00A23DE6" w:rsidRPr="00926B0A">
        <w:rPr>
          <w:rFonts w:ascii="Book Antiqua" w:hAnsi="Book Antiqua"/>
        </w:rPr>
        <w:t>más detallado</w:t>
      </w:r>
      <w:r w:rsidR="00CC66D9" w:rsidRPr="00926B0A">
        <w:rPr>
          <w:rFonts w:ascii="Book Antiqua" w:hAnsi="Book Antiqua"/>
        </w:rPr>
        <w:t xml:space="preserve"> y </w:t>
      </w:r>
      <w:r w:rsidR="003B7D5E" w:rsidRPr="00926B0A">
        <w:rPr>
          <w:rFonts w:ascii="Book Antiqua" w:hAnsi="Book Antiqua"/>
        </w:rPr>
        <w:t>extenso</w:t>
      </w:r>
      <w:r w:rsidR="00A23DE6" w:rsidRPr="00926B0A">
        <w:rPr>
          <w:rFonts w:ascii="Book Antiqua" w:hAnsi="Book Antiqua"/>
        </w:rPr>
        <w:t xml:space="preserve"> que</w:t>
      </w:r>
      <w:r w:rsidR="00264342" w:rsidRPr="00926B0A">
        <w:rPr>
          <w:rFonts w:ascii="Book Antiqua" w:hAnsi="Book Antiqua"/>
        </w:rPr>
        <w:t xml:space="preserve"> </w:t>
      </w:r>
      <w:r w:rsidR="00F512C5" w:rsidRPr="00926B0A">
        <w:rPr>
          <w:rFonts w:ascii="Book Antiqua" w:hAnsi="Book Antiqua"/>
        </w:rPr>
        <w:t>el</w:t>
      </w:r>
      <w:r w:rsidR="00264342" w:rsidRPr="00926B0A">
        <w:rPr>
          <w:rFonts w:ascii="Book Antiqua" w:hAnsi="Book Antiqua"/>
        </w:rPr>
        <w:t xml:space="preserve"> incluido en el</w:t>
      </w:r>
      <w:r w:rsidR="00F512C5" w:rsidRPr="00926B0A">
        <w:rPr>
          <w:rFonts w:ascii="Book Antiqua" w:hAnsi="Book Antiqua"/>
        </w:rPr>
        <w:t xml:space="preserve"> P. de la C. </w:t>
      </w:r>
      <w:r w:rsidR="003E7944" w:rsidRPr="00926B0A">
        <w:rPr>
          <w:rFonts w:ascii="Book Antiqua" w:hAnsi="Book Antiqua"/>
        </w:rPr>
        <w:t>134</w:t>
      </w:r>
      <w:r w:rsidR="0072435A" w:rsidRPr="00926B0A">
        <w:rPr>
          <w:rFonts w:ascii="Book Antiqua" w:hAnsi="Book Antiqua"/>
        </w:rPr>
        <w:t xml:space="preserve"> </w:t>
      </w:r>
      <w:r w:rsidR="00264342" w:rsidRPr="00926B0A">
        <w:rPr>
          <w:rFonts w:ascii="Book Antiqua" w:hAnsi="Book Antiqua"/>
        </w:rPr>
        <w:t xml:space="preserve">ante la </w:t>
      </w:r>
      <w:r w:rsidR="00264342" w:rsidRPr="004045A0">
        <w:rPr>
          <w:rFonts w:ascii="Book Antiqua" w:hAnsi="Book Antiqua"/>
        </w:rPr>
        <w:t>consideración de esta Comisión.</w:t>
      </w:r>
      <w:r w:rsidR="00217FFD" w:rsidRPr="004045A0">
        <w:rPr>
          <w:rFonts w:ascii="Book Antiqua" w:hAnsi="Book Antiqua"/>
        </w:rPr>
        <w:t xml:space="preserve"> </w:t>
      </w:r>
    </w:p>
  </w:footnote>
  <w:footnote w:id="2">
    <w:p w14:paraId="1E4A6D12" w14:textId="70B7FC0F" w:rsidR="005D2AFE" w:rsidRPr="00A87675" w:rsidRDefault="005D2AFE" w:rsidP="00A87675">
      <w:pPr>
        <w:pStyle w:val="FootnoteText"/>
        <w:spacing w:after="120"/>
        <w:rPr>
          <w:rFonts w:ascii="Book Antiqua" w:hAnsi="Book Antiqua"/>
        </w:rPr>
      </w:pPr>
      <w:r w:rsidRPr="00A87675">
        <w:rPr>
          <w:rStyle w:val="FootnoteReference"/>
          <w:rFonts w:ascii="Book Antiqua" w:hAnsi="Book Antiqua"/>
        </w:rPr>
        <w:footnoteRef/>
      </w:r>
      <w:r w:rsidRPr="00A87675">
        <w:rPr>
          <w:rFonts w:ascii="Book Antiqua" w:hAnsi="Book Antiqua"/>
        </w:rPr>
        <w:t xml:space="preserve"> El informe del Senado se hizo en base a un texto aprobado por la Cámara de Representantes que redujo sustancialmente el contenido de la medida original. </w:t>
      </w:r>
    </w:p>
  </w:footnote>
  <w:footnote w:id="3">
    <w:p w14:paraId="38AC3930" w14:textId="008622B7" w:rsidR="00A87675" w:rsidRPr="00A87675" w:rsidRDefault="00A87675" w:rsidP="00A87675">
      <w:pPr>
        <w:pStyle w:val="FootnoteText"/>
        <w:spacing w:after="120"/>
        <w:rPr>
          <w:rFonts w:ascii="Book Antiqua" w:hAnsi="Book Antiqua"/>
        </w:rPr>
      </w:pPr>
      <w:r w:rsidRPr="00A87675">
        <w:rPr>
          <w:rStyle w:val="FootnoteReference"/>
          <w:rFonts w:ascii="Book Antiqua" w:hAnsi="Book Antiqua"/>
        </w:rPr>
        <w:footnoteRef/>
      </w:r>
      <w:r w:rsidRPr="00A87675">
        <w:rPr>
          <w:rFonts w:ascii="Book Antiqua" w:hAnsi="Book Antiqua"/>
        </w:rPr>
        <w:t xml:space="preserve"> Conocida como </w:t>
      </w:r>
      <w:r w:rsidRPr="00A87675">
        <w:rPr>
          <w:rFonts w:ascii="Book Antiqua" w:hAnsi="Book Antiqua"/>
          <w:i/>
          <w:iCs/>
        </w:rPr>
        <w:t>Ley para la Prevención del Maltrato, Preservación de la Unidad Familiar y para la Seguridad, Bienestar y Protección de los Menores</w:t>
      </w:r>
      <w:r w:rsidRPr="00A87675">
        <w:rPr>
          <w:rFonts w:ascii="Book Antiqua" w:hAnsi="Book Antiqua"/>
        </w:rPr>
        <w:t>.</w:t>
      </w:r>
    </w:p>
  </w:footnote>
  <w:footnote w:id="4">
    <w:p w14:paraId="548F348C" w14:textId="19420B75" w:rsidR="008C7425" w:rsidRPr="008C7425" w:rsidRDefault="008C7425" w:rsidP="00A87675">
      <w:pPr>
        <w:pStyle w:val="FootnoteText"/>
        <w:spacing w:after="120"/>
      </w:pPr>
      <w:r w:rsidRPr="00A87675">
        <w:rPr>
          <w:rStyle w:val="FootnoteReference"/>
          <w:rFonts w:ascii="Book Antiqua" w:hAnsi="Book Antiqua"/>
        </w:rPr>
        <w:footnoteRef/>
      </w:r>
      <w:r w:rsidRPr="00A87675">
        <w:rPr>
          <w:rFonts w:ascii="Book Antiqua" w:hAnsi="Book Antiqua"/>
        </w:rPr>
        <w:t xml:space="preserve"> </w:t>
      </w:r>
      <w:r w:rsidR="00EB5538" w:rsidRPr="00A87675">
        <w:rPr>
          <w:rFonts w:ascii="Book Antiqua" w:hAnsi="Book Antiqua"/>
        </w:rPr>
        <w:t xml:space="preserve">Esto fue parte de lo que se añadió </w:t>
      </w:r>
      <w:r w:rsidR="004045A0" w:rsidRPr="00A87675">
        <w:rPr>
          <w:rFonts w:ascii="Book Antiqua" w:hAnsi="Book Antiqua"/>
        </w:rPr>
        <w:t xml:space="preserve">en el </w:t>
      </w:r>
      <w:r w:rsidR="00EB5538" w:rsidRPr="00A87675">
        <w:rPr>
          <w:rFonts w:ascii="Book Antiqua" w:hAnsi="Book Antiqua"/>
        </w:rPr>
        <w:t>texto aprobado por la Cámara de Representantes</w:t>
      </w:r>
      <w:r w:rsidR="004045A0" w:rsidRPr="00A87675">
        <w:rPr>
          <w:rFonts w:ascii="Book Antiqua" w:hAnsi="Book Antiqua"/>
        </w:rPr>
        <w:t>.</w:t>
      </w:r>
    </w:p>
  </w:footnote>
  <w:footnote w:id="5">
    <w:p w14:paraId="41B63D1A" w14:textId="737234CB" w:rsidR="00926B0A" w:rsidRPr="00323431" w:rsidRDefault="00926B0A" w:rsidP="00B70DB5">
      <w:pPr>
        <w:pStyle w:val="FootnoteText"/>
        <w:spacing w:after="120"/>
        <w:rPr>
          <w:rFonts w:ascii="Book Antiqua" w:hAnsi="Book Antiqua"/>
        </w:rPr>
      </w:pPr>
      <w:r w:rsidRPr="00926B0A">
        <w:rPr>
          <w:rStyle w:val="FootnoteReference"/>
          <w:rFonts w:ascii="Book Antiqua" w:hAnsi="Book Antiqua"/>
        </w:rPr>
        <w:footnoteRef/>
      </w:r>
      <w:r w:rsidRPr="00926B0A">
        <w:rPr>
          <w:rFonts w:ascii="Book Antiqua" w:hAnsi="Book Antiqua"/>
        </w:rPr>
        <w:t xml:space="preserve"> </w:t>
      </w:r>
      <w:r w:rsidR="00323431">
        <w:rPr>
          <w:rFonts w:ascii="Book Antiqua" w:hAnsi="Book Antiqua"/>
        </w:rPr>
        <w:t xml:space="preserve">Este tipo de </w:t>
      </w:r>
      <w:r w:rsidR="004D7163">
        <w:rPr>
          <w:rFonts w:ascii="Book Antiqua" w:hAnsi="Book Antiqua"/>
        </w:rPr>
        <w:t>exclusión penal</w:t>
      </w:r>
      <w:r w:rsidR="00323431">
        <w:rPr>
          <w:rFonts w:ascii="Book Antiqua" w:hAnsi="Book Antiqua"/>
        </w:rPr>
        <w:t xml:space="preserve"> </w:t>
      </w:r>
      <w:r w:rsidR="00CC187E">
        <w:rPr>
          <w:rFonts w:ascii="Book Antiqua" w:hAnsi="Book Antiqua"/>
        </w:rPr>
        <w:t xml:space="preserve">para adolescentes </w:t>
      </w:r>
      <w:r w:rsidR="00C91018">
        <w:rPr>
          <w:rFonts w:ascii="Book Antiqua" w:hAnsi="Book Antiqua"/>
        </w:rPr>
        <w:t xml:space="preserve">que consienten a relaciones sexuales </w:t>
      </w:r>
      <w:r w:rsidR="00481BA5">
        <w:rPr>
          <w:rFonts w:ascii="Book Antiqua" w:hAnsi="Book Antiqua"/>
        </w:rPr>
        <w:t xml:space="preserve">se conoce </w:t>
      </w:r>
      <w:r w:rsidR="00323431">
        <w:rPr>
          <w:rFonts w:ascii="Book Antiqua" w:hAnsi="Book Antiqua"/>
        </w:rPr>
        <w:t xml:space="preserve">como </w:t>
      </w:r>
      <w:r w:rsidR="008A71BD">
        <w:rPr>
          <w:rFonts w:ascii="Book Antiqua" w:hAnsi="Book Antiqua"/>
        </w:rPr>
        <w:t>un estatuto Romeo y Julieta.</w:t>
      </w:r>
    </w:p>
  </w:footnote>
  <w:footnote w:id="6">
    <w:p w14:paraId="2D82229A" w14:textId="5D750DB8" w:rsidR="00D8316C" w:rsidRPr="00D57AF5" w:rsidRDefault="00D8316C" w:rsidP="00942E2E">
      <w:pPr>
        <w:pStyle w:val="FootnoteText"/>
        <w:spacing w:after="120"/>
        <w:rPr>
          <w:rFonts w:ascii="Book Antiqua" w:hAnsi="Book Antiqua"/>
        </w:rPr>
      </w:pPr>
      <w:r w:rsidRPr="00D57AF5">
        <w:rPr>
          <w:rStyle w:val="FootnoteReference"/>
          <w:rFonts w:ascii="Book Antiqua" w:hAnsi="Book Antiqua"/>
        </w:rPr>
        <w:footnoteRef/>
      </w:r>
      <w:r w:rsidRPr="00D57AF5">
        <w:rPr>
          <w:rFonts w:ascii="Book Antiqua" w:hAnsi="Book Antiqua"/>
        </w:rPr>
        <w:t xml:space="preserve"> </w:t>
      </w:r>
      <w:r w:rsidR="00552AC4" w:rsidRPr="00D57AF5">
        <w:rPr>
          <w:rFonts w:ascii="Book Antiqua" w:hAnsi="Book Antiqua"/>
        </w:rPr>
        <w:t>Esto fue parte de lo que se añadió en el texto aprobado por la Cámara de Representantes.</w:t>
      </w:r>
    </w:p>
  </w:footnote>
  <w:footnote w:id="7">
    <w:p w14:paraId="6019BA82" w14:textId="2E9E9592" w:rsidR="00AE16C4" w:rsidRPr="00D57AF5" w:rsidRDefault="00AE16C4" w:rsidP="00942E2E">
      <w:pPr>
        <w:pStyle w:val="FootnoteText"/>
        <w:spacing w:after="120"/>
        <w:rPr>
          <w:rFonts w:ascii="Book Antiqua" w:hAnsi="Book Antiqua"/>
        </w:rPr>
      </w:pPr>
      <w:r w:rsidRPr="00D57AF5">
        <w:rPr>
          <w:rStyle w:val="FootnoteReference"/>
          <w:rFonts w:ascii="Book Antiqua" w:hAnsi="Book Antiqua"/>
        </w:rPr>
        <w:footnoteRef/>
      </w:r>
      <w:r w:rsidRPr="00D57AF5">
        <w:rPr>
          <w:rFonts w:ascii="Book Antiqua" w:hAnsi="Book Antiqua"/>
        </w:rPr>
        <w:t xml:space="preserve"> </w:t>
      </w:r>
      <w:r w:rsidR="005C1E56" w:rsidRPr="00D57AF5">
        <w:rPr>
          <w:rFonts w:ascii="Book Antiqua" w:hAnsi="Book Antiqua"/>
        </w:rPr>
        <w:t xml:space="preserve">Conocida como </w:t>
      </w:r>
      <w:r w:rsidR="005C1E56" w:rsidRPr="00D57AF5">
        <w:rPr>
          <w:rFonts w:ascii="Book Antiqua" w:hAnsi="Book Antiqua"/>
          <w:i/>
          <w:iCs/>
        </w:rPr>
        <w:t>Ley del Registro de Personas Convictas por Delitos Sexuales y Abuso Contra Menores</w:t>
      </w:r>
      <w:r w:rsidR="005C1E56" w:rsidRPr="00D57AF5">
        <w:rPr>
          <w:rFonts w:ascii="Book Antiqua" w:hAnsi="Book Antiqua"/>
        </w:rPr>
        <w:t>.</w:t>
      </w:r>
    </w:p>
  </w:footnote>
  <w:footnote w:id="8">
    <w:p w14:paraId="7B3EE3CD" w14:textId="7F530424" w:rsidR="00E67804" w:rsidRPr="005C1E56" w:rsidRDefault="00E67804" w:rsidP="00942E2E">
      <w:pPr>
        <w:pStyle w:val="FootnoteText"/>
        <w:spacing w:after="120"/>
      </w:pPr>
      <w:r w:rsidRPr="00D57AF5">
        <w:rPr>
          <w:rStyle w:val="FootnoteReference"/>
          <w:rFonts w:ascii="Book Antiqua" w:hAnsi="Book Antiqua"/>
        </w:rPr>
        <w:footnoteRef/>
      </w:r>
      <w:r w:rsidRPr="00D57AF5">
        <w:rPr>
          <w:rFonts w:ascii="Book Antiqua" w:hAnsi="Book Antiqua"/>
        </w:rPr>
        <w:t xml:space="preserve"> </w:t>
      </w:r>
      <w:r w:rsidR="009E237A" w:rsidRPr="00D57AF5">
        <w:rPr>
          <w:rFonts w:ascii="Book Antiqua" w:hAnsi="Book Antiqua"/>
        </w:rPr>
        <w:t>Véase Ley 266-2004, Art. 2</w:t>
      </w:r>
      <w:r w:rsidR="00D57AF5" w:rsidRPr="00D57AF5">
        <w:rPr>
          <w:rFonts w:ascii="Book Antiqua" w:hAnsi="Book Antiqua"/>
        </w:rPr>
        <w:t>(8)(vi).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03604C59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 la C. </w:t>
    </w:r>
    <w:r w:rsidR="00FE3175">
      <w:rPr>
        <w:rFonts w:ascii="Calibri" w:eastAsia="Calibri" w:hAnsi="Calibri"/>
        <w:b/>
        <w:iCs/>
        <w:sz w:val="22"/>
        <w:szCs w:val="22"/>
        <w:lang w:val="es-PR"/>
      </w:rPr>
      <w:t>1</w:t>
    </w:r>
    <w:r w:rsidR="005D2A7D">
      <w:rPr>
        <w:rFonts w:ascii="Calibri" w:eastAsia="Calibri" w:hAnsi="Calibri"/>
        <w:b/>
        <w:iCs/>
        <w:sz w:val="22"/>
        <w:szCs w:val="22"/>
        <w:lang w:val="es-PR"/>
      </w:rPr>
      <w:t>3</w:t>
    </w:r>
    <w:r w:rsidR="00FE3175">
      <w:rPr>
        <w:rFonts w:ascii="Calibri" w:eastAsia="Calibri" w:hAnsi="Calibri"/>
        <w:b/>
        <w:iCs/>
        <w:sz w:val="22"/>
        <w:szCs w:val="22"/>
        <w:lang w:val="es-PR"/>
      </w:rPr>
      <w:t>4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86C"/>
    <w:rsid w:val="00000EC6"/>
    <w:rsid w:val="00006E0B"/>
    <w:rsid w:val="000142E7"/>
    <w:rsid w:val="00015228"/>
    <w:rsid w:val="00021243"/>
    <w:rsid w:val="000220C0"/>
    <w:rsid w:val="000240CE"/>
    <w:rsid w:val="000307E4"/>
    <w:rsid w:val="00035FFD"/>
    <w:rsid w:val="0004014A"/>
    <w:rsid w:val="00041144"/>
    <w:rsid w:val="0004737C"/>
    <w:rsid w:val="00047B9F"/>
    <w:rsid w:val="00050B2C"/>
    <w:rsid w:val="00050E9A"/>
    <w:rsid w:val="00065929"/>
    <w:rsid w:val="000673D8"/>
    <w:rsid w:val="000777FE"/>
    <w:rsid w:val="0009035A"/>
    <w:rsid w:val="00093934"/>
    <w:rsid w:val="000949F8"/>
    <w:rsid w:val="000968F0"/>
    <w:rsid w:val="000A0600"/>
    <w:rsid w:val="000A31E4"/>
    <w:rsid w:val="000A32DC"/>
    <w:rsid w:val="000A4C87"/>
    <w:rsid w:val="000B0D43"/>
    <w:rsid w:val="000B4063"/>
    <w:rsid w:val="000B6B0E"/>
    <w:rsid w:val="000C4E3C"/>
    <w:rsid w:val="000C66A9"/>
    <w:rsid w:val="000D1757"/>
    <w:rsid w:val="000D2BDF"/>
    <w:rsid w:val="000D5F7E"/>
    <w:rsid w:val="000D68FC"/>
    <w:rsid w:val="000E47C9"/>
    <w:rsid w:val="000E5D36"/>
    <w:rsid w:val="000F2868"/>
    <w:rsid w:val="000F3BA0"/>
    <w:rsid w:val="000F67BD"/>
    <w:rsid w:val="001015D5"/>
    <w:rsid w:val="00101C99"/>
    <w:rsid w:val="00102587"/>
    <w:rsid w:val="001049CF"/>
    <w:rsid w:val="0010680D"/>
    <w:rsid w:val="001070BB"/>
    <w:rsid w:val="00111DF4"/>
    <w:rsid w:val="00112412"/>
    <w:rsid w:val="001161EB"/>
    <w:rsid w:val="001209AD"/>
    <w:rsid w:val="001248BC"/>
    <w:rsid w:val="00126659"/>
    <w:rsid w:val="00130F02"/>
    <w:rsid w:val="001311BA"/>
    <w:rsid w:val="00136622"/>
    <w:rsid w:val="00140F2B"/>
    <w:rsid w:val="00141605"/>
    <w:rsid w:val="00141703"/>
    <w:rsid w:val="00143359"/>
    <w:rsid w:val="00153CDD"/>
    <w:rsid w:val="00153D68"/>
    <w:rsid w:val="001561A6"/>
    <w:rsid w:val="001601C3"/>
    <w:rsid w:val="00163D3F"/>
    <w:rsid w:val="00166871"/>
    <w:rsid w:val="00166C0A"/>
    <w:rsid w:val="0017100B"/>
    <w:rsid w:val="001711E6"/>
    <w:rsid w:val="00171FDF"/>
    <w:rsid w:val="00186364"/>
    <w:rsid w:val="001A18DA"/>
    <w:rsid w:val="001A5A3D"/>
    <w:rsid w:val="001C24D7"/>
    <w:rsid w:val="001D23E0"/>
    <w:rsid w:val="001D5EE7"/>
    <w:rsid w:val="001D6791"/>
    <w:rsid w:val="001E4FEC"/>
    <w:rsid w:val="001F2695"/>
    <w:rsid w:val="001F3071"/>
    <w:rsid w:val="001F5243"/>
    <w:rsid w:val="001F5FB1"/>
    <w:rsid w:val="001F72C1"/>
    <w:rsid w:val="00203D0D"/>
    <w:rsid w:val="00206D79"/>
    <w:rsid w:val="00206E8A"/>
    <w:rsid w:val="0021655A"/>
    <w:rsid w:val="00216AC7"/>
    <w:rsid w:val="00217FFD"/>
    <w:rsid w:val="0022092E"/>
    <w:rsid w:val="00221403"/>
    <w:rsid w:val="002222DA"/>
    <w:rsid w:val="002227F8"/>
    <w:rsid w:val="00227846"/>
    <w:rsid w:val="00231E70"/>
    <w:rsid w:val="0023302B"/>
    <w:rsid w:val="00233B5B"/>
    <w:rsid w:val="00251481"/>
    <w:rsid w:val="00253152"/>
    <w:rsid w:val="0025428E"/>
    <w:rsid w:val="00264342"/>
    <w:rsid w:val="00265DD8"/>
    <w:rsid w:val="002673B6"/>
    <w:rsid w:val="00272871"/>
    <w:rsid w:val="00275876"/>
    <w:rsid w:val="002864AF"/>
    <w:rsid w:val="0029300A"/>
    <w:rsid w:val="002939AA"/>
    <w:rsid w:val="0029448F"/>
    <w:rsid w:val="00296FB9"/>
    <w:rsid w:val="0029786E"/>
    <w:rsid w:val="002A065A"/>
    <w:rsid w:val="002A2577"/>
    <w:rsid w:val="002A2E53"/>
    <w:rsid w:val="002A795A"/>
    <w:rsid w:val="002B5B63"/>
    <w:rsid w:val="002C63ED"/>
    <w:rsid w:val="002D2AD0"/>
    <w:rsid w:val="002D4655"/>
    <w:rsid w:val="002D67CE"/>
    <w:rsid w:val="002E4FD3"/>
    <w:rsid w:val="002F16BF"/>
    <w:rsid w:val="002F21E5"/>
    <w:rsid w:val="00300F27"/>
    <w:rsid w:val="00304248"/>
    <w:rsid w:val="00305C9F"/>
    <w:rsid w:val="00316753"/>
    <w:rsid w:val="00323431"/>
    <w:rsid w:val="00327FC3"/>
    <w:rsid w:val="00330313"/>
    <w:rsid w:val="003344C6"/>
    <w:rsid w:val="003361A3"/>
    <w:rsid w:val="0034229A"/>
    <w:rsid w:val="00342992"/>
    <w:rsid w:val="00353592"/>
    <w:rsid w:val="00354EC7"/>
    <w:rsid w:val="00357B74"/>
    <w:rsid w:val="00363230"/>
    <w:rsid w:val="00364147"/>
    <w:rsid w:val="00366718"/>
    <w:rsid w:val="00370F8A"/>
    <w:rsid w:val="00371331"/>
    <w:rsid w:val="003832F6"/>
    <w:rsid w:val="0038413A"/>
    <w:rsid w:val="0038510E"/>
    <w:rsid w:val="003910E6"/>
    <w:rsid w:val="00391145"/>
    <w:rsid w:val="00392CEF"/>
    <w:rsid w:val="00393ADF"/>
    <w:rsid w:val="003B38A4"/>
    <w:rsid w:val="003B5459"/>
    <w:rsid w:val="003B7D5E"/>
    <w:rsid w:val="003D601E"/>
    <w:rsid w:val="003E1A9C"/>
    <w:rsid w:val="003E4335"/>
    <w:rsid w:val="003E529E"/>
    <w:rsid w:val="003E6E10"/>
    <w:rsid w:val="003E7648"/>
    <w:rsid w:val="003E7944"/>
    <w:rsid w:val="003F10BB"/>
    <w:rsid w:val="003F2674"/>
    <w:rsid w:val="003F6F83"/>
    <w:rsid w:val="004045A0"/>
    <w:rsid w:val="00407674"/>
    <w:rsid w:val="0040798B"/>
    <w:rsid w:val="0042168B"/>
    <w:rsid w:val="00422255"/>
    <w:rsid w:val="00431F68"/>
    <w:rsid w:val="00436471"/>
    <w:rsid w:val="00442843"/>
    <w:rsid w:val="00447224"/>
    <w:rsid w:val="00447621"/>
    <w:rsid w:val="004512E8"/>
    <w:rsid w:val="00451F27"/>
    <w:rsid w:val="004523CD"/>
    <w:rsid w:val="00452D84"/>
    <w:rsid w:val="004654B5"/>
    <w:rsid w:val="00467CB0"/>
    <w:rsid w:val="00471DF9"/>
    <w:rsid w:val="00474109"/>
    <w:rsid w:val="00481BA5"/>
    <w:rsid w:val="00486978"/>
    <w:rsid w:val="00496EEF"/>
    <w:rsid w:val="00496F72"/>
    <w:rsid w:val="004A2226"/>
    <w:rsid w:val="004A4A9F"/>
    <w:rsid w:val="004A5A18"/>
    <w:rsid w:val="004A5AE1"/>
    <w:rsid w:val="004B3B30"/>
    <w:rsid w:val="004B4977"/>
    <w:rsid w:val="004B5B10"/>
    <w:rsid w:val="004C34EA"/>
    <w:rsid w:val="004C40F2"/>
    <w:rsid w:val="004C499B"/>
    <w:rsid w:val="004D125E"/>
    <w:rsid w:val="004D28B0"/>
    <w:rsid w:val="004D2F67"/>
    <w:rsid w:val="004D7163"/>
    <w:rsid w:val="004E356B"/>
    <w:rsid w:val="004E7F19"/>
    <w:rsid w:val="004F1E94"/>
    <w:rsid w:val="004F38E8"/>
    <w:rsid w:val="004F3AEE"/>
    <w:rsid w:val="004F3EF4"/>
    <w:rsid w:val="004F4A0B"/>
    <w:rsid w:val="004F79AB"/>
    <w:rsid w:val="005007F9"/>
    <w:rsid w:val="00505B4C"/>
    <w:rsid w:val="00511EE0"/>
    <w:rsid w:val="005132E2"/>
    <w:rsid w:val="00516AB2"/>
    <w:rsid w:val="00524E93"/>
    <w:rsid w:val="0052624F"/>
    <w:rsid w:val="00527957"/>
    <w:rsid w:val="00530FFC"/>
    <w:rsid w:val="00532F3A"/>
    <w:rsid w:val="00533210"/>
    <w:rsid w:val="00542113"/>
    <w:rsid w:val="005432C2"/>
    <w:rsid w:val="00552AC4"/>
    <w:rsid w:val="0056097C"/>
    <w:rsid w:val="00560E41"/>
    <w:rsid w:val="0056523D"/>
    <w:rsid w:val="00566BF6"/>
    <w:rsid w:val="005813B7"/>
    <w:rsid w:val="00582CE9"/>
    <w:rsid w:val="00584753"/>
    <w:rsid w:val="00591971"/>
    <w:rsid w:val="00591C6D"/>
    <w:rsid w:val="005922E8"/>
    <w:rsid w:val="00592D59"/>
    <w:rsid w:val="005A1F13"/>
    <w:rsid w:val="005B42F2"/>
    <w:rsid w:val="005B4FA8"/>
    <w:rsid w:val="005B69A9"/>
    <w:rsid w:val="005B750B"/>
    <w:rsid w:val="005C1E56"/>
    <w:rsid w:val="005C3365"/>
    <w:rsid w:val="005D1F4B"/>
    <w:rsid w:val="005D2A7D"/>
    <w:rsid w:val="005D2AFE"/>
    <w:rsid w:val="005D5254"/>
    <w:rsid w:val="005E4CF7"/>
    <w:rsid w:val="005F4078"/>
    <w:rsid w:val="00602E29"/>
    <w:rsid w:val="00603D79"/>
    <w:rsid w:val="00603FE4"/>
    <w:rsid w:val="006114BF"/>
    <w:rsid w:val="006115FC"/>
    <w:rsid w:val="00611979"/>
    <w:rsid w:val="00612378"/>
    <w:rsid w:val="00622B23"/>
    <w:rsid w:val="00623890"/>
    <w:rsid w:val="00623D71"/>
    <w:rsid w:val="00635694"/>
    <w:rsid w:val="006430D4"/>
    <w:rsid w:val="0064568A"/>
    <w:rsid w:val="00661CDA"/>
    <w:rsid w:val="006620D1"/>
    <w:rsid w:val="0066464E"/>
    <w:rsid w:val="0066649B"/>
    <w:rsid w:val="0067175E"/>
    <w:rsid w:val="00671B9A"/>
    <w:rsid w:val="006739EE"/>
    <w:rsid w:val="0069342C"/>
    <w:rsid w:val="00694718"/>
    <w:rsid w:val="00696CA3"/>
    <w:rsid w:val="006A4879"/>
    <w:rsid w:val="006B2F9D"/>
    <w:rsid w:val="006B4F55"/>
    <w:rsid w:val="006B6984"/>
    <w:rsid w:val="006B6B87"/>
    <w:rsid w:val="006C5F3E"/>
    <w:rsid w:val="006E176E"/>
    <w:rsid w:val="006E2A38"/>
    <w:rsid w:val="006E649B"/>
    <w:rsid w:val="006E65D9"/>
    <w:rsid w:val="006F6951"/>
    <w:rsid w:val="0070305E"/>
    <w:rsid w:val="00710987"/>
    <w:rsid w:val="007121F7"/>
    <w:rsid w:val="00715AB6"/>
    <w:rsid w:val="00715E79"/>
    <w:rsid w:val="00716098"/>
    <w:rsid w:val="00716C22"/>
    <w:rsid w:val="0072435A"/>
    <w:rsid w:val="007250C9"/>
    <w:rsid w:val="00733E40"/>
    <w:rsid w:val="007363D7"/>
    <w:rsid w:val="00744264"/>
    <w:rsid w:val="0074731E"/>
    <w:rsid w:val="0076029D"/>
    <w:rsid w:val="00760D00"/>
    <w:rsid w:val="0076405E"/>
    <w:rsid w:val="007707DE"/>
    <w:rsid w:val="00770FEF"/>
    <w:rsid w:val="0077131A"/>
    <w:rsid w:val="00773FDD"/>
    <w:rsid w:val="0077444F"/>
    <w:rsid w:val="007761C9"/>
    <w:rsid w:val="00782A64"/>
    <w:rsid w:val="00783933"/>
    <w:rsid w:val="007842E6"/>
    <w:rsid w:val="0078548C"/>
    <w:rsid w:val="00786886"/>
    <w:rsid w:val="007916EC"/>
    <w:rsid w:val="00797CBC"/>
    <w:rsid w:val="007A4CF4"/>
    <w:rsid w:val="007B257D"/>
    <w:rsid w:val="007B2F4F"/>
    <w:rsid w:val="007B7985"/>
    <w:rsid w:val="007C5122"/>
    <w:rsid w:val="007D1CE3"/>
    <w:rsid w:val="007D22F5"/>
    <w:rsid w:val="007D3EE2"/>
    <w:rsid w:val="007D79C4"/>
    <w:rsid w:val="007E1D67"/>
    <w:rsid w:val="007E1E1B"/>
    <w:rsid w:val="007E2AC1"/>
    <w:rsid w:val="007E5040"/>
    <w:rsid w:val="007E6834"/>
    <w:rsid w:val="007F475E"/>
    <w:rsid w:val="00801B1B"/>
    <w:rsid w:val="00802900"/>
    <w:rsid w:val="008142DA"/>
    <w:rsid w:val="008162A8"/>
    <w:rsid w:val="00821551"/>
    <w:rsid w:val="008225E7"/>
    <w:rsid w:val="00822FEF"/>
    <w:rsid w:val="00826766"/>
    <w:rsid w:val="008270AA"/>
    <w:rsid w:val="00831407"/>
    <w:rsid w:val="008326DB"/>
    <w:rsid w:val="0083483F"/>
    <w:rsid w:val="0083492B"/>
    <w:rsid w:val="00844B7A"/>
    <w:rsid w:val="00844E45"/>
    <w:rsid w:val="00850FE3"/>
    <w:rsid w:val="00851E49"/>
    <w:rsid w:val="008558D3"/>
    <w:rsid w:val="00857D49"/>
    <w:rsid w:val="00860494"/>
    <w:rsid w:val="00861B05"/>
    <w:rsid w:val="00862995"/>
    <w:rsid w:val="00862B38"/>
    <w:rsid w:val="008714C1"/>
    <w:rsid w:val="00874C34"/>
    <w:rsid w:val="00877968"/>
    <w:rsid w:val="008858A8"/>
    <w:rsid w:val="00887F45"/>
    <w:rsid w:val="0089403B"/>
    <w:rsid w:val="008A0AE1"/>
    <w:rsid w:val="008A170D"/>
    <w:rsid w:val="008A268E"/>
    <w:rsid w:val="008A71BD"/>
    <w:rsid w:val="008B2262"/>
    <w:rsid w:val="008B25F8"/>
    <w:rsid w:val="008B701E"/>
    <w:rsid w:val="008C1517"/>
    <w:rsid w:val="008C7425"/>
    <w:rsid w:val="008D32D5"/>
    <w:rsid w:val="008E1117"/>
    <w:rsid w:val="008E1A90"/>
    <w:rsid w:val="008E3158"/>
    <w:rsid w:val="008F142C"/>
    <w:rsid w:val="008F1AA4"/>
    <w:rsid w:val="008F345E"/>
    <w:rsid w:val="008F4F8B"/>
    <w:rsid w:val="00900740"/>
    <w:rsid w:val="0090114E"/>
    <w:rsid w:val="009060A3"/>
    <w:rsid w:val="00910DF8"/>
    <w:rsid w:val="00911453"/>
    <w:rsid w:val="009123CA"/>
    <w:rsid w:val="00917E92"/>
    <w:rsid w:val="00926B0A"/>
    <w:rsid w:val="00926C28"/>
    <w:rsid w:val="009343BD"/>
    <w:rsid w:val="009347CF"/>
    <w:rsid w:val="009412C4"/>
    <w:rsid w:val="00942E2E"/>
    <w:rsid w:val="00945265"/>
    <w:rsid w:val="00950E91"/>
    <w:rsid w:val="00951AA5"/>
    <w:rsid w:val="00952A9C"/>
    <w:rsid w:val="009535ED"/>
    <w:rsid w:val="0097085B"/>
    <w:rsid w:val="0097284A"/>
    <w:rsid w:val="00974EC2"/>
    <w:rsid w:val="00977DC2"/>
    <w:rsid w:val="0099305E"/>
    <w:rsid w:val="009970E2"/>
    <w:rsid w:val="009971DC"/>
    <w:rsid w:val="009A01B5"/>
    <w:rsid w:val="009A6C55"/>
    <w:rsid w:val="009B0628"/>
    <w:rsid w:val="009B32DC"/>
    <w:rsid w:val="009B56D7"/>
    <w:rsid w:val="009C3A34"/>
    <w:rsid w:val="009D1B03"/>
    <w:rsid w:val="009D6759"/>
    <w:rsid w:val="009D6D72"/>
    <w:rsid w:val="009E17C9"/>
    <w:rsid w:val="009E237A"/>
    <w:rsid w:val="009E55BD"/>
    <w:rsid w:val="009E56FC"/>
    <w:rsid w:val="009E66CF"/>
    <w:rsid w:val="009F5A85"/>
    <w:rsid w:val="00A01EDE"/>
    <w:rsid w:val="00A11658"/>
    <w:rsid w:val="00A1240D"/>
    <w:rsid w:val="00A139D6"/>
    <w:rsid w:val="00A173F9"/>
    <w:rsid w:val="00A23DE6"/>
    <w:rsid w:val="00A2486E"/>
    <w:rsid w:val="00A2514B"/>
    <w:rsid w:val="00A26824"/>
    <w:rsid w:val="00A37EF9"/>
    <w:rsid w:val="00A41844"/>
    <w:rsid w:val="00A45537"/>
    <w:rsid w:val="00A46238"/>
    <w:rsid w:val="00A46BD3"/>
    <w:rsid w:val="00A77BD5"/>
    <w:rsid w:val="00A81770"/>
    <w:rsid w:val="00A8365E"/>
    <w:rsid w:val="00A836F4"/>
    <w:rsid w:val="00A87675"/>
    <w:rsid w:val="00A87C62"/>
    <w:rsid w:val="00AA3A37"/>
    <w:rsid w:val="00AB163E"/>
    <w:rsid w:val="00AC3E49"/>
    <w:rsid w:val="00AC5887"/>
    <w:rsid w:val="00AC79A9"/>
    <w:rsid w:val="00AD1516"/>
    <w:rsid w:val="00AE16C4"/>
    <w:rsid w:val="00AE3DD0"/>
    <w:rsid w:val="00AE513E"/>
    <w:rsid w:val="00AE5181"/>
    <w:rsid w:val="00AE5FE1"/>
    <w:rsid w:val="00AF0F3C"/>
    <w:rsid w:val="00AF17B1"/>
    <w:rsid w:val="00AF7DF1"/>
    <w:rsid w:val="00B050CC"/>
    <w:rsid w:val="00B10DAB"/>
    <w:rsid w:val="00B16378"/>
    <w:rsid w:val="00B2137C"/>
    <w:rsid w:val="00B241A8"/>
    <w:rsid w:val="00B26B80"/>
    <w:rsid w:val="00B26EB3"/>
    <w:rsid w:val="00B2796C"/>
    <w:rsid w:val="00B328FE"/>
    <w:rsid w:val="00B34F68"/>
    <w:rsid w:val="00B4018B"/>
    <w:rsid w:val="00B45797"/>
    <w:rsid w:val="00B459B3"/>
    <w:rsid w:val="00B4782D"/>
    <w:rsid w:val="00B51406"/>
    <w:rsid w:val="00B5254C"/>
    <w:rsid w:val="00B5359C"/>
    <w:rsid w:val="00B54B4A"/>
    <w:rsid w:val="00B55DDB"/>
    <w:rsid w:val="00B62EFA"/>
    <w:rsid w:val="00B66FB7"/>
    <w:rsid w:val="00B67472"/>
    <w:rsid w:val="00B70DB5"/>
    <w:rsid w:val="00B71425"/>
    <w:rsid w:val="00B75957"/>
    <w:rsid w:val="00B7649E"/>
    <w:rsid w:val="00B81E9B"/>
    <w:rsid w:val="00B83BC1"/>
    <w:rsid w:val="00B85B25"/>
    <w:rsid w:val="00BA0B5D"/>
    <w:rsid w:val="00BA379A"/>
    <w:rsid w:val="00BA7D48"/>
    <w:rsid w:val="00BC0B39"/>
    <w:rsid w:val="00BC108E"/>
    <w:rsid w:val="00BD28BD"/>
    <w:rsid w:val="00BD5B9E"/>
    <w:rsid w:val="00BE2D33"/>
    <w:rsid w:val="00BF09D3"/>
    <w:rsid w:val="00BF383C"/>
    <w:rsid w:val="00BF548D"/>
    <w:rsid w:val="00BF5BE0"/>
    <w:rsid w:val="00C0782C"/>
    <w:rsid w:val="00C11C5A"/>
    <w:rsid w:val="00C12A63"/>
    <w:rsid w:val="00C17189"/>
    <w:rsid w:val="00C2134F"/>
    <w:rsid w:val="00C361D2"/>
    <w:rsid w:val="00C43FB3"/>
    <w:rsid w:val="00C50A72"/>
    <w:rsid w:val="00C54AD6"/>
    <w:rsid w:val="00C554B6"/>
    <w:rsid w:val="00C5715B"/>
    <w:rsid w:val="00C57B5F"/>
    <w:rsid w:val="00C76280"/>
    <w:rsid w:val="00C840E7"/>
    <w:rsid w:val="00C87850"/>
    <w:rsid w:val="00C9100A"/>
    <w:rsid w:val="00C91018"/>
    <w:rsid w:val="00C924D1"/>
    <w:rsid w:val="00C93D06"/>
    <w:rsid w:val="00C95AC5"/>
    <w:rsid w:val="00CA0FEC"/>
    <w:rsid w:val="00CA20B0"/>
    <w:rsid w:val="00CA3427"/>
    <w:rsid w:val="00CA51EB"/>
    <w:rsid w:val="00CC187E"/>
    <w:rsid w:val="00CC1984"/>
    <w:rsid w:val="00CC26FF"/>
    <w:rsid w:val="00CC6626"/>
    <w:rsid w:val="00CC66D9"/>
    <w:rsid w:val="00CD12ED"/>
    <w:rsid w:val="00CD345B"/>
    <w:rsid w:val="00CE1153"/>
    <w:rsid w:val="00CE16EE"/>
    <w:rsid w:val="00CE54D8"/>
    <w:rsid w:val="00CE7486"/>
    <w:rsid w:val="00CF291D"/>
    <w:rsid w:val="00CF2EF5"/>
    <w:rsid w:val="00CF2FE6"/>
    <w:rsid w:val="00CF60CD"/>
    <w:rsid w:val="00CF72E2"/>
    <w:rsid w:val="00D00F5B"/>
    <w:rsid w:val="00D076CD"/>
    <w:rsid w:val="00D1510D"/>
    <w:rsid w:val="00D16AE8"/>
    <w:rsid w:val="00D2019B"/>
    <w:rsid w:val="00D24AE1"/>
    <w:rsid w:val="00D36C6D"/>
    <w:rsid w:val="00D44A4A"/>
    <w:rsid w:val="00D50870"/>
    <w:rsid w:val="00D5157A"/>
    <w:rsid w:val="00D55D23"/>
    <w:rsid w:val="00D56E4A"/>
    <w:rsid w:val="00D57AF5"/>
    <w:rsid w:val="00D60D6E"/>
    <w:rsid w:val="00D60DA4"/>
    <w:rsid w:val="00D71A36"/>
    <w:rsid w:val="00D7288F"/>
    <w:rsid w:val="00D74E07"/>
    <w:rsid w:val="00D80B99"/>
    <w:rsid w:val="00D8316C"/>
    <w:rsid w:val="00D84FD0"/>
    <w:rsid w:val="00D85064"/>
    <w:rsid w:val="00D85A8A"/>
    <w:rsid w:val="00D86F2E"/>
    <w:rsid w:val="00D874AC"/>
    <w:rsid w:val="00D91478"/>
    <w:rsid w:val="00D93990"/>
    <w:rsid w:val="00D95C66"/>
    <w:rsid w:val="00D97459"/>
    <w:rsid w:val="00D97C86"/>
    <w:rsid w:val="00DA036F"/>
    <w:rsid w:val="00DA1A59"/>
    <w:rsid w:val="00DA58F0"/>
    <w:rsid w:val="00DB6542"/>
    <w:rsid w:val="00DC2214"/>
    <w:rsid w:val="00DC2703"/>
    <w:rsid w:val="00DC738B"/>
    <w:rsid w:val="00DD7201"/>
    <w:rsid w:val="00DE68EE"/>
    <w:rsid w:val="00DF7D86"/>
    <w:rsid w:val="00E05E49"/>
    <w:rsid w:val="00E0615E"/>
    <w:rsid w:val="00E06415"/>
    <w:rsid w:val="00E13FE4"/>
    <w:rsid w:val="00E1471F"/>
    <w:rsid w:val="00E271CF"/>
    <w:rsid w:val="00E305DD"/>
    <w:rsid w:val="00E32D34"/>
    <w:rsid w:val="00E34AB9"/>
    <w:rsid w:val="00E3622D"/>
    <w:rsid w:val="00E4304B"/>
    <w:rsid w:val="00E434BC"/>
    <w:rsid w:val="00E45D22"/>
    <w:rsid w:val="00E50D55"/>
    <w:rsid w:val="00E519DF"/>
    <w:rsid w:val="00E5593E"/>
    <w:rsid w:val="00E6000B"/>
    <w:rsid w:val="00E63238"/>
    <w:rsid w:val="00E638A7"/>
    <w:rsid w:val="00E65FED"/>
    <w:rsid w:val="00E67804"/>
    <w:rsid w:val="00E70179"/>
    <w:rsid w:val="00E713EE"/>
    <w:rsid w:val="00E72245"/>
    <w:rsid w:val="00E84C3D"/>
    <w:rsid w:val="00E93D4C"/>
    <w:rsid w:val="00E94262"/>
    <w:rsid w:val="00E9522A"/>
    <w:rsid w:val="00E97D41"/>
    <w:rsid w:val="00EA1BFC"/>
    <w:rsid w:val="00EA2162"/>
    <w:rsid w:val="00EA2439"/>
    <w:rsid w:val="00EA282F"/>
    <w:rsid w:val="00EB0CD9"/>
    <w:rsid w:val="00EB5538"/>
    <w:rsid w:val="00EC1B0D"/>
    <w:rsid w:val="00EC2402"/>
    <w:rsid w:val="00EC35AA"/>
    <w:rsid w:val="00EC6C0C"/>
    <w:rsid w:val="00EC7D5C"/>
    <w:rsid w:val="00ED2850"/>
    <w:rsid w:val="00EE3613"/>
    <w:rsid w:val="00EF42E1"/>
    <w:rsid w:val="00EF4B3F"/>
    <w:rsid w:val="00F0476A"/>
    <w:rsid w:val="00F17F1C"/>
    <w:rsid w:val="00F248D5"/>
    <w:rsid w:val="00F25FE5"/>
    <w:rsid w:val="00F26EA6"/>
    <w:rsid w:val="00F30A7C"/>
    <w:rsid w:val="00F32A21"/>
    <w:rsid w:val="00F345BA"/>
    <w:rsid w:val="00F36459"/>
    <w:rsid w:val="00F41AC8"/>
    <w:rsid w:val="00F43E0C"/>
    <w:rsid w:val="00F512C5"/>
    <w:rsid w:val="00F51CDB"/>
    <w:rsid w:val="00F52F26"/>
    <w:rsid w:val="00F53669"/>
    <w:rsid w:val="00F66656"/>
    <w:rsid w:val="00F75150"/>
    <w:rsid w:val="00F77115"/>
    <w:rsid w:val="00F82809"/>
    <w:rsid w:val="00F86CFC"/>
    <w:rsid w:val="00F91378"/>
    <w:rsid w:val="00F91B1D"/>
    <w:rsid w:val="00F9450C"/>
    <w:rsid w:val="00FA207C"/>
    <w:rsid w:val="00FB0F24"/>
    <w:rsid w:val="00FB3863"/>
    <w:rsid w:val="00FB7E04"/>
    <w:rsid w:val="00FC1C6B"/>
    <w:rsid w:val="00FC205B"/>
    <w:rsid w:val="00FD6179"/>
    <w:rsid w:val="00FE1B6F"/>
    <w:rsid w:val="00FE3175"/>
    <w:rsid w:val="00FE4ACA"/>
    <w:rsid w:val="00FE7780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Props1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474C02EB-AEDA-4445-A3F3-968BC8921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743</Words>
  <Characters>4241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Carlos Y. Rosado Cruz</cp:lastModifiedBy>
  <cp:revision>3</cp:revision>
  <cp:lastPrinted>2025-02-26T14:29:00Z</cp:lastPrinted>
  <dcterms:created xsi:type="dcterms:W3CDTF">2025-08-29T14:15:00Z</dcterms:created>
  <dcterms:modified xsi:type="dcterms:W3CDTF">2025-08-29T14:22:00Z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