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00AE4" w14:textId="13BB9231" w:rsidR="00F07E1E" w:rsidRPr="001D7FDD" w:rsidRDefault="00771001" w:rsidP="000C26D2">
      <w:pPr>
        <w:pStyle w:val="Title"/>
        <w:tabs>
          <w:tab w:val="left" w:pos="1905"/>
          <w:tab w:val="center" w:pos="4680"/>
        </w:tabs>
        <w:rPr>
          <w:rFonts w:ascii="Book Antiqua" w:hAnsi="Book Antiqua"/>
          <w:b w:val="0"/>
          <w:bCs w:val="0"/>
          <w:sz w:val="28"/>
          <w:szCs w:val="28"/>
        </w:rPr>
      </w:pPr>
      <w:r>
        <w:rPr>
          <w:rFonts w:ascii="Book Antiqua" w:hAnsi="Book Antiqua"/>
          <w:b w:val="0"/>
          <w:bCs w:val="0"/>
          <w:sz w:val="28"/>
          <w:szCs w:val="28"/>
        </w:rPr>
        <w:t>GOBIERNO</w:t>
      </w:r>
      <w:r w:rsidR="006B05D2" w:rsidRPr="001D7FDD">
        <w:rPr>
          <w:rFonts w:ascii="Book Antiqua" w:hAnsi="Book Antiqua"/>
          <w:b w:val="0"/>
          <w:bCs w:val="0"/>
          <w:sz w:val="28"/>
          <w:szCs w:val="28"/>
        </w:rPr>
        <w:t xml:space="preserve"> </w:t>
      </w:r>
      <w:r w:rsidR="00F07E1E" w:rsidRPr="001D7FDD">
        <w:rPr>
          <w:rFonts w:ascii="Book Antiqua" w:hAnsi="Book Antiqua"/>
          <w:b w:val="0"/>
          <w:bCs w:val="0"/>
          <w:sz w:val="28"/>
          <w:szCs w:val="28"/>
        </w:rPr>
        <w:t>DE PUERTO RICO</w:t>
      </w:r>
    </w:p>
    <w:p w14:paraId="62EEBD38" w14:textId="77777777" w:rsidR="00F07E1E" w:rsidRPr="001D7FDD" w:rsidRDefault="00F07E1E">
      <w:pPr>
        <w:pStyle w:val="Title"/>
        <w:rPr>
          <w:rFonts w:ascii="Book Antiqua" w:hAnsi="Book Antiqua"/>
          <w:b w:val="0"/>
          <w:bCs w:val="0"/>
        </w:rPr>
      </w:pPr>
    </w:p>
    <w:p w14:paraId="7BDDF8DD" w14:textId="61033A98" w:rsidR="00F07E1E" w:rsidRPr="001D7FDD" w:rsidRDefault="00EC1C31">
      <w:pPr>
        <w:jc w:val="both"/>
        <w:rPr>
          <w:rFonts w:ascii="Book Antiqua" w:hAnsi="Book Antiqua"/>
          <w:sz w:val="24"/>
        </w:rPr>
      </w:pPr>
      <w:r>
        <w:rPr>
          <w:rFonts w:ascii="Book Antiqua" w:hAnsi="Book Antiqua"/>
          <w:sz w:val="24"/>
        </w:rPr>
        <w:t>20ma</w:t>
      </w:r>
      <w:r w:rsidR="00F07E1E" w:rsidRPr="001D7FDD">
        <w:rPr>
          <w:rFonts w:ascii="Book Antiqua" w:hAnsi="Book Antiqua"/>
          <w:sz w:val="24"/>
        </w:rPr>
        <w:t xml:space="preserve">. Asamblea                                                                                      </w:t>
      </w:r>
      <w:r w:rsidR="00C222BD" w:rsidRPr="001D7FDD">
        <w:rPr>
          <w:rFonts w:ascii="Book Antiqua" w:hAnsi="Book Antiqua"/>
          <w:sz w:val="24"/>
        </w:rPr>
        <w:t xml:space="preserve">    </w:t>
      </w:r>
      <w:r w:rsidR="00D80C58" w:rsidRPr="001D7FDD">
        <w:rPr>
          <w:rFonts w:ascii="Book Antiqua" w:hAnsi="Book Antiqua"/>
          <w:sz w:val="24"/>
        </w:rPr>
        <w:t xml:space="preserve">        </w:t>
      </w:r>
      <w:r w:rsidR="00007463" w:rsidRPr="001D7FDD">
        <w:rPr>
          <w:rFonts w:ascii="Book Antiqua" w:hAnsi="Book Antiqua"/>
          <w:sz w:val="24"/>
        </w:rPr>
        <w:t xml:space="preserve">  </w:t>
      </w:r>
      <w:r w:rsidR="00D80C58" w:rsidRPr="001D7FDD">
        <w:rPr>
          <w:rFonts w:ascii="Book Antiqua" w:hAnsi="Book Antiqua"/>
          <w:sz w:val="24"/>
        </w:rPr>
        <w:t xml:space="preserve">   </w:t>
      </w:r>
      <w:r>
        <w:rPr>
          <w:rFonts w:ascii="Book Antiqua" w:hAnsi="Book Antiqua"/>
          <w:sz w:val="24"/>
        </w:rPr>
        <w:t>1ra</w:t>
      </w:r>
      <w:r w:rsidR="00F07E1E" w:rsidRPr="001D7FDD">
        <w:rPr>
          <w:rFonts w:ascii="Book Antiqua" w:hAnsi="Book Antiqua"/>
          <w:sz w:val="24"/>
        </w:rPr>
        <w:t xml:space="preserve">. Sesión </w:t>
      </w:r>
    </w:p>
    <w:p w14:paraId="0DA1293B" w14:textId="77777777" w:rsidR="00F07E1E" w:rsidRPr="001D7FDD" w:rsidRDefault="00F07E1E">
      <w:pPr>
        <w:jc w:val="both"/>
        <w:rPr>
          <w:rFonts w:ascii="Book Antiqua" w:hAnsi="Book Antiqua"/>
          <w:sz w:val="24"/>
        </w:rPr>
      </w:pPr>
      <w:r w:rsidRPr="001D7FDD">
        <w:rPr>
          <w:rFonts w:ascii="Book Antiqua" w:hAnsi="Book Antiqua"/>
          <w:sz w:val="24"/>
        </w:rPr>
        <w:t xml:space="preserve">       </w:t>
      </w:r>
      <w:r w:rsidR="00D810B2" w:rsidRPr="001D7FDD">
        <w:rPr>
          <w:rFonts w:ascii="Book Antiqua" w:hAnsi="Book Antiqua"/>
          <w:sz w:val="24"/>
        </w:rPr>
        <w:t xml:space="preserve"> </w:t>
      </w:r>
      <w:r w:rsidR="00D80C58" w:rsidRPr="001D7FDD">
        <w:rPr>
          <w:rFonts w:ascii="Book Antiqua" w:hAnsi="Book Antiqua"/>
          <w:sz w:val="24"/>
        </w:rPr>
        <w:t xml:space="preserve"> </w:t>
      </w:r>
      <w:r w:rsidR="00402592" w:rsidRPr="001D7FDD">
        <w:rPr>
          <w:rFonts w:ascii="Book Antiqua" w:hAnsi="Book Antiqua"/>
          <w:sz w:val="24"/>
        </w:rPr>
        <w:t xml:space="preserve">  </w:t>
      </w:r>
      <w:r w:rsidRPr="001D7FDD">
        <w:rPr>
          <w:rFonts w:ascii="Book Antiqua" w:hAnsi="Book Antiqua"/>
          <w:sz w:val="24"/>
        </w:rPr>
        <w:t xml:space="preserve">Legislativa                                                                                   </w:t>
      </w:r>
      <w:r w:rsidR="00D810B2" w:rsidRPr="001D7FDD">
        <w:rPr>
          <w:rFonts w:ascii="Book Antiqua" w:hAnsi="Book Antiqua"/>
          <w:sz w:val="24"/>
        </w:rPr>
        <w:t xml:space="preserve">    </w:t>
      </w:r>
      <w:r w:rsidR="001150AB" w:rsidRPr="001D7FDD">
        <w:rPr>
          <w:rFonts w:ascii="Book Antiqua" w:hAnsi="Book Antiqua"/>
          <w:sz w:val="24"/>
        </w:rPr>
        <w:t xml:space="preserve"> </w:t>
      </w:r>
      <w:r w:rsidR="00C222BD" w:rsidRPr="001D7FDD">
        <w:rPr>
          <w:rFonts w:ascii="Book Antiqua" w:hAnsi="Book Antiqua"/>
          <w:sz w:val="24"/>
        </w:rPr>
        <w:t xml:space="preserve">      </w:t>
      </w:r>
      <w:r w:rsidR="00D810B2" w:rsidRPr="001D7FDD">
        <w:rPr>
          <w:rFonts w:ascii="Book Antiqua" w:hAnsi="Book Antiqua"/>
          <w:sz w:val="24"/>
        </w:rPr>
        <w:t xml:space="preserve"> </w:t>
      </w:r>
      <w:r w:rsidR="00402592" w:rsidRPr="001D7FDD">
        <w:rPr>
          <w:rFonts w:ascii="Book Antiqua" w:hAnsi="Book Antiqua"/>
          <w:sz w:val="24"/>
        </w:rPr>
        <w:t xml:space="preserve"> </w:t>
      </w:r>
      <w:r w:rsidR="00D80C58" w:rsidRPr="001D7FDD">
        <w:rPr>
          <w:rFonts w:ascii="Book Antiqua" w:hAnsi="Book Antiqua"/>
          <w:sz w:val="24"/>
        </w:rPr>
        <w:t xml:space="preserve">            </w:t>
      </w:r>
      <w:r w:rsidRPr="001D7FDD">
        <w:rPr>
          <w:rFonts w:ascii="Book Antiqua" w:hAnsi="Book Antiqua"/>
          <w:sz w:val="24"/>
        </w:rPr>
        <w:t xml:space="preserve">Ordinaria </w:t>
      </w:r>
    </w:p>
    <w:p w14:paraId="7AB7621F" w14:textId="77777777" w:rsidR="00F07E1E" w:rsidRPr="001D7FDD" w:rsidRDefault="00F07E1E">
      <w:pPr>
        <w:jc w:val="both"/>
        <w:rPr>
          <w:rFonts w:ascii="Book Antiqua" w:hAnsi="Book Antiqua"/>
          <w:sz w:val="24"/>
        </w:rPr>
      </w:pPr>
    </w:p>
    <w:p w14:paraId="683C271C" w14:textId="77777777" w:rsidR="00F07E1E" w:rsidRPr="001D7FDD" w:rsidRDefault="00A93787">
      <w:pPr>
        <w:pStyle w:val="Heading3"/>
        <w:rPr>
          <w:rFonts w:ascii="Book Antiqua" w:hAnsi="Book Antiqua"/>
          <w:sz w:val="36"/>
        </w:rPr>
      </w:pPr>
      <w:r w:rsidRPr="001D7FDD">
        <w:rPr>
          <w:rFonts w:ascii="Book Antiqua" w:hAnsi="Book Antiqua"/>
          <w:sz w:val="36"/>
        </w:rPr>
        <w:t>C</w:t>
      </w:r>
      <w:r w:rsidR="004027DC" w:rsidRPr="001D7FDD">
        <w:rPr>
          <w:rFonts w:ascii="Book Antiqua" w:hAnsi="Book Antiqua"/>
          <w:sz w:val="36"/>
        </w:rPr>
        <w:t>Á</w:t>
      </w:r>
      <w:r w:rsidRPr="001D7FDD">
        <w:rPr>
          <w:rFonts w:ascii="Book Antiqua" w:hAnsi="Book Antiqua"/>
          <w:sz w:val="36"/>
        </w:rPr>
        <w:t xml:space="preserve">MARA </w:t>
      </w:r>
      <w:r w:rsidR="00F07E1E" w:rsidRPr="001D7FDD">
        <w:rPr>
          <w:rFonts w:ascii="Book Antiqua" w:hAnsi="Book Antiqua"/>
          <w:sz w:val="36"/>
        </w:rPr>
        <w:t>DE REPRESENTANTES</w:t>
      </w:r>
    </w:p>
    <w:p w14:paraId="66B55415" w14:textId="77777777" w:rsidR="00F07E1E" w:rsidRPr="001D7FDD" w:rsidRDefault="00F07E1E">
      <w:pPr>
        <w:pStyle w:val="Heading2"/>
        <w:rPr>
          <w:rFonts w:ascii="Book Antiqua" w:hAnsi="Book Antiqua"/>
          <w:sz w:val="24"/>
        </w:rPr>
      </w:pPr>
      <w:r w:rsidRPr="001D7FDD">
        <w:rPr>
          <w:rFonts w:ascii="Book Antiqua" w:hAnsi="Book Antiqua"/>
          <w:sz w:val="24"/>
        </w:rPr>
        <w:t xml:space="preserve">                                  </w:t>
      </w:r>
    </w:p>
    <w:p w14:paraId="55678D95" w14:textId="4D9E21CD" w:rsidR="00F07E1E" w:rsidRPr="001D7FDD" w:rsidRDefault="00F07E1E">
      <w:pPr>
        <w:pStyle w:val="Heading2"/>
        <w:jc w:val="center"/>
        <w:rPr>
          <w:rFonts w:ascii="Book Antiqua" w:hAnsi="Book Antiqua"/>
          <w:b/>
          <w:sz w:val="52"/>
          <w:szCs w:val="52"/>
        </w:rPr>
      </w:pPr>
      <w:r w:rsidRPr="001D7FDD">
        <w:rPr>
          <w:rFonts w:ascii="Book Antiqua" w:hAnsi="Book Antiqua"/>
          <w:b/>
          <w:sz w:val="52"/>
          <w:szCs w:val="52"/>
        </w:rPr>
        <w:t xml:space="preserve">P. de la C. </w:t>
      </w:r>
      <w:r w:rsidR="00EF6A91">
        <w:rPr>
          <w:rFonts w:ascii="Book Antiqua" w:hAnsi="Book Antiqua"/>
          <w:b/>
          <w:sz w:val="52"/>
          <w:szCs w:val="52"/>
        </w:rPr>
        <w:t>137</w:t>
      </w:r>
    </w:p>
    <w:p w14:paraId="00AF72D0" w14:textId="77777777" w:rsidR="00F07E1E" w:rsidRPr="001D7FDD" w:rsidRDefault="00F07E1E">
      <w:pPr>
        <w:rPr>
          <w:rFonts w:ascii="Book Antiqua" w:hAnsi="Book Antiqua"/>
          <w:sz w:val="24"/>
        </w:rPr>
      </w:pPr>
    </w:p>
    <w:p w14:paraId="65D43555" w14:textId="4023817A" w:rsidR="00F07E1E" w:rsidRPr="001D7FDD" w:rsidRDefault="00EF6A91">
      <w:pPr>
        <w:jc w:val="center"/>
        <w:rPr>
          <w:rFonts w:ascii="Book Antiqua" w:hAnsi="Book Antiqua"/>
          <w:sz w:val="24"/>
        </w:rPr>
      </w:pPr>
      <w:r>
        <w:rPr>
          <w:rFonts w:ascii="Book Antiqua" w:hAnsi="Book Antiqua"/>
          <w:sz w:val="24"/>
        </w:rPr>
        <w:t xml:space="preserve">8 </w:t>
      </w:r>
      <w:r w:rsidR="00EC1C31">
        <w:rPr>
          <w:rFonts w:ascii="Book Antiqua" w:hAnsi="Book Antiqua"/>
          <w:sz w:val="24"/>
        </w:rPr>
        <w:t>DE ENERO DE 2025</w:t>
      </w:r>
    </w:p>
    <w:p w14:paraId="190ED852" w14:textId="77777777" w:rsidR="00F07E1E" w:rsidRPr="001D7FDD" w:rsidRDefault="00F07E1E">
      <w:pPr>
        <w:jc w:val="both"/>
        <w:rPr>
          <w:rFonts w:ascii="Book Antiqua" w:hAnsi="Book Antiqua"/>
          <w:sz w:val="24"/>
        </w:rPr>
      </w:pPr>
      <w:r w:rsidRPr="001D7FDD">
        <w:rPr>
          <w:rFonts w:ascii="Book Antiqua" w:hAnsi="Book Antiqua"/>
          <w:sz w:val="24"/>
        </w:rPr>
        <w:t xml:space="preserve">                              </w:t>
      </w:r>
    </w:p>
    <w:p w14:paraId="698D89F1" w14:textId="77777777" w:rsidR="00F07E1E" w:rsidRPr="001D7FDD" w:rsidRDefault="00F07E1E">
      <w:pPr>
        <w:pStyle w:val="Heading4"/>
        <w:jc w:val="center"/>
        <w:rPr>
          <w:rFonts w:ascii="Book Antiqua" w:hAnsi="Book Antiqua"/>
        </w:rPr>
      </w:pPr>
      <w:r w:rsidRPr="001D7FDD">
        <w:rPr>
          <w:rFonts w:ascii="Book Antiqua" w:hAnsi="Book Antiqua"/>
        </w:rPr>
        <w:t xml:space="preserve">Presentado por </w:t>
      </w:r>
      <w:r w:rsidR="006A5748" w:rsidRPr="001D7FDD">
        <w:rPr>
          <w:rFonts w:ascii="Book Antiqua" w:hAnsi="Book Antiqua"/>
        </w:rPr>
        <w:t>el</w:t>
      </w:r>
      <w:r w:rsidR="0011157E" w:rsidRPr="001D7FDD">
        <w:rPr>
          <w:rFonts w:ascii="Book Antiqua" w:hAnsi="Book Antiqua"/>
        </w:rPr>
        <w:t xml:space="preserve"> </w:t>
      </w:r>
      <w:r w:rsidRPr="001D7FDD">
        <w:rPr>
          <w:rFonts w:ascii="Book Antiqua" w:hAnsi="Book Antiqua"/>
        </w:rPr>
        <w:t xml:space="preserve">representante </w:t>
      </w:r>
      <w:proofErr w:type="spellStart"/>
      <w:r w:rsidR="00DC05CD" w:rsidRPr="001D7FDD">
        <w:rPr>
          <w:rFonts w:ascii="Book Antiqua" w:hAnsi="Book Antiqua"/>
          <w:i/>
          <w:iCs/>
        </w:rPr>
        <w:t>Morey</w:t>
      </w:r>
      <w:proofErr w:type="spellEnd"/>
      <w:r w:rsidR="00DC05CD" w:rsidRPr="001D7FDD">
        <w:rPr>
          <w:rFonts w:ascii="Book Antiqua" w:hAnsi="Book Antiqua"/>
          <w:i/>
          <w:iCs/>
        </w:rPr>
        <w:t xml:space="preserve"> Noble</w:t>
      </w:r>
    </w:p>
    <w:p w14:paraId="75F1DFAE" w14:textId="77777777" w:rsidR="00F07E1E" w:rsidRPr="001D7FDD" w:rsidRDefault="00F07E1E">
      <w:pPr>
        <w:rPr>
          <w:rFonts w:ascii="Book Antiqua" w:hAnsi="Book Antiqua"/>
          <w:sz w:val="24"/>
        </w:rPr>
      </w:pPr>
    </w:p>
    <w:p w14:paraId="5B1EFD16" w14:textId="43C8D5D0" w:rsidR="00F07E1E" w:rsidRPr="001D7FDD" w:rsidRDefault="00F07E1E" w:rsidP="004027DC">
      <w:pPr>
        <w:pStyle w:val="Heading5"/>
        <w:rPr>
          <w:rFonts w:ascii="Book Antiqua" w:hAnsi="Book Antiqua"/>
        </w:rPr>
      </w:pPr>
      <w:r w:rsidRPr="001D7FDD">
        <w:rPr>
          <w:rFonts w:ascii="Book Antiqua" w:hAnsi="Book Antiqua"/>
        </w:rPr>
        <w:t xml:space="preserve">Referido a </w:t>
      </w:r>
      <w:r w:rsidR="009A3207">
        <w:rPr>
          <w:rFonts w:ascii="Book Antiqua" w:hAnsi="Book Antiqua"/>
        </w:rPr>
        <w:t>la Comisión de Hacienda</w:t>
      </w:r>
    </w:p>
    <w:p w14:paraId="4EE01DF7" w14:textId="77777777" w:rsidR="00F07E1E" w:rsidRPr="001D7FDD" w:rsidRDefault="00F07E1E">
      <w:pPr>
        <w:jc w:val="both"/>
        <w:rPr>
          <w:rFonts w:ascii="Book Antiqua" w:hAnsi="Book Antiqua"/>
          <w:sz w:val="24"/>
        </w:rPr>
      </w:pPr>
    </w:p>
    <w:p w14:paraId="06EA78EE" w14:textId="77777777" w:rsidR="00F07E1E" w:rsidRPr="001D7FDD" w:rsidRDefault="00F07E1E">
      <w:pPr>
        <w:pStyle w:val="Heading6"/>
        <w:rPr>
          <w:rFonts w:ascii="Book Antiqua" w:hAnsi="Book Antiqua"/>
        </w:rPr>
      </w:pPr>
      <w:r w:rsidRPr="001D7FDD">
        <w:rPr>
          <w:rFonts w:ascii="Book Antiqua" w:hAnsi="Book Antiqua"/>
        </w:rPr>
        <w:t>LEY</w:t>
      </w:r>
    </w:p>
    <w:p w14:paraId="6C2E0106" w14:textId="77777777" w:rsidR="00F07E1E" w:rsidRPr="001D7FDD" w:rsidRDefault="00F07E1E">
      <w:pPr>
        <w:rPr>
          <w:rFonts w:ascii="Book Antiqua" w:hAnsi="Book Antiqua"/>
          <w:sz w:val="24"/>
        </w:rPr>
      </w:pPr>
    </w:p>
    <w:p w14:paraId="3BEA36B8" w14:textId="77777777" w:rsidR="00F07E1E" w:rsidRPr="001D7FDD" w:rsidRDefault="00F07E1E" w:rsidP="000C26D2">
      <w:pPr>
        <w:pStyle w:val="BodyText"/>
        <w:ind w:left="540" w:hanging="540"/>
        <w:rPr>
          <w:rFonts w:ascii="Book Antiqua" w:hAnsi="Book Antiqua"/>
        </w:rPr>
      </w:pPr>
      <w:r w:rsidRPr="001D7FDD">
        <w:rPr>
          <w:rFonts w:ascii="Book Antiqua" w:hAnsi="Book Antiqua"/>
        </w:rPr>
        <w:t xml:space="preserve">Para </w:t>
      </w:r>
      <w:r w:rsidR="00402592" w:rsidRPr="001D7FDD">
        <w:rPr>
          <w:rFonts w:ascii="Book Antiqua" w:hAnsi="Book Antiqua"/>
        </w:rPr>
        <w:t xml:space="preserve">enmendar </w:t>
      </w:r>
      <w:r w:rsidR="006E46E8" w:rsidRPr="001D7FDD">
        <w:rPr>
          <w:rFonts w:ascii="Book Antiqua" w:hAnsi="Book Antiqua"/>
        </w:rPr>
        <w:t xml:space="preserve">el Artículo 7 de la Ley 103-2006, según enmendada, conocida como </w:t>
      </w:r>
      <w:r w:rsidR="004027DC" w:rsidRPr="001D7FDD">
        <w:rPr>
          <w:rFonts w:ascii="Book Antiqua" w:hAnsi="Book Antiqua"/>
        </w:rPr>
        <w:t>“</w:t>
      </w:r>
      <w:r w:rsidR="006E46E8" w:rsidRPr="001D7FDD">
        <w:rPr>
          <w:rFonts w:ascii="Book Antiqua" w:hAnsi="Book Antiqua"/>
        </w:rPr>
        <w:t>Ley para la Reforma Fiscal del Gobierno de Puerto Rico de 2006</w:t>
      </w:r>
      <w:r w:rsidR="004027DC" w:rsidRPr="001D7FDD">
        <w:rPr>
          <w:rFonts w:ascii="Book Antiqua" w:hAnsi="Book Antiqua"/>
        </w:rPr>
        <w:t>”</w:t>
      </w:r>
      <w:r w:rsidR="006E46E8" w:rsidRPr="001D7FDD">
        <w:rPr>
          <w:rFonts w:ascii="Book Antiqua" w:hAnsi="Book Antiqua"/>
        </w:rPr>
        <w:t xml:space="preserve">, a los fines de disponer que las resoluciones conjuntas </w:t>
      </w:r>
      <w:r w:rsidR="00BA381E" w:rsidRPr="001D7FDD">
        <w:rPr>
          <w:rFonts w:ascii="Book Antiqua" w:hAnsi="Book Antiqua"/>
        </w:rPr>
        <w:t xml:space="preserve">y cualquier otra legislación que </w:t>
      </w:r>
      <w:r w:rsidR="006E46E8" w:rsidRPr="001D7FDD">
        <w:rPr>
          <w:rFonts w:ascii="Book Antiqua" w:hAnsi="Book Antiqua"/>
        </w:rPr>
        <w:t>comprend</w:t>
      </w:r>
      <w:r w:rsidR="00BA381E" w:rsidRPr="001D7FDD">
        <w:rPr>
          <w:rFonts w:ascii="Book Antiqua" w:hAnsi="Book Antiqua"/>
        </w:rPr>
        <w:t>a</w:t>
      </w:r>
      <w:r w:rsidR="006E46E8" w:rsidRPr="001D7FDD">
        <w:rPr>
          <w:rFonts w:ascii="Book Antiqua" w:hAnsi="Book Antiqua"/>
        </w:rPr>
        <w:t xml:space="preserve"> el Presupuesto General de Gastos del Gobierno de Puerto Rico, inclu</w:t>
      </w:r>
      <w:r w:rsidR="00BA381E" w:rsidRPr="001D7FDD">
        <w:rPr>
          <w:rFonts w:ascii="Book Antiqua" w:hAnsi="Book Antiqua"/>
        </w:rPr>
        <w:t>irá</w:t>
      </w:r>
      <w:r w:rsidR="006E46E8" w:rsidRPr="001D7FDD">
        <w:rPr>
          <w:rFonts w:ascii="Book Antiqua" w:hAnsi="Book Antiqua"/>
        </w:rPr>
        <w:t xml:space="preserve"> una sección que evalúe </w:t>
      </w:r>
      <w:r w:rsidR="006E46E8" w:rsidRPr="001D7FDD">
        <w:rPr>
          <w:rFonts w:ascii="Book Antiqua" w:hAnsi="Book Antiqua" w:cs="ArialMT"/>
        </w:rPr>
        <w:t xml:space="preserve">cuantitativa y cualitativamente el impacto eventual en el mediano plazo, de las políticas de ingresos, gastos y financiamiento a partir de las cuales se elaboraron las referidas </w:t>
      </w:r>
      <w:r w:rsidR="00BA381E" w:rsidRPr="001D7FDD">
        <w:rPr>
          <w:rFonts w:ascii="Book Antiqua" w:hAnsi="Book Antiqua" w:cs="ArialMT"/>
        </w:rPr>
        <w:t>legislaciones</w:t>
      </w:r>
      <w:r w:rsidR="006E46E8" w:rsidRPr="001D7FDD">
        <w:rPr>
          <w:rFonts w:ascii="Book Antiqua" w:hAnsi="Book Antiqua" w:cs="ArialMT"/>
        </w:rPr>
        <w:t>, en las variables macroeconómicas, en especial en las finanzas públicas, según los requerimientos que se definan vía reglamento, por la Oficina de Gerencia y Presupuesto</w:t>
      </w:r>
      <w:r w:rsidRPr="001D7FDD">
        <w:rPr>
          <w:rFonts w:ascii="Book Antiqua" w:hAnsi="Book Antiqua"/>
        </w:rPr>
        <w:t>.</w:t>
      </w:r>
    </w:p>
    <w:p w14:paraId="23420E48" w14:textId="77777777" w:rsidR="00F07E1E" w:rsidRPr="001D7FDD" w:rsidRDefault="00F07E1E" w:rsidP="000C26D2">
      <w:pPr>
        <w:pStyle w:val="BodyText"/>
        <w:rPr>
          <w:rFonts w:ascii="Book Antiqua" w:hAnsi="Book Antiqua"/>
        </w:rPr>
      </w:pPr>
    </w:p>
    <w:p w14:paraId="382AA70A" w14:textId="77777777" w:rsidR="00F07E1E" w:rsidRPr="001D7FDD" w:rsidRDefault="00A93787" w:rsidP="000C26D2">
      <w:pPr>
        <w:pStyle w:val="BodyText"/>
        <w:jc w:val="center"/>
        <w:rPr>
          <w:rFonts w:ascii="Book Antiqua" w:hAnsi="Book Antiqua"/>
          <w:bCs/>
        </w:rPr>
      </w:pPr>
      <w:r w:rsidRPr="001D7FDD">
        <w:rPr>
          <w:rFonts w:ascii="Book Antiqua" w:hAnsi="Book Antiqua"/>
          <w:bCs/>
        </w:rPr>
        <w:t>EXPOSICI</w:t>
      </w:r>
      <w:r w:rsidR="006B05D2" w:rsidRPr="001D7FDD">
        <w:rPr>
          <w:rFonts w:ascii="Book Antiqua" w:hAnsi="Book Antiqua"/>
          <w:bCs/>
        </w:rPr>
        <w:t>Ó</w:t>
      </w:r>
      <w:r w:rsidRPr="001D7FDD">
        <w:rPr>
          <w:rFonts w:ascii="Book Antiqua" w:hAnsi="Book Antiqua"/>
          <w:bCs/>
        </w:rPr>
        <w:t xml:space="preserve">N </w:t>
      </w:r>
      <w:r w:rsidR="00F07E1E" w:rsidRPr="001D7FDD">
        <w:rPr>
          <w:rFonts w:ascii="Book Antiqua" w:hAnsi="Book Antiqua"/>
          <w:bCs/>
        </w:rPr>
        <w:t>DE MOTIVOS</w:t>
      </w:r>
    </w:p>
    <w:p w14:paraId="5756FE07" w14:textId="77777777" w:rsidR="00F07E1E" w:rsidRPr="001D7FDD" w:rsidRDefault="00F07E1E" w:rsidP="000C26D2">
      <w:pPr>
        <w:pStyle w:val="BodyText"/>
        <w:rPr>
          <w:rFonts w:ascii="Book Antiqua" w:hAnsi="Book Antiqua"/>
          <w:b/>
        </w:rPr>
      </w:pPr>
    </w:p>
    <w:p w14:paraId="3F5C32C0" w14:textId="77777777" w:rsidR="004027DC" w:rsidRPr="001D7FDD" w:rsidRDefault="00BA381E" w:rsidP="004027DC">
      <w:pPr>
        <w:pStyle w:val="BodyText"/>
        <w:ind w:firstLine="360"/>
        <w:rPr>
          <w:rFonts w:ascii="Book Antiqua" w:hAnsi="Book Antiqua" w:cs="ArialMT"/>
        </w:rPr>
      </w:pPr>
      <w:r w:rsidRPr="001D7FDD">
        <w:rPr>
          <w:rFonts w:ascii="Book Antiqua" w:hAnsi="Book Antiqua"/>
        </w:rPr>
        <w:t xml:space="preserve">El </w:t>
      </w:r>
      <w:r w:rsidRPr="001D7FDD">
        <w:rPr>
          <w:rFonts w:ascii="Book Antiqua" w:hAnsi="Book Antiqua" w:cs="ArialMT"/>
        </w:rPr>
        <w:t>presupuesto es la herramienta más importante en la política económica de corto plazo con la cual cuenta un gobierno. La transparencia, rendición de cuentas y participación pública son las piedras angulares de un gobierno responsable. Sin acceso a la información, los ciudadanos no pueden participar efectivamente en la toma de decisiones y cumplir su labor fiscalizadora. En tiempos de crisis, la gestión de los recursos limitados se torna mucho más importante y, por lo tanto, la credibilidad y eficacia en el uso de estos recursos incrementa su relevancia.</w:t>
      </w:r>
    </w:p>
    <w:p w14:paraId="4F13D248" w14:textId="77777777" w:rsidR="004027DC" w:rsidRPr="001D7FDD" w:rsidRDefault="004027DC" w:rsidP="004027DC">
      <w:pPr>
        <w:pStyle w:val="BodyText"/>
        <w:ind w:firstLine="360"/>
        <w:rPr>
          <w:rFonts w:ascii="Book Antiqua" w:hAnsi="Book Antiqua" w:cs="ArialMT"/>
        </w:rPr>
      </w:pPr>
    </w:p>
    <w:p w14:paraId="4676E887" w14:textId="77777777" w:rsidR="004027DC" w:rsidRPr="001D7FDD" w:rsidRDefault="004027DC" w:rsidP="004027DC">
      <w:pPr>
        <w:pStyle w:val="BodyText"/>
        <w:ind w:firstLine="360"/>
        <w:rPr>
          <w:rFonts w:ascii="Book Antiqua" w:hAnsi="Book Antiqua" w:cs="ArialMT"/>
        </w:rPr>
      </w:pPr>
      <w:r w:rsidRPr="001D7FDD">
        <w:rPr>
          <w:rFonts w:ascii="Book Antiqua" w:hAnsi="Book Antiqua" w:cs="ArialMT"/>
        </w:rPr>
        <w:t xml:space="preserve">Básicamente, </w:t>
      </w:r>
      <w:r w:rsidR="00BA381E" w:rsidRPr="001D7FDD">
        <w:rPr>
          <w:rFonts w:ascii="Book Antiqua" w:hAnsi="Book Antiqua" w:cs="ArialMT"/>
        </w:rPr>
        <w:t xml:space="preserve">las medidas legislativas que componen el presupuesto general de </w:t>
      </w:r>
      <w:proofErr w:type="gramStart"/>
      <w:r w:rsidR="00BA381E" w:rsidRPr="001D7FDD">
        <w:rPr>
          <w:rFonts w:ascii="Book Antiqua" w:hAnsi="Book Antiqua" w:cs="ArialMT"/>
        </w:rPr>
        <w:t>gastos,</w:t>
      </w:r>
      <w:proofErr w:type="gramEnd"/>
      <w:r w:rsidR="00BA381E" w:rsidRPr="001D7FDD">
        <w:rPr>
          <w:rFonts w:ascii="Book Antiqua" w:hAnsi="Book Antiqua" w:cs="ArialMT"/>
        </w:rPr>
        <w:t xml:space="preserve"> se elaboran de acuerdo con un criterio centralizado y una voluntad gubernamental que puede reflejar ciertos intereses, pero en la mayoría de los casos, se hacen sin un sustento técnico de carácter global y provoca que gran parte de los planes y objetivos para los cuales se aprueba el presupuesto, no se cumplan.</w:t>
      </w:r>
    </w:p>
    <w:p w14:paraId="5AC34ABF" w14:textId="77777777" w:rsidR="004027DC" w:rsidRPr="001D7FDD" w:rsidRDefault="004027DC" w:rsidP="004027DC">
      <w:pPr>
        <w:pStyle w:val="BodyText"/>
        <w:ind w:firstLine="360"/>
        <w:rPr>
          <w:rFonts w:ascii="Book Antiqua" w:hAnsi="Book Antiqua" w:cs="ArialMT"/>
        </w:rPr>
      </w:pPr>
      <w:r w:rsidRPr="001D7FDD">
        <w:rPr>
          <w:rFonts w:ascii="Book Antiqua" w:hAnsi="Book Antiqua" w:cs="ArialMT"/>
        </w:rPr>
        <w:lastRenderedPageBreak/>
        <w:t>P</w:t>
      </w:r>
      <w:r w:rsidR="00BA381E" w:rsidRPr="001D7FDD">
        <w:rPr>
          <w:rFonts w:ascii="Book Antiqua" w:hAnsi="Book Antiqua" w:cs="ArialMT"/>
        </w:rPr>
        <w:t xml:space="preserve">or lo anterior, es necesario enmendar </w:t>
      </w:r>
      <w:r w:rsidR="00E37C9C" w:rsidRPr="001D7FDD">
        <w:rPr>
          <w:rFonts w:ascii="Book Antiqua" w:hAnsi="Book Antiqua" w:cs="ArialMT"/>
        </w:rPr>
        <w:t xml:space="preserve">la </w:t>
      </w:r>
      <w:r w:rsidRPr="001D7FDD">
        <w:rPr>
          <w:rFonts w:ascii="Book Antiqua" w:hAnsi="Book Antiqua" w:cs="ArialMT"/>
        </w:rPr>
        <w:t>“</w:t>
      </w:r>
      <w:r w:rsidR="00E37C9C" w:rsidRPr="001D7FDD">
        <w:rPr>
          <w:rFonts w:ascii="Book Antiqua" w:hAnsi="Book Antiqua"/>
        </w:rPr>
        <w:t>Ley para la Reforma Fiscal del Gobierno de Puerto Rico de 2006</w:t>
      </w:r>
      <w:r w:rsidRPr="001D7FDD">
        <w:rPr>
          <w:rFonts w:ascii="Book Antiqua" w:hAnsi="Book Antiqua"/>
        </w:rPr>
        <w:t>”</w:t>
      </w:r>
      <w:r w:rsidR="00E37C9C" w:rsidRPr="001D7FDD">
        <w:rPr>
          <w:rFonts w:ascii="Book Antiqua" w:hAnsi="Book Antiqua"/>
        </w:rPr>
        <w:t xml:space="preserve">, con el propósito de </w:t>
      </w:r>
      <w:r w:rsidR="00BA381E" w:rsidRPr="001D7FDD">
        <w:rPr>
          <w:rFonts w:ascii="Book Antiqua" w:hAnsi="Book Antiqua" w:cs="ArialMT"/>
        </w:rPr>
        <w:t>garantizar la transparencia en la utilización de los fondos públicos, y brindarle al</w:t>
      </w:r>
      <w:r w:rsidR="00E37C9C" w:rsidRPr="001D7FDD">
        <w:rPr>
          <w:rFonts w:ascii="Book Antiqua" w:hAnsi="Book Antiqua" w:cs="ArialMT"/>
        </w:rPr>
        <w:t xml:space="preserve"> </w:t>
      </w:r>
      <w:r w:rsidR="00BA381E" w:rsidRPr="001D7FDD">
        <w:rPr>
          <w:rFonts w:ascii="Book Antiqua" w:hAnsi="Book Antiqua" w:cs="ArialMT"/>
        </w:rPr>
        <w:t>legislador las herramientas necesarias para la adecuada valoración en cuanto a la</w:t>
      </w:r>
      <w:r w:rsidR="00E37C9C" w:rsidRPr="001D7FDD">
        <w:rPr>
          <w:rFonts w:ascii="Book Antiqua" w:hAnsi="Book Antiqua" w:cs="ArialMT"/>
        </w:rPr>
        <w:t xml:space="preserve"> </w:t>
      </w:r>
      <w:r w:rsidR="00BA381E" w:rsidRPr="001D7FDD">
        <w:rPr>
          <w:rFonts w:ascii="Book Antiqua" w:hAnsi="Book Antiqua" w:cs="ArialMT"/>
        </w:rPr>
        <w:t xml:space="preserve">aprobación del Presupuesto </w:t>
      </w:r>
      <w:r w:rsidR="00E37C9C" w:rsidRPr="001D7FDD">
        <w:rPr>
          <w:rFonts w:ascii="Book Antiqua" w:hAnsi="Book Antiqua" w:cs="ArialMT"/>
        </w:rPr>
        <w:t>General de Gastos</w:t>
      </w:r>
      <w:r w:rsidR="00BA381E" w:rsidRPr="001D7FDD">
        <w:rPr>
          <w:rFonts w:ascii="Book Antiqua" w:hAnsi="Book Antiqua" w:cs="ArialMT"/>
        </w:rPr>
        <w:t>.</w:t>
      </w:r>
      <w:r w:rsidRPr="001D7FDD">
        <w:rPr>
          <w:rFonts w:ascii="Book Antiqua" w:hAnsi="Book Antiqua" w:cs="ArialMT"/>
        </w:rPr>
        <w:t xml:space="preserve"> </w:t>
      </w:r>
    </w:p>
    <w:p w14:paraId="11177B13" w14:textId="77777777" w:rsidR="004027DC" w:rsidRPr="001D7FDD" w:rsidRDefault="004027DC" w:rsidP="004027DC">
      <w:pPr>
        <w:pStyle w:val="BodyText"/>
        <w:ind w:firstLine="360"/>
        <w:rPr>
          <w:rFonts w:ascii="Book Antiqua" w:hAnsi="Book Antiqua" w:cs="ArialMT"/>
        </w:rPr>
      </w:pPr>
    </w:p>
    <w:p w14:paraId="4CD93AC7" w14:textId="77777777" w:rsidR="004027DC" w:rsidRPr="001D7FDD" w:rsidRDefault="004027DC" w:rsidP="004027DC">
      <w:pPr>
        <w:pStyle w:val="BodyText"/>
        <w:ind w:firstLine="360"/>
        <w:rPr>
          <w:rFonts w:ascii="Book Antiqua" w:hAnsi="Book Antiqua" w:cs="ArialMT"/>
        </w:rPr>
      </w:pPr>
      <w:r w:rsidRPr="001D7FDD">
        <w:rPr>
          <w:rFonts w:ascii="Book Antiqua" w:hAnsi="Book Antiqua" w:cs="ArialMT"/>
        </w:rPr>
        <w:t xml:space="preserve">Sin duda, se </w:t>
      </w:r>
      <w:r w:rsidR="00BA381E" w:rsidRPr="001D7FDD">
        <w:rPr>
          <w:rFonts w:ascii="Book Antiqua" w:hAnsi="Book Antiqua" w:cs="ArialMT"/>
        </w:rPr>
        <w:t>debe de ejercer un control legislativo eficaz sobre todo</w:t>
      </w:r>
      <w:r w:rsidR="00E37C9C" w:rsidRPr="001D7FDD">
        <w:rPr>
          <w:rFonts w:ascii="Book Antiqua" w:hAnsi="Book Antiqua" w:cs="ArialMT"/>
        </w:rPr>
        <w:t xml:space="preserve"> </w:t>
      </w:r>
      <w:r w:rsidR="00BA381E" w:rsidRPr="001D7FDD">
        <w:rPr>
          <w:rFonts w:ascii="Book Antiqua" w:hAnsi="Book Antiqua" w:cs="ArialMT"/>
        </w:rPr>
        <w:t>el dinero</w:t>
      </w:r>
      <w:r w:rsidR="00E37C9C" w:rsidRPr="001D7FDD">
        <w:rPr>
          <w:rFonts w:ascii="Book Antiqua" w:hAnsi="Book Antiqua" w:cs="ArialMT"/>
        </w:rPr>
        <w:t xml:space="preserve"> </w:t>
      </w:r>
      <w:r w:rsidR="00BA381E" w:rsidRPr="001D7FDD">
        <w:rPr>
          <w:rFonts w:ascii="Book Antiqua" w:hAnsi="Book Antiqua" w:cs="ArialMT"/>
        </w:rPr>
        <w:t>asignado a partidas específicas, pero que simplemente no se gastó y por</w:t>
      </w:r>
      <w:r w:rsidR="00E37C9C" w:rsidRPr="001D7FDD">
        <w:rPr>
          <w:rFonts w:ascii="Book Antiqua" w:hAnsi="Book Antiqua" w:cs="ArialMT"/>
        </w:rPr>
        <w:t xml:space="preserve"> </w:t>
      </w:r>
      <w:r w:rsidR="00BA381E" w:rsidRPr="001D7FDD">
        <w:rPr>
          <w:rFonts w:ascii="Book Antiqua" w:hAnsi="Book Antiqua" w:cs="ArialMT"/>
        </w:rPr>
        <w:t>ende provocó</w:t>
      </w:r>
      <w:r w:rsidR="00E37C9C" w:rsidRPr="001D7FDD">
        <w:rPr>
          <w:rFonts w:ascii="Book Antiqua" w:hAnsi="Book Antiqua" w:cs="ArialMT"/>
        </w:rPr>
        <w:t xml:space="preserve"> </w:t>
      </w:r>
      <w:r w:rsidR="00BA381E" w:rsidRPr="001D7FDD">
        <w:rPr>
          <w:rFonts w:ascii="Book Antiqua" w:hAnsi="Book Antiqua" w:cs="ArialMT"/>
        </w:rPr>
        <w:t>que no se cumplieran los fines establecidos en los planes de</w:t>
      </w:r>
      <w:r w:rsidR="00E37C9C" w:rsidRPr="001D7FDD">
        <w:rPr>
          <w:rFonts w:ascii="Book Antiqua" w:hAnsi="Book Antiqua" w:cs="ArialMT"/>
        </w:rPr>
        <w:t xml:space="preserve"> </w:t>
      </w:r>
      <w:r w:rsidR="00BA381E" w:rsidRPr="001D7FDD">
        <w:rPr>
          <w:rFonts w:ascii="Book Antiqua" w:hAnsi="Book Antiqua" w:cs="ArialMT"/>
        </w:rPr>
        <w:t>desarrollo</w:t>
      </w:r>
      <w:r w:rsidR="00E37C9C" w:rsidRPr="001D7FDD">
        <w:rPr>
          <w:rFonts w:ascii="Book Antiqua" w:hAnsi="Book Antiqua" w:cs="ArialMT"/>
        </w:rPr>
        <w:t>, entre otros</w:t>
      </w:r>
      <w:r w:rsidR="00BA381E" w:rsidRPr="001D7FDD">
        <w:rPr>
          <w:rFonts w:ascii="Book Antiqua" w:hAnsi="Book Antiqua" w:cs="ArialMT"/>
        </w:rPr>
        <w:t>.</w:t>
      </w:r>
      <w:r w:rsidRPr="001D7FDD">
        <w:rPr>
          <w:rFonts w:ascii="Book Antiqua" w:hAnsi="Book Antiqua" w:cs="ArialMT"/>
        </w:rPr>
        <w:t xml:space="preserve"> </w:t>
      </w:r>
    </w:p>
    <w:p w14:paraId="44B0CAF2" w14:textId="77777777" w:rsidR="004027DC" w:rsidRPr="001D7FDD" w:rsidRDefault="004027DC" w:rsidP="004027DC">
      <w:pPr>
        <w:pStyle w:val="BodyText"/>
        <w:ind w:firstLine="360"/>
        <w:rPr>
          <w:rFonts w:ascii="Book Antiqua" w:hAnsi="Book Antiqua" w:cs="ArialMT"/>
        </w:rPr>
      </w:pPr>
    </w:p>
    <w:p w14:paraId="4D6679E8" w14:textId="77777777" w:rsidR="006E46E8" w:rsidRPr="001D7FDD" w:rsidRDefault="00E37C9C" w:rsidP="004027DC">
      <w:pPr>
        <w:pStyle w:val="BodyText"/>
        <w:ind w:firstLine="360"/>
        <w:rPr>
          <w:rFonts w:ascii="Book Antiqua" w:hAnsi="Book Antiqua" w:cs="ArialMT"/>
        </w:rPr>
      </w:pPr>
      <w:r w:rsidRPr="001D7FDD">
        <w:rPr>
          <w:rFonts w:ascii="Book Antiqua" w:hAnsi="Book Antiqua" w:cs="ArialMT"/>
        </w:rPr>
        <w:t>De esta forma, buscamos establecer un mayor carácter vinculante de la planificación y la formulació</w:t>
      </w:r>
      <w:r w:rsidRPr="001D7FDD">
        <w:rPr>
          <w:rFonts w:ascii="Book Antiqua" w:hAnsi="Book Antiqua"/>
        </w:rPr>
        <w:t>n de l</w:t>
      </w:r>
      <w:r w:rsidRPr="001D7FDD">
        <w:rPr>
          <w:rFonts w:ascii="Book Antiqua" w:hAnsi="Book Antiqua" w:cs="ArialMT"/>
        </w:rPr>
        <w:t>os planes gubernamentales, reforzando además el carácter democrático de la planificación de manera que la Asamblea Legislativa, ejerza un control posterior con base en toda la información que se aportará en las medidas legislativas que comprenden el Presupuesto General de Gastos.</w:t>
      </w:r>
    </w:p>
    <w:p w14:paraId="6F5FAADF" w14:textId="77777777" w:rsidR="000C26D2" w:rsidRPr="001D7FDD" w:rsidRDefault="000C26D2" w:rsidP="000C26D2">
      <w:pPr>
        <w:pStyle w:val="BodyText"/>
        <w:ind w:firstLine="720"/>
        <w:rPr>
          <w:rFonts w:ascii="Book Antiqua" w:hAnsi="Book Antiqua"/>
          <w:bCs/>
          <w:i/>
          <w:sz w:val="16"/>
          <w:szCs w:val="16"/>
        </w:rPr>
      </w:pPr>
    </w:p>
    <w:p w14:paraId="442B14F0" w14:textId="77777777" w:rsidR="00F07E1E" w:rsidRPr="001D7FDD" w:rsidRDefault="00813D9B" w:rsidP="000C26D2">
      <w:pPr>
        <w:pStyle w:val="BodyText"/>
        <w:spacing w:line="480" w:lineRule="auto"/>
        <w:rPr>
          <w:rFonts w:ascii="Book Antiqua" w:hAnsi="Book Antiqua"/>
        </w:rPr>
      </w:pPr>
      <w:r w:rsidRPr="001D7FDD">
        <w:rPr>
          <w:rFonts w:ascii="Book Antiqua" w:hAnsi="Book Antiqua"/>
          <w:bCs/>
          <w:i/>
        </w:rPr>
        <w:t>DECR</w:t>
      </w:r>
      <w:r w:rsidR="006B05D2" w:rsidRPr="001D7FDD">
        <w:rPr>
          <w:rFonts w:ascii="Book Antiqua" w:hAnsi="Book Antiqua"/>
          <w:bCs/>
          <w:i/>
        </w:rPr>
        <w:t>É</w:t>
      </w:r>
      <w:r w:rsidRPr="001D7FDD">
        <w:rPr>
          <w:rFonts w:ascii="Book Antiqua" w:hAnsi="Book Antiqua"/>
          <w:bCs/>
          <w:i/>
        </w:rPr>
        <w:t xml:space="preserve">TASE </w:t>
      </w:r>
      <w:r w:rsidR="00F07E1E" w:rsidRPr="001D7FDD">
        <w:rPr>
          <w:rFonts w:ascii="Book Antiqua" w:hAnsi="Book Antiqua"/>
          <w:bCs/>
          <w:i/>
        </w:rPr>
        <w:t>POR LA ASAMBLEA LEGISLATIVA DE PUERTO RICO:</w:t>
      </w:r>
    </w:p>
    <w:p w14:paraId="43CF12A1" w14:textId="77777777" w:rsidR="00F07E1E" w:rsidRPr="001D7FDD" w:rsidRDefault="00F07E1E">
      <w:pPr>
        <w:pStyle w:val="BodyText"/>
        <w:spacing w:line="480" w:lineRule="auto"/>
        <w:ind w:firstLine="720"/>
        <w:rPr>
          <w:rFonts w:ascii="Book Antiqua" w:hAnsi="Book Antiqua"/>
        </w:rPr>
        <w:sectPr w:rsidR="00F07E1E" w:rsidRPr="001D7FDD">
          <w:headerReference w:type="even" r:id="rId7"/>
          <w:headerReference w:type="default" r:id="rId8"/>
          <w:pgSz w:w="12240" w:h="15840"/>
          <w:pgMar w:top="1296" w:right="1440" w:bottom="1296" w:left="1440" w:header="720" w:footer="720" w:gutter="0"/>
          <w:cols w:space="720"/>
          <w:titlePg/>
          <w:docGrid w:linePitch="360"/>
        </w:sectPr>
      </w:pPr>
    </w:p>
    <w:p w14:paraId="7A0A835A" w14:textId="77777777" w:rsidR="004027DC" w:rsidRPr="001D7FDD" w:rsidRDefault="00AE4174" w:rsidP="004027DC">
      <w:pPr>
        <w:pStyle w:val="BodyText"/>
        <w:spacing w:line="480" w:lineRule="auto"/>
        <w:ind w:firstLine="360"/>
        <w:rPr>
          <w:rFonts w:ascii="Book Antiqua" w:hAnsi="Book Antiqua"/>
        </w:rPr>
      </w:pPr>
      <w:r w:rsidRPr="001D7FDD">
        <w:rPr>
          <w:rFonts w:ascii="Book Antiqua" w:hAnsi="Book Antiqua"/>
        </w:rPr>
        <w:t>Sección</w:t>
      </w:r>
      <w:r w:rsidR="003449A3" w:rsidRPr="001D7FDD">
        <w:rPr>
          <w:rFonts w:ascii="Book Antiqua" w:hAnsi="Book Antiqua"/>
        </w:rPr>
        <w:t xml:space="preserve"> </w:t>
      </w:r>
      <w:r w:rsidR="00F07E1E" w:rsidRPr="001D7FDD">
        <w:rPr>
          <w:rFonts w:ascii="Book Antiqua" w:hAnsi="Book Antiqua"/>
        </w:rPr>
        <w:t xml:space="preserve">1.-Se </w:t>
      </w:r>
      <w:r w:rsidR="003449A3" w:rsidRPr="001D7FDD">
        <w:rPr>
          <w:rFonts w:ascii="Book Antiqua" w:hAnsi="Book Antiqua"/>
        </w:rPr>
        <w:t xml:space="preserve">enmienda el </w:t>
      </w:r>
      <w:r w:rsidR="006E46E8" w:rsidRPr="001D7FDD">
        <w:rPr>
          <w:rFonts w:ascii="Book Antiqua" w:hAnsi="Book Antiqua"/>
        </w:rPr>
        <w:t xml:space="preserve">Artículo 7 de la Ley 103-2006, según enmendada, </w:t>
      </w:r>
      <w:r w:rsidR="003449A3" w:rsidRPr="001D7FDD">
        <w:rPr>
          <w:rFonts w:ascii="Book Antiqua" w:hAnsi="Book Antiqua"/>
        </w:rPr>
        <w:t xml:space="preserve">para que </w:t>
      </w:r>
      <w:r w:rsidR="00106596" w:rsidRPr="001D7FDD">
        <w:rPr>
          <w:rFonts w:ascii="Book Antiqua" w:hAnsi="Book Antiqua"/>
        </w:rPr>
        <w:t xml:space="preserve">se </w:t>
      </w:r>
      <w:r w:rsidR="00F07E1E" w:rsidRPr="001D7FDD">
        <w:rPr>
          <w:rFonts w:ascii="Book Antiqua" w:hAnsi="Book Antiqua"/>
        </w:rPr>
        <w:t>le</w:t>
      </w:r>
      <w:r w:rsidR="003449A3" w:rsidRPr="001D7FDD">
        <w:rPr>
          <w:rFonts w:ascii="Book Antiqua" w:hAnsi="Book Antiqua"/>
        </w:rPr>
        <w:t xml:space="preserve">a </w:t>
      </w:r>
      <w:r w:rsidR="00F07E1E" w:rsidRPr="001D7FDD">
        <w:rPr>
          <w:rFonts w:ascii="Book Antiqua" w:hAnsi="Book Antiqua"/>
        </w:rPr>
        <w:t>como sigue:</w:t>
      </w:r>
    </w:p>
    <w:p w14:paraId="005DFDDF" w14:textId="77777777" w:rsidR="004027DC" w:rsidRPr="001D7FDD" w:rsidRDefault="004027DC" w:rsidP="004027DC">
      <w:pPr>
        <w:pStyle w:val="BodyText"/>
        <w:spacing w:line="480" w:lineRule="auto"/>
        <w:ind w:firstLine="360"/>
        <w:rPr>
          <w:rFonts w:ascii="Book Antiqua" w:hAnsi="Book Antiqua"/>
          <w:bCs/>
        </w:rPr>
      </w:pPr>
      <w:r w:rsidRPr="001D7FDD">
        <w:rPr>
          <w:rFonts w:ascii="Book Antiqua" w:hAnsi="Book Antiqua"/>
        </w:rPr>
        <w:t>“</w:t>
      </w:r>
      <w:r w:rsidR="003449A3" w:rsidRPr="001D7FDD">
        <w:rPr>
          <w:rFonts w:ascii="Book Antiqua" w:hAnsi="Book Antiqua"/>
        </w:rPr>
        <w:t xml:space="preserve">Artículo </w:t>
      </w:r>
      <w:r w:rsidR="006E46E8" w:rsidRPr="001D7FDD">
        <w:rPr>
          <w:rFonts w:ascii="Book Antiqua" w:hAnsi="Book Antiqua"/>
        </w:rPr>
        <w:t>7.-</w:t>
      </w:r>
      <w:r w:rsidR="006E46E8" w:rsidRPr="001D7FDD">
        <w:rPr>
          <w:rFonts w:ascii="Book Antiqua" w:hAnsi="Book Antiqua"/>
          <w:bCs/>
        </w:rPr>
        <w:t xml:space="preserve">Aprobación del Presupuesto General de Gastos </w:t>
      </w:r>
    </w:p>
    <w:p w14:paraId="30E11653" w14:textId="77777777" w:rsidR="004027DC" w:rsidRPr="001D7FDD" w:rsidRDefault="009A5744" w:rsidP="004027DC">
      <w:pPr>
        <w:pStyle w:val="BodyText"/>
        <w:spacing w:line="480" w:lineRule="auto"/>
        <w:ind w:firstLine="360"/>
        <w:rPr>
          <w:rFonts w:ascii="Book Antiqua" w:hAnsi="Book Antiqua"/>
          <w:b/>
          <w:bCs/>
        </w:rPr>
      </w:pPr>
      <w:r w:rsidRPr="001D7FDD">
        <w:rPr>
          <w:rFonts w:ascii="Book Antiqua" w:hAnsi="Book Antiqua"/>
        </w:rPr>
        <w:t xml:space="preserve">El Presupuesto General de Gastos del Gobierno del Estado Libre Asociado de Puerto Rico, se aprobará mediante las siguientes Resoluciones: (1) Resolución Conjunta del Presupuesto General de Gastos de Funcionamiento; (2) Resolución Conjunta de Asignaciones Especiales; (3) Resolución Conjunta de Asignaciones para la Construcción de Obra Permanente con cargo al Fondo de Mejoras Públicas, y cualquier otra legislación que pueda ser acordada para la Rama Legislativa y la Rama Ejecutiva. </w:t>
      </w:r>
      <w:r w:rsidRPr="001D7FDD">
        <w:rPr>
          <w:rFonts w:ascii="Book Antiqua" w:hAnsi="Book Antiqua"/>
          <w:i/>
        </w:rPr>
        <w:t xml:space="preserve">Disponiéndose que toda resolución conjunta o cualquier otra legislación que sea parte del presupuesto general de gastos, incluirá una sección que contendrá una evaluación cuantitativa y cualitativa del impacto eventual en el mediano plazo, de las políticas de ingresos, gastos y financiamiento a partir de las cuales se elaboró dicho presupuesto, en las variables macroeconómicas, en especial en las finanzas públicas, según los requerimientos que defina vía reglamento, la Oficina de Gerencia y </w:t>
      </w:r>
      <w:r w:rsidRPr="001D7FDD">
        <w:rPr>
          <w:rFonts w:ascii="Book Antiqua" w:hAnsi="Book Antiqua"/>
          <w:i/>
        </w:rPr>
        <w:lastRenderedPageBreak/>
        <w:t xml:space="preserve">Presupuesto. </w:t>
      </w:r>
      <w:r w:rsidR="004027DC" w:rsidRPr="001D7FDD">
        <w:rPr>
          <w:rFonts w:ascii="Book Antiqua" w:hAnsi="Book Antiqua"/>
          <w:b/>
          <w:bCs/>
          <w:iCs/>
        </w:rPr>
        <w:t>[</w:t>
      </w:r>
      <w:r w:rsidRPr="001D7FDD">
        <w:rPr>
          <w:rFonts w:ascii="Book Antiqua" w:hAnsi="Book Antiqua"/>
          <w:b/>
          <w:bCs/>
        </w:rPr>
        <w:t xml:space="preserve">Para los años fiscales 2014-2015, 2015-2016, y 2016-2017 la Asamblea Legislativa, dentro de la necesidad de circunscribirse a los recaudos o recursos proyectados como disponibles para dicho presupuesto, podrá dentro del proceso presupuestario, aprobar asignaciones especiales por cuantías distintas a las designadas o establecidas en una ley especial o resolución con vigencia previa. </w:t>
      </w:r>
    </w:p>
    <w:p w14:paraId="46223E7A" w14:textId="77777777" w:rsidR="004027DC" w:rsidRPr="001D7FDD" w:rsidRDefault="009A5744" w:rsidP="004027DC">
      <w:pPr>
        <w:pStyle w:val="BodyText"/>
        <w:spacing w:line="480" w:lineRule="auto"/>
        <w:ind w:firstLine="360"/>
        <w:rPr>
          <w:rFonts w:ascii="Book Antiqua" w:hAnsi="Book Antiqua"/>
        </w:rPr>
      </w:pPr>
      <w:r w:rsidRPr="001D7FDD">
        <w:rPr>
          <w:rFonts w:ascii="Book Antiqua" w:hAnsi="Book Antiqua"/>
          <w:b/>
          <w:bCs/>
        </w:rPr>
        <w:t>En el ejercicio de la soberanía y el poder constitucional de la aprobación del Presupuesto General de Gastos que posee la Asamblea Legislativa, queda claramente establecido que la omisión total o parcial de asignaciones no incluidas en la Resolución Conjunta de Asignaciones Especiales no generará deudas, obligación o compromiso alguno con entidades públicas o terceros, salvo las asignaciones que sean aprobadas por legislación posterior a esa Resolución y cualquier ley previa que disponga una cantidad distinta se entenderá sobreseída para los Años Fiscales 2014-2015, 2015-2016 y 2016-2017.</w:t>
      </w:r>
      <w:r w:rsidR="004027DC" w:rsidRPr="001D7FDD">
        <w:rPr>
          <w:rFonts w:ascii="Book Antiqua" w:hAnsi="Book Antiqua"/>
          <w:b/>
          <w:bCs/>
        </w:rPr>
        <w:t>]</w:t>
      </w:r>
      <w:r w:rsidRPr="001D7FDD">
        <w:rPr>
          <w:rFonts w:ascii="Book Antiqua" w:hAnsi="Book Antiqua"/>
        </w:rPr>
        <w:t>”</w:t>
      </w:r>
    </w:p>
    <w:p w14:paraId="2AC3ABC2" w14:textId="77777777" w:rsidR="006B7C40" w:rsidRPr="001D7FDD" w:rsidRDefault="00AE4174" w:rsidP="004027DC">
      <w:pPr>
        <w:pStyle w:val="BodyText"/>
        <w:spacing w:line="480" w:lineRule="auto"/>
        <w:ind w:firstLine="360"/>
        <w:rPr>
          <w:rFonts w:ascii="Book Antiqua" w:hAnsi="Book Antiqua"/>
        </w:rPr>
      </w:pPr>
      <w:r w:rsidRPr="001D7FDD">
        <w:rPr>
          <w:rFonts w:ascii="Book Antiqua" w:hAnsi="Book Antiqua" w:cs="ArialMT"/>
        </w:rPr>
        <w:t>Sección</w:t>
      </w:r>
      <w:r w:rsidR="00BA381E" w:rsidRPr="001D7FDD">
        <w:rPr>
          <w:rFonts w:ascii="Book Antiqua" w:hAnsi="Book Antiqua" w:cs="ArialMT"/>
        </w:rPr>
        <w:t xml:space="preserve"> 2.-</w:t>
      </w:r>
      <w:r w:rsidR="00832B34" w:rsidRPr="001D7FDD">
        <w:rPr>
          <w:rFonts w:ascii="Book Antiqua" w:hAnsi="Book Antiqua"/>
          <w:lang w:val="es-ES_tradnl"/>
        </w:rPr>
        <w:t>Esta Ley entrará en vigor inmediatamente después de su aprobación</w:t>
      </w:r>
      <w:r w:rsidR="00BA381E" w:rsidRPr="001D7FDD">
        <w:rPr>
          <w:rFonts w:ascii="Book Antiqua" w:hAnsi="Book Antiqua"/>
          <w:lang w:val="es-ES_tradnl"/>
        </w:rPr>
        <w:t xml:space="preserve"> y deberá estar debidamente aplicada en las medidas legislativas que compondrán el Presupuesto General de Gastos del Gobierno de Puerto Rico, para el año fiscal 20</w:t>
      </w:r>
      <w:r w:rsidR="004027DC" w:rsidRPr="001D7FDD">
        <w:rPr>
          <w:rFonts w:ascii="Book Antiqua" w:hAnsi="Book Antiqua"/>
          <w:lang w:val="es-ES_tradnl"/>
        </w:rPr>
        <w:t>2</w:t>
      </w:r>
      <w:r w:rsidR="00DC05CD" w:rsidRPr="001D7FDD">
        <w:rPr>
          <w:rFonts w:ascii="Book Antiqua" w:hAnsi="Book Antiqua"/>
          <w:lang w:val="es-ES_tradnl"/>
        </w:rPr>
        <w:t>3</w:t>
      </w:r>
      <w:r w:rsidR="00BA381E" w:rsidRPr="001D7FDD">
        <w:rPr>
          <w:rFonts w:ascii="Book Antiqua" w:hAnsi="Book Antiqua"/>
          <w:lang w:val="es-ES_tradnl"/>
        </w:rPr>
        <w:t>-20</w:t>
      </w:r>
      <w:r w:rsidR="004027DC" w:rsidRPr="001D7FDD">
        <w:rPr>
          <w:rFonts w:ascii="Book Antiqua" w:hAnsi="Book Antiqua"/>
          <w:lang w:val="es-ES_tradnl"/>
        </w:rPr>
        <w:t>2</w:t>
      </w:r>
      <w:r w:rsidR="00DC05CD" w:rsidRPr="001D7FDD">
        <w:rPr>
          <w:rFonts w:ascii="Book Antiqua" w:hAnsi="Book Antiqua"/>
          <w:lang w:val="es-ES_tradnl"/>
        </w:rPr>
        <w:t>4</w:t>
      </w:r>
      <w:r w:rsidR="00BA381E" w:rsidRPr="001D7FDD">
        <w:rPr>
          <w:rFonts w:ascii="Book Antiqua" w:hAnsi="Book Antiqua"/>
          <w:lang w:val="es-ES_tradnl"/>
        </w:rPr>
        <w:t>.</w:t>
      </w:r>
    </w:p>
    <w:sectPr w:rsidR="006B7C40" w:rsidRPr="001D7FDD">
      <w:type w:val="continuous"/>
      <w:pgSz w:w="12240" w:h="15840" w:code="1"/>
      <w:pgMar w:top="1296" w:right="1440" w:bottom="1296"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0CBD0" w14:textId="77777777" w:rsidR="004E498A" w:rsidRDefault="004E498A">
      <w:r>
        <w:separator/>
      </w:r>
    </w:p>
  </w:endnote>
  <w:endnote w:type="continuationSeparator" w:id="0">
    <w:p w14:paraId="4435E83B" w14:textId="77777777" w:rsidR="004E498A" w:rsidRDefault="004E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4B4D1" w14:textId="77777777" w:rsidR="004E498A" w:rsidRDefault="004E498A">
      <w:r>
        <w:separator/>
      </w:r>
    </w:p>
  </w:footnote>
  <w:footnote w:type="continuationSeparator" w:id="0">
    <w:p w14:paraId="728178E1" w14:textId="77777777" w:rsidR="004E498A" w:rsidRDefault="004E4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227A7" w14:textId="77777777" w:rsidR="00A93787" w:rsidRDefault="00A937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C7F2C8" w14:textId="77777777" w:rsidR="00A93787" w:rsidRDefault="00A937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E1006" w14:textId="77777777" w:rsidR="00A93787" w:rsidRDefault="00A937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2E9D">
      <w:rPr>
        <w:rStyle w:val="PageNumber"/>
        <w:noProof/>
      </w:rPr>
      <w:t>3</w:t>
    </w:r>
    <w:r>
      <w:rPr>
        <w:rStyle w:val="PageNumber"/>
      </w:rPr>
      <w:fldChar w:fldCharType="end"/>
    </w:r>
  </w:p>
  <w:p w14:paraId="57D9A23A" w14:textId="77777777" w:rsidR="00A93787" w:rsidRDefault="00A93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42694"/>
    <w:multiLevelType w:val="hybridMultilevel"/>
    <w:tmpl w:val="B78851BE"/>
    <w:lvl w:ilvl="0" w:tplc="FFFFFFFF">
      <w:start w:val="19"/>
      <w:numFmt w:val="decimal"/>
      <w:lvlText w:val="(%1)"/>
      <w:lvlJc w:val="left"/>
      <w:pPr>
        <w:tabs>
          <w:tab w:val="num" w:pos="2685"/>
        </w:tabs>
        <w:ind w:left="2685" w:hanging="525"/>
      </w:pPr>
      <w:rPr>
        <w:rFonts w:hint="default"/>
      </w:rPr>
    </w:lvl>
    <w:lvl w:ilvl="1" w:tplc="741E0360">
      <w:start w:val="1"/>
      <w:numFmt w:val="upperLetter"/>
      <w:lvlText w:val="(%2)"/>
      <w:lvlJc w:val="left"/>
      <w:pPr>
        <w:tabs>
          <w:tab w:val="num" w:pos="3600"/>
        </w:tabs>
        <w:ind w:left="3600" w:hanging="720"/>
      </w:pPr>
      <w:rPr>
        <w:rFonts w:hint="default"/>
      </w:r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1" w15:restartNumberingAfterBreak="0">
    <w:nsid w:val="6F9B5D05"/>
    <w:multiLevelType w:val="hybridMultilevel"/>
    <w:tmpl w:val="50E02424"/>
    <w:lvl w:ilvl="0" w:tplc="FFFFFFFF">
      <w:start w:val="1"/>
      <w:numFmt w:val="decimal"/>
      <w:lvlText w:val="%1."/>
      <w:lvlJc w:val="left"/>
      <w:pPr>
        <w:tabs>
          <w:tab w:val="num" w:pos="735"/>
        </w:tabs>
        <w:ind w:left="735" w:hanging="37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666787862">
    <w:abstractNumId w:val="0"/>
  </w:num>
  <w:num w:numId="2" w16cid:durableId="2072537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0B2"/>
    <w:rsid w:val="00007463"/>
    <w:rsid w:val="0005536A"/>
    <w:rsid w:val="000A59AE"/>
    <w:rsid w:val="000C06B6"/>
    <w:rsid w:val="000C26D2"/>
    <w:rsid w:val="000F72E5"/>
    <w:rsid w:val="00106596"/>
    <w:rsid w:val="0011157E"/>
    <w:rsid w:val="001150AB"/>
    <w:rsid w:val="001343D7"/>
    <w:rsid w:val="001D6D81"/>
    <w:rsid w:val="001D7FDD"/>
    <w:rsid w:val="002A2212"/>
    <w:rsid w:val="002A7DD3"/>
    <w:rsid w:val="00317211"/>
    <w:rsid w:val="003449A3"/>
    <w:rsid w:val="00386B5C"/>
    <w:rsid w:val="00392DE5"/>
    <w:rsid w:val="00402592"/>
    <w:rsid w:val="004027DC"/>
    <w:rsid w:val="00466FA2"/>
    <w:rsid w:val="00471603"/>
    <w:rsid w:val="004E498A"/>
    <w:rsid w:val="004F4302"/>
    <w:rsid w:val="00505BE4"/>
    <w:rsid w:val="00512B97"/>
    <w:rsid w:val="005336B0"/>
    <w:rsid w:val="005A363C"/>
    <w:rsid w:val="005C40E2"/>
    <w:rsid w:val="005C7F47"/>
    <w:rsid w:val="00600DA9"/>
    <w:rsid w:val="00604DB4"/>
    <w:rsid w:val="00671253"/>
    <w:rsid w:val="006726A8"/>
    <w:rsid w:val="006919C7"/>
    <w:rsid w:val="006A5748"/>
    <w:rsid w:val="006B05D2"/>
    <w:rsid w:val="006B7C40"/>
    <w:rsid w:val="006D3F3F"/>
    <w:rsid w:val="006E46E8"/>
    <w:rsid w:val="006E4B43"/>
    <w:rsid w:val="006E7388"/>
    <w:rsid w:val="00722A3D"/>
    <w:rsid w:val="007625E9"/>
    <w:rsid w:val="00771001"/>
    <w:rsid w:val="007753AF"/>
    <w:rsid w:val="007C2E7C"/>
    <w:rsid w:val="007D2E9D"/>
    <w:rsid w:val="00813D9B"/>
    <w:rsid w:val="00832B34"/>
    <w:rsid w:val="008747F4"/>
    <w:rsid w:val="008D36EB"/>
    <w:rsid w:val="008D4D6D"/>
    <w:rsid w:val="00922E29"/>
    <w:rsid w:val="009319F3"/>
    <w:rsid w:val="0096031D"/>
    <w:rsid w:val="009A3207"/>
    <w:rsid w:val="009A5744"/>
    <w:rsid w:val="00A4752B"/>
    <w:rsid w:val="00A53985"/>
    <w:rsid w:val="00A8406D"/>
    <w:rsid w:val="00A93787"/>
    <w:rsid w:val="00AC2A41"/>
    <w:rsid w:val="00AE4174"/>
    <w:rsid w:val="00B16C5B"/>
    <w:rsid w:val="00B306AC"/>
    <w:rsid w:val="00B74E0D"/>
    <w:rsid w:val="00BA381E"/>
    <w:rsid w:val="00BC0096"/>
    <w:rsid w:val="00BE0CAA"/>
    <w:rsid w:val="00BE7051"/>
    <w:rsid w:val="00BF0BA3"/>
    <w:rsid w:val="00C222BD"/>
    <w:rsid w:val="00C83E80"/>
    <w:rsid w:val="00CF250E"/>
    <w:rsid w:val="00D37C06"/>
    <w:rsid w:val="00D41BBD"/>
    <w:rsid w:val="00D80C58"/>
    <w:rsid w:val="00D810B2"/>
    <w:rsid w:val="00D87845"/>
    <w:rsid w:val="00DA1905"/>
    <w:rsid w:val="00DC05CD"/>
    <w:rsid w:val="00DE3376"/>
    <w:rsid w:val="00DE70FA"/>
    <w:rsid w:val="00E30F7B"/>
    <w:rsid w:val="00E37C9C"/>
    <w:rsid w:val="00E41777"/>
    <w:rsid w:val="00E5338D"/>
    <w:rsid w:val="00E675E6"/>
    <w:rsid w:val="00EC1C31"/>
    <w:rsid w:val="00EF6A91"/>
    <w:rsid w:val="00F02404"/>
    <w:rsid w:val="00F027C7"/>
    <w:rsid w:val="00F07E1E"/>
    <w:rsid w:val="00F413A4"/>
    <w:rsid w:val="00F446BA"/>
    <w:rsid w:val="00F76F6A"/>
    <w:rsid w:val="00FB2B8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9F4DA"/>
  <w15:chartTrackingRefBased/>
  <w15:docId w15:val="{2DE92FA7-C46D-4DAC-A042-DA93BE91E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s-PR" w:eastAsia="en-US"/>
    </w:rPr>
  </w:style>
  <w:style w:type="paragraph" w:styleId="Heading1">
    <w:name w:val="heading 1"/>
    <w:basedOn w:val="Normal"/>
    <w:next w:val="Normal"/>
    <w:qFormat/>
    <w:pPr>
      <w:keepNext/>
      <w:jc w:val="both"/>
      <w:outlineLvl w:val="0"/>
    </w:pPr>
    <w:rPr>
      <w:sz w:val="28"/>
      <w:szCs w:val="24"/>
    </w:rPr>
  </w:style>
  <w:style w:type="paragraph" w:styleId="Heading2">
    <w:name w:val="heading 2"/>
    <w:basedOn w:val="Normal"/>
    <w:next w:val="Normal"/>
    <w:qFormat/>
    <w:pPr>
      <w:keepNext/>
      <w:jc w:val="both"/>
      <w:outlineLvl w:val="1"/>
    </w:pPr>
    <w:rPr>
      <w:sz w:val="32"/>
      <w:szCs w:val="24"/>
    </w:rPr>
  </w:style>
  <w:style w:type="paragraph" w:styleId="Heading3">
    <w:name w:val="heading 3"/>
    <w:basedOn w:val="Normal"/>
    <w:next w:val="Normal"/>
    <w:qFormat/>
    <w:pPr>
      <w:keepNext/>
      <w:jc w:val="center"/>
      <w:outlineLvl w:val="2"/>
    </w:pPr>
    <w:rPr>
      <w:b/>
      <w:bCs/>
      <w:sz w:val="48"/>
    </w:rPr>
  </w:style>
  <w:style w:type="paragraph" w:styleId="Heading4">
    <w:name w:val="heading 4"/>
    <w:basedOn w:val="Normal"/>
    <w:next w:val="Normal"/>
    <w:qFormat/>
    <w:pPr>
      <w:keepNext/>
      <w:jc w:val="both"/>
      <w:outlineLvl w:val="3"/>
    </w:pPr>
    <w:rPr>
      <w:sz w:val="24"/>
    </w:rPr>
  </w:style>
  <w:style w:type="paragraph" w:styleId="Heading5">
    <w:name w:val="heading 5"/>
    <w:basedOn w:val="Normal"/>
    <w:next w:val="Normal"/>
    <w:qFormat/>
    <w:pPr>
      <w:keepNext/>
      <w:jc w:val="center"/>
      <w:outlineLvl w:val="4"/>
    </w:pPr>
    <w:rPr>
      <w:sz w:val="24"/>
    </w:rPr>
  </w:style>
  <w:style w:type="paragraph" w:styleId="Heading6">
    <w:name w:val="heading 6"/>
    <w:basedOn w:val="Normal"/>
    <w:next w:val="Normal"/>
    <w:qFormat/>
    <w:pPr>
      <w:keepNext/>
      <w:jc w:val="center"/>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szCs w:val="24"/>
    </w:rPr>
  </w:style>
  <w:style w:type="paragraph" w:styleId="Title">
    <w:name w:val="Title"/>
    <w:basedOn w:val="Normal"/>
    <w:qFormat/>
    <w:pPr>
      <w:jc w:val="center"/>
    </w:pPr>
    <w:rPr>
      <w:b/>
      <w:bCs/>
      <w:sz w:val="24"/>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LineNumber">
    <w:name w:val="line number"/>
    <w:basedOn w:val="DefaultParagraphFont"/>
  </w:style>
  <w:style w:type="character" w:customStyle="1" w:styleId="foliohitie4">
    <w:name w:val="foliohitie4"/>
    <w:rsid w:val="006E7388"/>
    <w:rPr>
      <w:b/>
      <w:bCs/>
      <w:color w:val="FFFFFF"/>
      <w:shd w:val="clear" w:color="auto" w:fill="000066"/>
    </w:rPr>
  </w:style>
  <w:style w:type="paragraph" w:styleId="BalloonText">
    <w:name w:val="Balloon Text"/>
    <w:basedOn w:val="Normal"/>
    <w:semiHidden/>
    <w:rsid w:val="008D36EB"/>
    <w:rPr>
      <w:rFonts w:ascii="Tahoma" w:hAnsi="Tahoma" w:cs="Tahoma"/>
      <w:sz w:val="16"/>
      <w:szCs w:val="16"/>
    </w:rPr>
  </w:style>
  <w:style w:type="paragraph" w:styleId="BodyText2">
    <w:name w:val="Body Text 2"/>
    <w:basedOn w:val="Normal"/>
    <w:link w:val="BodyText2Char"/>
    <w:rsid w:val="003449A3"/>
    <w:pPr>
      <w:spacing w:after="120" w:line="480" w:lineRule="auto"/>
    </w:pPr>
  </w:style>
  <w:style w:type="character" w:customStyle="1" w:styleId="BodyText2Char">
    <w:name w:val="Body Text 2 Char"/>
    <w:link w:val="BodyText2"/>
    <w:rsid w:val="003449A3"/>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807</Words>
  <Characters>4814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Emilete</dc:creator>
  <cp:keywords/>
  <cp:lastModifiedBy>Gladys J. Burgos Torres</cp:lastModifiedBy>
  <cp:revision>4</cp:revision>
  <cp:lastPrinted>2023-05-19T16:48:00Z</cp:lastPrinted>
  <dcterms:created xsi:type="dcterms:W3CDTF">2025-01-08T19:17:00Z</dcterms:created>
  <dcterms:modified xsi:type="dcterms:W3CDTF">2025-01-10T20:26:00Z</dcterms:modified>
</cp:coreProperties>
</file>