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C45D1D" w14:textId="77777777" w:rsidR="00D454DC" w:rsidRPr="006209B0" w:rsidRDefault="00D454DC" w:rsidP="00D454DC">
      <w:pPr>
        <w:tabs>
          <w:tab w:val="right" w:pos="709"/>
        </w:tabs>
        <w:spacing w:line="360" w:lineRule="auto"/>
        <w:jc w:val="center"/>
        <w:rPr>
          <w:rFonts w:ascii="Book Antiqua" w:hAnsi="Book Antiqua"/>
          <w:b/>
          <w:sz w:val="28"/>
          <w:szCs w:val="28"/>
        </w:rPr>
      </w:pPr>
      <w:r w:rsidRPr="00D73A21">
        <w:rPr>
          <w:rFonts w:ascii="Book Antiqua" w:hAnsi="Book Antiqua"/>
          <w:b/>
          <w:sz w:val="28"/>
          <w:szCs w:val="28"/>
        </w:rPr>
        <w:t>GOBI</w:t>
      </w:r>
      <w:r w:rsidRPr="006209B0">
        <w:rPr>
          <w:rFonts w:ascii="Book Antiqua" w:hAnsi="Book Antiqua"/>
          <w:b/>
          <w:sz w:val="28"/>
          <w:szCs w:val="28"/>
        </w:rPr>
        <w:t>ERNO DE PUERTO RICO</w:t>
      </w:r>
    </w:p>
    <w:p w14:paraId="7E3516A5" w14:textId="77777777" w:rsidR="00D454DC" w:rsidRPr="006209B0" w:rsidRDefault="005B19D5" w:rsidP="00D454DC">
      <w:pPr>
        <w:suppressLineNumbers/>
        <w:tabs>
          <w:tab w:val="left" w:pos="7560"/>
        </w:tabs>
        <w:jc w:val="both"/>
        <w:rPr>
          <w:rFonts w:ascii="Book Antiqua" w:hAnsi="Book Antiqua"/>
          <w:szCs w:val="24"/>
        </w:rPr>
      </w:pPr>
      <w:r>
        <w:rPr>
          <w:rFonts w:ascii="Book Antiqua" w:hAnsi="Book Antiqua"/>
          <w:szCs w:val="24"/>
        </w:rPr>
        <w:t>20</w:t>
      </w:r>
      <w:r>
        <w:rPr>
          <w:rFonts w:ascii="Book Antiqua" w:hAnsi="Book Antiqua"/>
          <w:szCs w:val="24"/>
          <w:vertAlign w:val="superscript"/>
        </w:rPr>
        <w:t>m</w:t>
      </w:r>
      <w:r w:rsidR="00D454DC" w:rsidRPr="006209B0">
        <w:rPr>
          <w:rFonts w:ascii="Book Antiqua" w:hAnsi="Book Antiqua"/>
          <w:szCs w:val="24"/>
          <w:vertAlign w:val="superscript"/>
        </w:rPr>
        <w:t>a.</w:t>
      </w:r>
      <w:r w:rsidR="00D454DC" w:rsidRPr="006209B0">
        <w:rPr>
          <w:rFonts w:ascii="Book Antiqua" w:hAnsi="Book Antiqua"/>
          <w:szCs w:val="24"/>
        </w:rPr>
        <w:t xml:space="preserve"> Asamblea</w:t>
      </w:r>
      <w:r w:rsidR="00D454DC" w:rsidRPr="006209B0">
        <w:rPr>
          <w:rFonts w:ascii="Book Antiqua" w:hAnsi="Book Antiqua"/>
          <w:szCs w:val="24"/>
        </w:rPr>
        <w:tab/>
        <w:t xml:space="preserve">    </w:t>
      </w:r>
      <w:r>
        <w:rPr>
          <w:rFonts w:ascii="Book Antiqua" w:hAnsi="Book Antiqua"/>
          <w:szCs w:val="24"/>
        </w:rPr>
        <w:t>1</w:t>
      </w:r>
      <w:r>
        <w:rPr>
          <w:rFonts w:ascii="Book Antiqua" w:hAnsi="Book Antiqua"/>
          <w:szCs w:val="24"/>
          <w:vertAlign w:val="superscript"/>
        </w:rPr>
        <w:t>r</w:t>
      </w:r>
      <w:r w:rsidR="00834021" w:rsidRPr="006209B0">
        <w:rPr>
          <w:rFonts w:ascii="Book Antiqua" w:hAnsi="Book Antiqua"/>
          <w:szCs w:val="24"/>
          <w:vertAlign w:val="superscript"/>
        </w:rPr>
        <w:t>a</w:t>
      </w:r>
      <w:r w:rsidR="00D454DC" w:rsidRPr="006209B0">
        <w:rPr>
          <w:rFonts w:ascii="Book Antiqua" w:hAnsi="Book Antiqua"/>
          <w:szCs w:val="24"/>
          <w:vertAlign w:val="superscript"/>
        </w:rPr>
        <w:t>.</w:t>
      </w:r>
      <w:r w:rsidR="00D454DC" w:rsidRPr="006209B0">
        <w:rPr>
          <w:rFonts w:ascii="Book Antiqua" w:hAnsi="Book Antiqua"/>
          <w:szCs w:val="24"/>
        </w:rPr>
        <w:t xml:space="preserve">   Sesión </w:t>
      </w:r>
    </w:p>
    <w:p w14:paraId="55B2B48C" w14:textId="77777777" w:rsidR="00D454DC" w:rsidRPr="006209B0" w:rsidRDefault="00D454DC" w:rsidP="00D454DC">
      <w:pPr>
        <w:rPr>
          <w:rFonts w:ascii="Book Antiqua" w:hAnsi="Book Antiqua"/>
          <w:b/>
          <w:szCs w:val="24"/>
        </w:rPr>
      </w:pPr>
      <w:r w:rsidRPr="006209B0">
        <w:rPr>
          <w:rFonts w:ascii="Book Antiqua" w:hAnsi="Book Antiqua"/>
          <w:szCs w:val="24"/>
        </w:rPr>
        <w:t xml:space="preserve">       Legislativa</w:t>
      </w:r>
      <w:r w:rsidRPr="006209B0">
        <w:rPr>
          <w:rFonts w:ascii="Book Antiqua" w:hAnsi="Book Antiqua"/>
          <w:szCs w:val="24"/>
        </w:rPr>
        <w:tab/>
      </w:r>
      <w:r w:rsidRPr="006209B0">
        <w:rPr>
          <w:rFonts w:ascii="Book Antiqua" w:hAnsi="Book Antiqua"/>
          <w:szCs w:val="24"/>
        </w:rPr>
        <w:tab/>
      </w:r>
      <w:r w:rsidRPr="006209B0">
        <w:rPr>
          <w:rFonts w:ascii="Book Antiqua" w:hAnsi="Book Antiqua"/>
          <w:szCs w:val="24"/>
        </w:rPr>
        <w:tab/>
      </w:r>
      <w:r w:rsidRPr="006209B0">
        <w:rPr>
          <w:rFonts w:ascii="Book Antiqua" w:hAnsi="Book Antiqua"/>
          <w:szCs w:val="24"/>
        </w:rPr>
        <w:tab/>
      </w:r>
      <w:r w:rsidRPr="006209B0">
        <w:rPr>
          <w:rFonts w:ascii="Book Antiqua" w:hAnsi="Book Antiqua"/>
          <w:szCs w:val="24"/>
        </w:rPr>
        <w:tab/>
      </w:r>
      <w:r w:rsidRPr="006209B0">
        <w:rPr>
          <w:rFonts w:ascii="Book Antiqua" w:hAnsi="Book Antiqua"/>
          <w:szCs w:val="24"/>
        </w:rPr>
        <w:tab/>
      </w:r>
      <w:r w:rsidRPr="006209B0">
        <w:rPr>
          <w:rFonts w:ascii="Book Antiqua" w:hAnsi="Book Antiqua"/>
          <w:szCs w:val="24"/>
        </w:rPr>
        <w:tab/>
      </w:r>
      <w:r w:rsidRPr="006209B0">
        <w:rPr>
          <w:rFonts w:ascii="Book Antiqua" w:hAnsi="Book Antiqua"/>
          <w:szCs w:val="24"/>
        </w:rPr>
        <w:tab/>
      </w:r>
      <w:r w:rsidRPr="006209B0">
        <w:rPr>
          <w:rFonts w:ascii="Book Antiqua" w:hAnsi="Book Antiqua"/>
          <w:szCs w:val="24"/>
        </w:rPr>
        <w:tab/>
        <w:t xml:space="preserve">   </w:t>
      </w:r>
      <w:r w:rsidR="00834021" w:rsidRPr="006209B0">
        <w:rPr>
          <w:rFonts w:ascii="Book Antiqua" w:hAnsi="Book Antiqua"/>
          <w:szCs w:val="24"/>
        </w:rPr>
        <w:t xml:space="preserve">   </w:t>
      </w:r>
      <w:r w:rsidRPr="006209B0">
        <w:rPr>
          <w:rFonts w:ascii="Book Antiqua" w:hAnsi="Book Antiqua"/>
          <w:szCs w:val="24"/>
        </w:rPr>
        <w:t>Ordinaria</w:t>
      </w:r>
    </w:p>
    <w:p w14:paraId="43C53B65" w14:textId="77777777" w:rsidR="00D454DC" w:rsidRPr="006209B0" w:rsidRDefault="00D454DC" w:rsidP="00D454DC">
      <w:pPr>
        <w:spacing w:line="360" w:lineRule="auto"/>
        <w:jc w:val="center"/>
        <w:rPr>
          <w:rFonts w:ascii="Book Antiqua" w:hAnsi="Book Antiqua"/>
          <w:b/>
          <w:sz w:val="36"/>
          <w:szCs w:val="36"/>
        </w:rPr>
      </w:pPr>
    </w:p>
    <w:p w14:paraId="0084780C" w14:textId="77777777" w:rsidR="00D454DC" w:rsidRDefault="00D454DC" w:rsidP="00D454DC">
      <w:pPr>
        <w:spacing w:line="360" w:lineRule="auto"/>
        <w:jc w:val="center"/>
        <w:rPr>
          <w:rFonts w:ascii="Book Antiqua" w:hAnsi="Book Antiqua"/>
          <w:b/>
          <w:color w:val="000000"/>
          <w:sz w:val="36"/>
          <w:szCs w:val="36"/>
        </w:rPr>
      </w:pPr>
      <w:r>
        <w:rPr>
          <w:rFonts w:ascii="Book Antiqua" w:hAnsi="Book Antiqua"/>
          <w:b/>
          <w:color w:val="000000"/>
          <w:sz w:val="36"/>
          <w:szCs w:val="36"/>
        </w:rPr>
        <w:t>SENADO DE PUERTO RICO</w:t>
      </w:r>
    </w:p>
    <w:p w14:paraId="74FE1C7A" w14:textId="6B088415" w:rsidR="00D454DC" w:rsidRDefault="00811D5C" w:rsidP="00D454DC">
      <w:pPr>
        <w:spacing w:line="360" w:lineRule="auto"/>
        <w:jc w:val="center"/>
        <w:rPr>
          <w:rFonts w:ascii="Book Antiqua" w:hAnsi="Book Antiqua"/>
          <w:b/>
          <w:color w:val="000000"/>
          <w:sz w:val="52"/>
          <w:szCs w:val="52"/>
        </w:rPr>
      </w:pPr>
      <w:r>
        <w:rPr>
          <w:rFonts w:ascii="Book Antiqua" w:hAnsi="Book Antiqua"/>
          <w:b/>
          <w:color w:val="000000"/>
          <w:sz w:val="52"/>
          <w:szCs w:val="52"/>
        </w:rPr>
        <w:t>P. de</w:t>
      </w:r>
      <w:r w:rsidR="00520922">
        <w:rPr>
          <w:rFonts w:ascii="Book Antiqua" w:hAnsi="Book Antiqua"/>
          <w:b/>
          <w:color w:val="000000"/>
          <w:sz w:val="52"/>
          <w:szCs w:val="52"/>
        </w:rPr>
        <w:t xml:space="preserve"> la C</w:t>
      </w:r>
      <w:r w:rsidR="005256B5">
        <w:rPr>
          <w:rFonts w:ascii="Book Antiqua" w:hAnsi="Book Antiqua"/>
          <w:b/>
          <w:color w:val="000000"/>
          <w:sz w:val="52"/>
          <w:szCs w:val="52"/>
        </w:rPr>
        <w:t>.</w:t>
      </w:r>
      <w:r>
        <w:rPr>
          <w:rFonts w:ascii="Book Antiqua" w:hAnsi="Book Antiqua"/>
          <w:b/>
          <w:color w:val="000000"/>
          <w:sz w:val="52"/>
          <w:szCs w:val="52"/>
        </w:rPr>
        <w:t xml:space="preserve"> </w:t>
      </w:r>
      <w:r w:rsidR="00520922">
        <w:rPr>
          <w:rFonts w:ascii="Book Antiqua" w:hAnsi="Book Antiqua"/>
          <w:b/>
          <w:color w:val="000000"/>
          <w:sz w:val="52"/>
          <w:szCs w:val="52"/>
        </w:rPr>
        <w:t>138</w:t>
      </w:r>
    </w:p>
    <w:p w14:paraId="53977665" w14:textId="77777777" w:rsidR="00D454DC" w:rsidRDefault="00D454DC" w:rsidP="00241987">
      <w:pPr>
        <w:spacing w:line="360" w:lineRule="auto"/>
        <w:jc w:val="center"/>
        <w:rPr>
          <w:rFonts w:ascii="Book Antiqua" w:hAnsi="Book Antiqua"/>
          <w:b/>
          <w:color w:val="000000"/>
          <w:sz w:val="28"/>
          <w:szCs w:val="28"/>
        </w:rPr>
      </w:pPr>
      <w:r>
        <w:rPr>
          <w:rFonts w:ascii="Book Antiqua" w:hAnsi="Book Antiqua"/>
          <w:b/>
          <w:color w:val="000000"/>
          <w:sz w:val="28"/>
          <w:szCs w:val="28"/>
        </w:rPr>
        <w:t xml:space="preserve">INFORME </w:t>
      </w:r>
      <w:r w:rsidR="00EB57F5">
        <w:rPr>
          <w:rFonts w:ascii="Book Antiqua" w:hAnsi="Book Antiqua"/>
          <w:b/>
          <w:color w:val="000000"/>
          <w:sz w:val="28"/>
          <w:szCs w:val="28"/>
        </w:rPr>
        <w:t>POSITIVO</w:t>
      </w:r>
    </w:p>
    <w:p w14:paraId="74A5F2A8" w14:textId="77777777" w:rsidR="00241987" w:rsidRPr="00241987" w:rsidRDefault="00241987" w:rsidP="00241987">
      <w:pPr>
        <w:spacing w:line="360" w:lineRule="auto"/>
        <w:jc w:val="center"/>
        <w:rPr>
          <w:rFonts w:ascii="Book Antiqua" w:hAnsi="Book Antiqua"/>
          <w:b/>
          <w:color w:val="000000"/>
          <w:sz w:val="15"/>
          <w:szCs w:val="15"/>
        </w:rPr>
      </w:pPr>
    </w:p>
    <w:p w14:paraId="1D5AFB70" w14:textId="4C37C82B" w:rsidR="00D454DC" w:rsidRPr="008B6224" w:rsidRDefault="00D53AD7" w:rsidP="008B6224">
      <w:pPr>
        <w:spacing w:line="276" w:lineRule="auto"/>
        <w:jc w:val="center"/>
        <w:rPr>
          <w:rFonts w:ascii="Book Antiqua" w:hAnsi="Book Antiqua"/>
          <w:color w:val="000000"/>
          <w:szCs w:val="24"/>
        </w:rPr>
      </w:pPr>
      <w:r>
        <w:rPr>
          <w:rFonts w:ascii="Book Antiqua" w:hAnsi="Book Antiqua"/>
          <w:color w:val="000000"/>
          <w:szCs w:val="24"/>
        </w:rPr>
        <w:t xml:space="preserve">1 </w:t>
      </w:r>
      <w:r w:rsidR="00D454DC" w:rsidRPr="008B6224">
        <w:rPr>
          <w:rFonts w:ascii="Book Antiqua" w:hAnsi="Book Antiqua"/>
          <w:color w:val="000000"/>
          <w:szCs w:val="24"/>
        </w:rPr>
        <w:t xml:space="preserve">de </w:t>
      </w:r>
      <w:r w:rsidR="005B19D5" w:rsidRPr="008B6224">
        <w:rPr>
          <w:rFonts w:ascii="Book Antiqua" w:hAnsi="Book Antiqua"/>
          <w:color w:val="000000"/>
          <w:szCs w:val="24"/>
        </w:rPr>
        <w:t>ju</w:t>
      </w:r>
      <w:r>
        <w:rPr>
          <w:rFonts w:ascii="Book Antiqua" w:hAnsi="Book Antiqua"/>
          <w:color w:val="000000"/>
          <w:szCs w:val="24"/>
        </w:rPr>
        <w:t>l</w:t>
      </w:r>
      <w:r w:rsidR="005B19D5" w:rsidRPr="008B6224">
        <w:rPr>
          <w:rFonts w:ascii="Book Antiqua" w:hAnsi="Book Antiqua"/>
          <w:color w:val="000000"/>
          <w:szCs w:val="24"/>
        </w:rPr>
        <w:t>io</w:t>
      </w:r>
      <w:r w:rsidR="00834021" w:rsidRPr="008B6224">
        <w:rPr>
          <w:rFonts w:ascii="Book Antiqua" w:hAnsi="Book Antiqua"/>
          <w:color w:val="000000"/>
          <w:szCs w:val="24"/>
        </w:rPr>
        <w:t xml:space="preserve"> </w:t>
      </w:r>
      <w:r w:rsidR="00D454DC" w:rsidRPr="008B6224">
        <w:rPr>
          <w:rFonts w:ascii="Book Antiqua" w:hAnsi="Book Antiqua"/>
          <w:color w:val="000000"/>
          <w:szCs w:val="24"/>
        </w:rPr>
        <w:t>de 202</w:t>
      </w:r>
      <w:r w:rsidR="005B19D5" w:rsidRPr="008B6224">
        <w:rPr>
          <w:rFonts w:ascii="Book Antiqua" w:hAnsi="Book Antiqua"/>
          <w:color w:val="000000"/>
          <w:szCs w:val="24"/>
        </w:rPr>
        <w:t>5</w:t>
      </w:r>
    </w:p>
    <w:p w14:paraId="466CBA73" w14:textId="77777777" w:rsidR="00DF7805" w:rsidRPr="008B6224" w:rsidRDefault="00DF7805" w:rsidP="008B6224">
      <w:pPr>
        <w:spacing w:line="276" w:lineRule="auto"/>
        <w:rPr>
          <w:rFonts w:ascii="Book Antiqua" w:hAnsi="Book Antiqua"/>
          <w:b/>
          <w:color w:val="000000"/>
          <w:szCs w:val="24"/>
        </w:rPr>
      </w:pPr>
    </w:p>
    <w:p w14:paraId="5439A18C" w14:textId="77777777" w:rsidR="00D454DC" w:rsidRPr="008B6224" w:rsidRDefault="00D454DC" w:rsidP="008B6224">
      <w:pPr>
        <w:spacing w:line="276" w:lineRule="auto"/>
        <w:jc w:val="both"/>
        <w:rPr>
          <w:rFonts w:ascii="Book Antiqua" w:hAnsi="Book Antiqua"/>
          <w:b/>
          <w:color w:val="000000"/>
          <w:szCs w:val="24"/>
        </w:rPr>
      </w:pPr>
      <w:r w:rsidRPr="008B6224">
        <w:rPr>
          <w:rFonts w:ascii="Book Antiqua" w:hAnsi="Book Antiqua"/>
          <w:b/>
          <w:color w:val="000000"/>
          <w:szCs w:val="24"/>
        </w:rPr>
        <w:t>AL SENADO DE PUERTO RICO:</w:t>
      </w:r>
    </w:p>
    <w:p w14:paraId="41F7548C" w14:textId="77777777" w:rsidR="00D454DC" w:rsidRPr="008B6224" w:rsidRDefault="00D454DC" w:rsidP="008B6224">
      <w:pPr>
        <w:spacing w:line="276" w:lineRule="auto"/>
        <w:jc w:val="both"/>
        <w:rPr>
          <w:rFonts w:ascii="Book Antiqua" w:hAnsi="Book Antiqua"/>
          <w:color w:val="000000"/>
          <w:szCs w:val="24"/>
        </w:rPr>
      </w:pPr>
    </w:p>
    <w:p w14:paraId="48734CC9" w14:textId="48D66F38" w:rsidR="00D454DC" w:rsidRPr="008B6224" w:rsidRDefault="00834021" w:rsidP="008B6224">
      <w:pPr>
        <w:spacing w:line="276" w:lineRule="auto"/>
        <w:jc w:val="both"/>
        <w:rPr>
          <w:rFonts w:ascii="Book Antiqua" w:hAnsi="Book Antiqua"/>
          <w:color w:val="000000"/>
          <w:szCs w:val="24"/>
        </w:rPr>
      </w:pPr>
      <w:r w:rsidRPr="008B6224">
        <w:rPr>
          <w:rFonts w:ascii="Book Antiqua" w:hAnsi="Book Antiqua"/>
          <w:color w:val="000000"/>
          <w:szCs w:val="24"/>
        </w:rPr>
        <w:t>La</w:t>
      </w:r>
      <w:r w:rsidR="00D454DC" w:rsidRPr="008B6224">
        <w:rPr>
          <w:rFonts w:ascii="Book Antiqua" w:hAnsi="Book Antiqua"/>
          <w:color w:val="000000"/>
          <w:szCs w:val="24"/>
        </w:rPr>
        <w:t xml:space="preserve"> </w:t>
      </w:r>
      <w:r w:rsidR="00B93E7F" w:rsidRPr="008B6224">
        <w:rPr>
          <w:rFonts w:ascii="Book Antiqua" w:hAnsi="Book Antiqua"/>
          <w:color w:val="000000"/>
          <w:szCs w:val="24"/>
        </w:rPr>
        <w:t>Comisión</w:t>
      </w:r>
      <w:r w:rsidR="00D454DC" w:rsidRPr="008B6224">
        <w:rPr>
          <w:rFonts w:ascii="Book Antiqua" w:hAnsi="Book Antiqua"/>
          <w:color w:val="000000"/>
          <w:szCs w:val="24"/>
        </w:rPr>
        <w:t xml:space="preserve"> de </w:t>
      </w:r>
      <w:r w:rsidR="005B19D5" w:rsidRPr="008B6224">
        <w:rPr>
          <w:rFonts w:ascii="Book Antiqua" w:hAnsi="Book Antiqua"/>
          <w:color w:val="000000"/>
          <w:szCs w:val="24"/>
        </w:rPr>
        <w:t>Gobierno</w:t>
      </w:r>
      <w:r w:rsidR="00E208A3" w:rsidRPr="008B6224">
        <w:rPr>
          <w:rFonts w:ascii="Book Antiqua" w:hAnsi="Book Antiqua"/>
          <w:color w:val="000000"/>
          <w:szCs w:val="24"/>
        </w:rPr>
        <w:t xml:space="preserve"> </w:t>
      </w:r>
      <w:r w:rsidR="00D454DC" w:rsidRPr="008B6224">
        <w:rPr>
          <w:rFonts w:ascii="Book Antiqua" w:hAnsi="Book Antiqua"/>
          <w:color w:val="000000"/>
          <w:szCs w:val="24"/>
        </w:rPr>
        <w:t xml:space="preserve">del Senado de Puerto Rico, previo estudio y consideración del </w:t>
      </w:r>
      <w:r w:rsidR="00701793" w:rsidRPr="008B6224">
        <w:rPr>
          <w:rFonts w:ascii="Book Antiqua" w:hAnsi="Book Antiqua"/>
          <w:b/>
          <w:color w:val="000000"/>
          <w:szCs w:val="24"/>
        </w:rPr>
        <w:t>P</w:t>
      </w:r>
      <w:r w:rsidR="00D454DC" w:rsidRPr="008B6224">
        <w:rPr>
          <w:rFonts w:ascii="Book Antiqua" w:hAnsi="Book Antiqua"/>
          <w:b/>
          <w:color w:val="000000"/>
          <w:szCs w:val="24"/>
        </w:rPr>
        <w:t xml:space="preserve">. </w:t>
      </w:r>
      <w:r w:rsidR="00520922">
        <w:rPr>
          <w:rFonts w:ascii="Book Antiqua" w:hAnsi="Book Antiqua"/>
          <w:b/>
          <w:color w:val="000000"/>
          <w:szCs w:val="24"/>
        </w:rPr>
        <w:t>de la C. 138</w:t>
      </w:r>
      <w:r w:rsidR="00AA618A" w:rsidRPr="008B6224">
        <w:rPr>
          <w:rFonts w:ascii="Book Antiqua" w:hAnsi="Book Antiqua"/>
          <w:color w:val="000000"/>
          <w:szCs w:val="24"/>
        </w:rPr>
        <w:t xml:space="preserve">, </w:t>
      </w:r>
      <w:r w:rsidR="00701793" w:rsidRPr="008B6224">
        <w:rPr>
          <w:rFonts w:ascii="Book Antiqua" w:hAnsi="Book Antiqua"/>
          <w:color w:val="000000"/>
          <w:szCs w:val="24"/>
        </w:rPr>
        <w:t>recomienda</w:t>
      </w:r>
      <w:r w:rsidR="00D454DC" w:rsidRPr="008B6224">
        <w:rPr>
          <w:rFonts w:ascii="Book Antiqua" w:hAnsi="Book Antiqua"/>
          <w:color w:val="000000"/>
          <w:szCs w:val="24"/>
        </w:rPr>
        <w:t xml:space="preserve"> a</w:t>
      </w:r>
      <w:r w:rsidR="0015414D" w:rsidRPr="008B6224">
        <w:rPr>
          <w:rFonts w:ascii="Book Antiqua" w:hAnsi="Book Antiqua"/>
          <w:color w:val="000000"/>
          <w:szCs w:val="24"/>
        </w:rPr>
        <w:t xml:space="preserve"> este Alto Cuerpo </w:t>
      </w:r>
      <w:r w:rsidR="00B85AA5">
        <w:rPr>
          <w:rFonts w:ascii="Book Antiqua" w:hAnsi="Book Antiqua"/>
          <w:color w:val="000000"/>
          <w:szCs w:val="24"/>
        </w:rPr>
        <w:t xml:space="preserve">su aprobación, según fue remitido el texto aprobado por la Cámara de Representantes. </w:t>
      </w:r>
    </w:p>
    <w:p w14:paraId="0A559144" w14:textId="77777777" w:rsidR="00DF7805" w:rsidRPr="008B6224" w:rsidRDefault="00DF7805" w:rsidP="008B6224">
      <w:pPr>
        <w:spacing w:line="276" w:lineRule="auto"/>
        <w:jc w:val="both"/>
        <w:rPr>
          <w:rFonts w:ascii="Book Antiqua" w:hAnsi="Book Antiqua"/>
          <w:color w:val="000000"/>
          <w:szCs w:val="24"/>
        </w:rPr>
      </w:pPr>
    </w:p>
    <w:p w14:paraId="0FB293CE" w14:textId="77777777" w:rsidR="00D454DC" w:rsidRDefault="00D454DC" w:rsidP="008B6224">
      <w:pPr>
        <w:spacing w:line="276" w:lineRule="auto"/>
        <w:jc w:val="center"/>
        <w:outlineLvl w:val="0"/>
        <w:rPr>
          <w:rFonts w:ascii="Book Antiqua" w:hAnsi="Book Antiqua"/>
          <w:b/>
          <w:caps/>
          <w:color w:val="000000"/>
          <w:szCs w:val="24"/>
        </w:rPr>
      </w:pPr>
      <w:r w:rsidRPr="008B6224">
        <w:rPr>
          <w:rFonts w:ascii="Book Antiqua" w:hAnsi="Book Antiqua"/>
          <w:b/>
          <w:caps/>
          <w:color w:val="000000"/>
          <w:szCs w:val="24"/>
        </w:rPr>
        <w:t>ALCANCE DE LA MEDIDA</w:t>
      </w:r>
    </w:p>
    <w:p w14:paraId="579D66CF" w14:textId="77777777" w:rsidR="00520922" w:rsidRPr="008B6224" w:rsidRDefault="00520922" w:rsidP="008B6224">
      <w:pPr>
        <w:spacing w:line="276" w:lineRule="auto"/>
        <w:jc w:val="center"/>
        <w:outlineLvl w:val="0"/>
        <w:rPr>
          <w:rFonts w:ascii="Book Antiqua" w:hAnsi="Book Antiqua"/>
          <w:b/>
          <w:caps/>
          <w:color w:val="000000"/>
          <w:szCs w:val="24"/>
        </w:rPr>
      </w:pPr>
    </w:p>
    <w:p w14:paraId="2FA9617A" w14:textId="77777777" w:rsidR="00520922" w:rsidRPr="004431A0" w:rsidRDefault="00520922" w:rsidP="00DC0CD6">
      <w:pPr>
        <w:jc w:val="both"/>
        <w:rPr>
          <w:rFonts w:ascii="Book Antiqua" w:hAnsi="Book Antiqua"/>
        </w:rPr>
      </w:pPr>
      <w:r w:rsidRPr="004431A0">
        <w:rPr>
          <w:rFonts w:ascii="Book Antiqua" w:hAnsi="Book Antiqua"/>
        </w:rPr>
        <w:t>Para enmendar los artículos 1.02, 1.03, 1.04, 2.03, 2.04 y 2.05 de la Ley 122-2017, conocida como “Ley del Nuevo Gobierno de Puerto Rico”</w:t>
      </w:r>
      <w:r w:rsidRPr="006C313F">
        <w:rPr>
          <w:rFonts w:ascii="Book Antiqua" w:hAnsi="Book Antiqua"/>
        </w:rPr>
        <w:t xml:space="preserve">, con el propósito de disponer sobre la política pública que regirá en Puerto Rico, con respecto a la identificación y derogación de aquellas leyes que puedan catalogarse como obsoletas o inoficiosas o que riñan con los Planes de Reorganización, promulgados en virtud de esta Ley, o con las acciones, programas y estrategias desarrolladas a su amparo; </w:t>
      </w:r>
      <w:r w:rsidRPr="004431A0">
        <w:rPr>
          <w:rStyle w:val="hps"/>
          <w:rFonts w:ascii="Book Antiqua" w:hAnsi="Book Antiqua" w:cs="Arial"/>
          <w:szCs w:val="24"/>
          <w:lang w:val="es-ES"/>
        </w:rPr>
        <w:t>y para otros fines relacionados</w:t>
      </w:r>
      <w:r w:rsidRPr="004431A0">
        <w:rPr>
          <w:rFonts w:ascii="Book Antiqua" w:hAnsi="Book Antiqua"/>
        </w:rPr>
        <w:t xml:space="preserve">. </w:t>
      </w:r>
    </w:p>
    <w:p w14:paraId="6A6EF898" w14:textId="77777777" w:rsidR="0095761E" w:rsidRPr="008B6224" w:rsidRDefault="0095761E" w:rsidP="008B6224">
      <w:pPr>
        <w:spacing w:line="276" w:lineRule="auto"/>
        <w:jc w:val="both"/>
        <w:rPr>
          <w:rFonts w:ascii="Book Antiqua" w:hAnsi="Book Antiqua"/>
          <w:b/>
          <w:color w:val="000000"/>
          <w:szCs w:val="24"/>
        </w:rPr>
      </w:pPr>
    </w:p>
    <w:p w14:paraId="3E43C92B" w14:textId="77777777" w:rsidR="00D454DC" w:rsidRDefault="00D454DC" w:rsidP="008B6224">
      <w:pPr>
        <w:spacing w:line="276" w:lineRule="auto"/>
        <w:jc w:val="center"/>
        <w:rPr>
          <w:rFonts w:ascii="Book Antiqua" w:hAnsi="Book Antiqua"/>
          <w:b/>
          <w:color w:val="000000"/>
          <w:szCs w:val="24"/>
        </w:rPr>
      </w:pPr>
      <w:r w:rsidRPr="008B6224">
        <w:rPr>
          <w:rFonts w:ascii="Book Antiqua" w:hAnsi="Book Antiqua"/>
          <w:b/>
          <w:color w:val="000000"/>
          <w:szCs w:val="24"/>
        </w:rPr>
        <w:t>INTRODUCCIÓN</w:t>
      </w:r>
    </w:p>
    <w:p w14:paraId="49894A51" w14:textId="77777777" w:rsidR="007207B0" w:rsidRPr="008B6224" w:rsidRDefault="007207B0" w:rsidP="008B6224">
      <w:pPr>
        <w:spacing w:line="276" w:lineRule="auto"/>
        <w:jc w:val="center"/>
        <w:rPr>
          <w:rFonts w:ascii="Book Antiqua" w:hAnsi="Book Antiqua"/>
          <w:b/>
          <w:color w:val="000000"/>
          <w:szCs w:val="24"/>
        </w:rPr>
      </w:pPr>
    </w:p>
    <w:p w14:paraId="45E7B51F" w14:textId="63CF92BE" w:rsidR="00627FF4" w:rsidRDefault="0095761E" w:rsidP="00520922">
      <w:pPr>
        <w:spacing w:line="276" w:lineRule="auto"/>
        <w:jc w:val="both"/>
        <w:rPr>
          <w:rFonts w:ascii="Book Antiqua" w:eastAsia="Times New Roman" w:hAnsi="Book Antiqua"/>
          <w:color w:val="000000"/>
          <w:szCs w:val="24"/>
          <w:lang w:val="es-ES"/>
        </w:rPr>
      </w:pPr>
      <w:r w:rsidRPr="008B6224">
        <w:rPr>
          <w:rFonts w:ascii="Book Antiqua" w:eastAsia="Times New Roman" w:hAnsi="Book Antiqua"/>
          <w:color w:val="000000"/>
          <w:szCs w:val="24"/>
          <w:lang w:val="es-ES"/>
        </w:rPr>
        <w:t xml:space="preserve">Según la </w:t>
      </w:r>
      <w:r w:rsidRPr="00960BD6">
        <w:rPr>
          <w:rFonts w:ascii="Book Antiqua" w:eastAsia="Times New Roman" w:hAnsi="Book Antiqua"/>
          <w:i/>
          <w:iCs/>
          <w:color w:val="000000"/>
          <w:szCs w:val="24"/>
          <w:lang w:val="es-ES"/>
        </w:rPr>
        <w:t>Exposición de Motivos</w:t>
      </w:r>
      <w:r w:rsidRPr="008B6224">
        <w:rPr>
          <w:rFonts w:ascii="Book Antiqua" w:eastAsia="Times New Roman" w:hAnsi="Book Antiqua"/>
          <w:color w:val="000000"/>
          <w:szCs w:val="24"/>
          <w:lang w:val="es-ES"/>
        </w:rPr>
        <w:t xml:space="preserve"> del P</w:t>
      </w:r>
      <w:r w:rsidRPr="0095761E">
        <w:rPr>
          <w:rFonts w:ascii="Book Antiqua" w:eastAsia="Times New Roman" w:hAnsi="Book Antiqua"/>
          <w:color w:val="000000"/>
          <w:szCs w:val="24"/>
          <w:lang w:val="es-ES"/>
        </w:rPr>
        <w:t xml:space="preserve">royecto </w:t>
      </w:r>
      <w:r w:rsidR="00520922">
        <w:rPr>
          <w:rFonts w:ascii="Book Antiqua" w:eastAsia="Times New Roman" w:hAnsi="Book Antiqua"/>
          <w:color w:val="000000"/>
          <w:szCs w:val="24"/>
          <w:lang w:val="es-ES"/>
        </w:rPr>
        <w:t>de la Cámara 138 (P. de la C. 138 o Proyecto de Ley)</w:t>
      </w:r>
      <w:r w:rsidR="006B79D7" w:rsidRPr="008B6224">
        <w:rPr>
          <w:rFonts w:ascii="Book Antiqua" w:eastAsia="Times New Roman" w:hAnsi="Book Antiqua"/>
          <w:color w:val="000000"/>
          <w:szCs w:val="24"/>
          <w:lang w:val="es-ES"/>
        </w:rPr>
        <w:t>, éste</w:t>
      </w:r>
      <w:r w:rsidRPr="0095761E">
        <w:rPr>
          <w:rFonts w:ascii="Book Antiqua" w:eastAsia="Times New Roman" w:hAnsi="Book Antiqua"/>
          <w:color w:val="000000"/>
          <w:szCs w:val="24"/>
          <w:lang w:val="es-ES"/>
        </w:rPr>
        <w:t xml:space="preserve"> tiene como </w:t>
      </w:r>
      <w:r w:rsidR="006B79D7" w:rsidRPr="008B6224">
        <w:rPr>
          <w:rFonts w:ascii="Book Antiqua" w:eastAsia="Times New Roman" w:hAnsi="Book Antiqua"/>
          <w:color w:val="000000"/>
          <w:szCs w:val="24"/>
          <w:lang w:val="es-ES"/>
        </w:rPr>
        <w:t xml:space="preserve">principal </w:t>
      </w:r>
      <w:r w:rsidRPr="0095761E">
        <w:rPr>
          <w:rFonts w:ascii="Book Antiqua" w:eastAsia="Times New Roman" w:hAnsi="Book Antiqua"/>
          <w:color w:val="000000"/>
          <w:szCs w:val="24"/>
          <w:lang w:val="es-ES"/>
        </w:rPr>
        <w:t xml:space="preserve">objetivo </w:t>
      </w:r>
      <w:r w:rsidR="00520922">
        <w:rPr>
          <w:rFonts w:ascii="Book Antiqua" w:eastAsia="Times New Roman" w:hAnsi="Book Antiqua"/>
          <w:color w:val="000000"/>
          <w:szCs w:val="24"/>
          <w:lang w:val="es-ES"/>
        </w:rPr>
        <w:t xml:space="preserve">enmendar varios artículos de la Ley Núm. 122-2017, según enmendada, conocida como </w:t>
      </w:r>
      <w:r w:rsidR="00520922" w:rsidRPr="00960BD6">
        <w:rPr>
          <w:rFonts w:ascii="Book Antiqua" w:eastAsia="Times New Roman" w:hAnsi="Book Antiqua"/>
          <w:i/>
          <w:iCs/>
          <w:color w:val="000000"/>
          <w:szCs w:val="24"/>
          <w:lang w:val="es-ES"/>
        </w:rPr>
        <w:t>Ley del Nuevo Gobierno de Puerto Rico</w:t>
      </w:r>
      <w:r w:rsidR="00520922">
        <w:rPr>
          <w:rFonts w:ascii="Book Antiqua" w:eastAsia="Times New Roman" w:hAnsi="Book Antiqua"/>
          <w:color w:val="000000"/>
          <w:szCs w:val="24"/>
          <w:lang w:val="es-ES"/>
        </w:rPr>
        <w:t xml:space="preserve">, para disponer, establecer y reiterar como política pública del Gobierno de Puerto Rico el identificar, enmendar y derogar aquellas leyes que puedan catalogarse como obsoletas e inoficiosas. Igual curso de acción se tomaría con aquellas </w:t>
      </w:r>
      <w:r w:rsidR="00DF7964">
        <w:rPr>
          <w:rFonts w:ascii="Book Antiqua" w:eastAsia="Times New Roman" w:hAnsi="Book Antiqua"/>
          <w:color w:val="000000"/>
          <w:szCs w:val="24"/>
          <w:lang w:val="es-ES"/>
        </w:rPr>
        <w:t xml:space="preserve">leyes, reglamentos o medidas </w:t>
      </w:r>
      <w:r w:rsidR="00282D10">
        <w:rPr>
          <w:rFonts w:ascii="Book Antiqua" w:eastAsia="Times New Roman" w:hAnsi="Book Antiqua"/>
          <w:color w:val="000000"/>
          <w:szCs w:val="24"/>
          <w:lang w:val="es-ES"/>
        </w:rPr>
        <w:t>que riñan con los Planes de Reorganización promulgados mediante Ley.</w:t>
      </w:r>
    </w:p>
    <w:p w14:paraId="3278F03B" w14:textId="77777777" w:rsidR="0080159A" w:rsidRDefault="0080159A" w:rsidP="00520922">
      <w:pPr>
        <w:spacing w:line="276" w:lineRule="auto"/>
        <w:jc w:val="both"/>
        <w:rPr>
          <w:rFonts w:ascii="Book Antiqua" w:eastAsia="Times New Roman" w:hAnsi="Book Antiqua"/>
          <w:color w:val="000000"/>
          <w:szCs w:val="24"/>
          <w:lang w:val="es-ES"/>
        </w:rPr>
      </w:pPr>
    </w:p>
    <w:p w14:paraId="01C93B20" w14:textId="6C1991A0" w:rsidR="00337CC9" w:rsidRDefault="00337CC9" w:rsidP="00520922">
      <w:pPr>
        <w:spacing w:line="276" w:lineRule="auto"/>
        <w:jc w:val="both"/>
        <w:rPr>
          <w:rFonts w:ascii="Book Antiqua" w:eastAsia="Times New Roman" w:hAnsi="Book Antiqua"/>
          <w:color w:val="000000"/>
          <w:szCs w:val="24"/>
          <w:lang w:val="es-ES"/>
        </w:rPr>
      </w:pPr>
      <w:r>
        <w:rPr>
          <w:rFonts w:ascii="Book Antiqua" w:eastAsia="Times New Roman" w:hAnsi="Book Antiqua"/>
          <w:color w:val="000000"/>
          <w:szCs w:val="24"/>
          <w:lang w:val="es-ES"/>
        </w:rPr>
        <w:t xml:space="preserve">La medida se presentó por el Representante Ángel A. </w:t>
      </w:r>
      <w:proofErr w:type="spellStart"/>
      <w:r>
        <w:rPr>
          <w:rFonts w:ascii="Book Antiqua" w:eastAsia="Times New Roman" w:hAnsi="Book Antiqua"/>
          <w:color w:val="000000"/>
          <w:szCs w:val="24"/>
          <w:lang w:val="es-ES"/>
        </w:rPr>
        <w:t>Morey</w:t>
      </w:r>
      <w:proofErr w:type="spellEnd"/>
      <w:r>
        <w:rPr>
          <w:rFonts w:ascii="Book Antiqua" w:eastAsia="Times New Roman" w:hAnsi="Book Antiqua"/>
          <w:color w:val="000000"/>
          <w:szCs w:val="24"/>
          <w:lang w:val="es-ES"/>
        </w:rPr>
        <w:t xml:space="preserve"> Noble el 8 de enero de 2025, y referida a</w:t>
      </w:r>
      <w:r w:rsidR="00960BD6">
        <w:rPr>
          <w:rFonts w:ascii="Book Antiqua" w:eastAsia="Times New Roman" w:hAnsi="Book Antiqua"/>
          <w:color w:val="000000"/>
          <w:szCs w:val="24"/>
          <w:lang w:val="es-ES"/>
        </w:rPr>
        <w:t xml:space="preserve"> </w:t>
      </w:r>
      <w:r>
        <w:rPr>
          <w:rFonts w:ascii="Book Antiqua" w:eastAsia="Times New Roman" w:hAnsi="Book Antiqua"/>
          <w:color w:val="000000"/>
          <w:szCs w:val="24"/>
          <w:lang w:val="es-ES"/>
        </w:rPr>
        <w:t xml:space="preserve">la </w:t>
      </w:r>
      <w:r w:rsidRPr="00960BD6">
        <w:rPr>
          <w:rFonts w:ascii="Book Antiqua" w:eastAsia="Times New Roman" w:hAnsi="Book Antiqua"/>
          <w:i/>
          <w:iCs/>
          <w:color w:val="000000"/>
          <w:szCs w:val="24"/>
          <w:lang w:val="es-ES"/>
        </w:rPr>
        <w:t>Comisión de Reorganización, Eficiencia y Diligencia de la Cámara de Representantes (CRED)</w:t>
      </w:r>
      <w:r>
        <w:rPr>
          <w:rFonts w:ascii="Book Antiqua" w:eastAsia="Times New Roman" w:hAnsi="Book Antiqua"/>
          <w:color w:val="000000"/>
          <w:szCs w:val="24"/>
          <w:lang w:val="es-ES"/>
        </w:rPr>
        <w:t xml:space="preserve"> el 27 de enero de 202</w:t>
      </w:r>
      <w:r w:rsidR="00B54571">
        <w:rPr>
          <w:rFonts w:ascii="Book Antiqua" w:eastAsia="Times New Roman" w:hAnsi="Book Antiqua"/>
          <w:color w:val="000000"/>
          <w:szCs w:val="24"/>
          <w:lang w:val="es-ES"/>
        </w:rPr>
        <w:t xml:space="preserve">5. Tras varias incidencias procesales, la medida fue aprobada por la Cámara de Representantes el 1 de mayo de 2025, fecha en la que se remitió el texto aprobado al Senado de Puerto Rico. </w:t>
      </w:r>
      <w:r w:rsidR="004A2ED1">
        <w:rPr>
          <w:rFonts w:ascii="Book Antiqua" w:eastAsia="Times New Roman" w:hAnsi="Book Antiqua"/>
          <w:color w:val="000000"/>
          <w:szCs w:val="24"/>
          <w:lang w:val="es-ES"/>
        </w:rPr>
        <w:t xml:space="preserve">El 5 de mayo de 2025 se le dio la primera lectura en el Senado de Puerto Rico, y se remitió a la </w:t>
      </w:r>
      <w:r w:rsidR="004A2ED1" w:rsidRPr="00960BD6">
        <w:rPr>
          <w:rFonts w:ascii="Book Antiqua" w:eastAsia="Times New Roman" w:hAnsi="Book Antiqua"/>
          <w:i/>
          <w:iCs/>
          <w:color w:val="000000"/>
          <w:szCs w:val="24"/>
          <w:lang w:val="es-ES"/>
        </w:rPr>
        <w:t>Comisión de Gobierno</w:t>
      </w:r>
      <w:r w:rsidR="004A2ED1">
        <w:rPr>
          <w:rFonts w:ascii="Book Antiqua" w:eastAsia="Times New Roman" w:hAnsi="Book Antiqua"/>
          <w:color w:val="000000"/>
          <w:szCs w:val="24"/>
          <w:lang w:val="es-ES"/>
        </w:rPr>
        <w:t xml:space="preserve"> de este Cuerpo Legislativo. </w:t>
      </w:r>
    </w:p>
    <w:p w14:paraId="5229EDCC" w14:textId="77777777" w:rsidR="008B6224" w:rsidRPr="008B6224" w:rsidRDefault="008B6224" w:rsidP="008B6224">
      <w:pPr>
        <w:spacing w:line="276" w:lineRule="auto"/>
        <w:jc w:val="both"/>
        <w:rPr>
          <w:rFonts w:ascii="Book Antiqua" w:eastAsia="Times New Roman" w:hAnsi="Book Antiqua"/>
          <w:color w:val="000000"/>
          <w:szCs w:val="24"/>
          <w:lang w:val="es-ES"/>
        </w:rPr>
      </w:pPr>
    </w:p>
    <w:p w14:paraId="2D948D6B" w14:textId="77777777" w:rsidR="00D454DC" w:rsidRDefault="00D454DC" w:rsidP="00B85AA5">
      <w:pPr>
        <w:spacing w:line="276" w:lineRule="auto"/>
        <w:jc w:val="center"/>
        <w:rPr>
          <w:rFonts w:ascii="Book Antiqua" w:hAnsi="Book Antiqua"/>
          <w:b/>
          <w:caps/>
          <w:color w:val="000000"/>
          <w:szCs w:val="24"/>
        </w:rPr>
      </w:pPr>
      <w:r w:rsidRPr="008B6224">
        <w:rPr>
          <w:rFonts w:ascii="Book Antiqua" w:hAnsi="Book Antiqua"/>
          <w:b/>
          <w:caps/>
          <w:color w:val="000000"/>
          <w:szCs w:val="24"/>
        </w:rPr>
        <w:t>AnÁlisis de la Medida</w:t>
      </w:r>
    </w:p>
    <w:p w14:paraId="45938D95" w14:textId="77777777" w:rsidR="00002269" w:rsidRPr="008B6224" w:rsidRDefault="00002269" w:rsidP="008B6224">
      <w:pPr>
        <w:spacing w:line="276" w:lineRule="auto"/>
        <w:ind w:firstLine="708"/>
        <w:jc w:val="center"/>
        <w:rPr>
          <w:rFonts w:ascii="Book Antiqua" w:hAnsi="Book Antiqua"/>
          <w:b/>
          <w:caps/>
          <w:color w:val="000000"/>
          <w:szCs w:val="24"/>
        </w:rPr>
      </w:pPr>
    </w:p>
    <w:p w14:paraId="66B03ECF" w14:textId="77777777" w:rsidR="00002269" w:rsidRDefault="00002269" w:rsidP="00002269">
      <w:pPr>
        <w:spacing w:line="276" w:lineRule="auto"/>
        <w:jc w:val="both"/>
        <w:rPr>
          <w:rFonts w:ascii="Book Antiqua" w:eastAsia="Times New Roman" w:hAnsi="Book Antiqua"/>
          <w:color w:val="000000"/>
          <w:szCs w:val="24"/>
          <w:lang w:val="es-ES"/>
        </w:rPr>
      </w:pPr>
      <w:r>
        <w:rPr>
          <w:rFonts w:ascii="Book Antiqua" w:eastAsia="Times New Roman" w:hAnsi="Book Antiqua"/>
          <w:color w:val="000000"/>
          <w:szCs w:val="24"/>
          <w:lang w:val="es-ES"/>
        </w:rPr>
        <w:t xml:space="preserve">Recibida la medida, se evaluaron los </w:t>
      </w:r>
      <w:r w:rsidRPr="00DC0CD6">
        <w:rPr>
          <w:rFonts w:ascii="Book Antiqua" w:eastAsia="Times New Roman" w:hAnsi="Book Antiqua"/>
          <w:color w:val="000000"/>
          <w:szCs w:val="24"/>
          <w:lang w:val="es-ES"/>
        </w:rPr>
        <w:t xml:space="preserve">Memoriales Explicativos enviados a la Cámara de Representantes por el Departamento de Estado y la Oficina de Gerencia y Presupuesto (OGP), así como el informe de impacto económico presentado por la Oficina de Presupuesto de la Asamblea Legislativa (OPAL). Asimismo, esta Comisión de Gobierno solicitó Memoriales Explicativos a el Colegio de Abogados de Puerto Rico, al Departamento de Justicia, la Oficina de Administración y Transformación de Recursos Humanos (OATRH) y la Oficina de Servicios Legislativos (OSL). </w:t>
      </w:r>
    </w:p>
    <w:p w14:paraId="1AB9DC35" w14:textId="77777777" w:rsidR="00CD0755" w:rsidRPr="00B85AA5" w:rsidRDefault="00CD0755" w:rsidP="00002269">
      <w:pPr>
        <w:spacing w:line="276" w:lineRule="auto"/>
        <w:jc w:val="both"/>
        <w:rPr>
          <w:rFonts w:ascii="Book Antiqua" w:eastAsia="Times New Roman" w:hAnsi="Book Antiqua"/>
          <w:color w:val="000000"/>
          <w:szCs w:val="24"/>
          <w:lang w:val="es-ES"/>
        </w:rPr>
      </w:pPr>
    </w:p>
    <w:p w14:paraId="700BC4F2" w14:textId="5711F35B" w:rsidR="006859F2" w:rsidRPr="00B85AA5" w:rsidRDefault="00CD0755" w:rsidP="006527E6">
      <w:pPr>
        <w:pStyle w:val="ListParagraph"/>
        <w:numPr>
          <w:ilvl w:val="0"/>
          <w:numId w:val="31"/>
        </w:numPr>
        <w:spacing w:line="276" w:lineRule="auto"/>
        <w:jc w:val="center"/>
        <w:rPr>
          <w:rFonts w:ascii="Book Antiqua" w:hAnsi="Book Antiqua"/>
          <w:i/>
          <w:iCs/>
          <w:color w:val="000000"/>
          <w:sz w:val="24"/>
          <w:szCs w:val="24"/>
          <w:lang w:val="es-ES"/>
        </w:rPr>
      </w:pPr>
      <w:r w:rsidRPr="00B85AA5">
        <w:rPr>
          <w:rFonts w:ascii="Book Antiqua" w:hAnsi="Book Antiqua"/>
          <w:i/>
          <w:iCs/>
          <w:color w:val="000000"/>
          <w:sz w:val="24"/>
          <w:szCs w:val="24"/>
          <w:lang w:val="es-ES"/>
        </w:rPr>
        <w:t>Memoriales Explicativos</w:t>
      </w:r>
    </w:p>
    <w:p w14:paraId="3EB8F393" w14:textId="19AA31BD" w:rsidR="006859F2" w:rsidRPr="00B85AA5" w:rsidRDefault="006859F2" w:rsidP="006527E6">
      <w:pPr>
        <w:pStyle w:val="ListParagraph"/>
        <w:numPr>
          <w:ilvl w:val="0"/>
          <w:numId w:val="39"/>
        </w:numPr>
        <w:spacing w:after="200" w:line="276" w:lineRule="auto"/>
        <w:ind w:left="360"/>
        <w:jc w:val="center"/>
        <w:rPr>
          <w:rFonts w:ascii="Book Antiqua" w:hAnsi="Book Antiqua"/>
          <w:bCs/>
          <w:sz w:val="24"/>
          <w:szCs w:val="24"/>
          <w:u w:val="single"/>
        </w:rPr>
      </w:pPr>
      <w:r w:rsidRPr="00B85AA5">
        <w:rPr>
          <w:rFonts w:ascii="Book Antiqua" w:hAnsi="Book Antiqua"/>
          <w:bCs/>
          <w:sz w:val="24"/>
          <w:szCs w:val="24"/>
          <w:u w:val="single"/>
        </w:rPr>
        <w:t>Oficina de Gerencia y Presupuesto (OGP)</w:t>
      </w:r>
    </w:p>
    <w:p w14:paraId="2206C8B1" w14:textId="1DDD5BEF" w:rsidR="006859F2" w:rsidRDefault="006859F2" w:rsidP="00DC0CD6">
      <w:pPr>
        <w:spacing w:after="200" w:line="276" w:lineRule="auto"/>
        <w:contextualSpacing/>
        <w:jc w:val="both"/>
        <w:rPr>
          <w:rFonts w:ascii="Book Antiqua" w:eastAsia="Times New Roman" w:hAnsi="Book Antiqua"/>
          <w:bCs/>
        </w:rPr>
      </w:pPr>
      <w:r>
        <w:rPr>
          <w:rFonts w:ascii="Book Antiqua" w:eastAsia="Times New Roman" w:hAnsi="Book Antiqua"/>
          <w:bCs/>
        </w:rPr>
        <w:t>La</w:t>
      </w:r>
      <w:r w:rsidRPr="004E197E">
        <w:rPr>
          <w:rFonts w:ascii="Book Antiqua" w:eastAsia="Times New Roman" w:hAnsi="Book Antiqua"/>
          <w:bCs/>
        </w:rPr>
        <w:t xml:space="preserve"> </w:t>
      </w:r>
      <w:r>
        <w:rPr>
          <w:rFonts w:ascii="Book Antiqua" w:eastAsia="Times New Roman" w:hAnsi="Book Antiqua"/>
          <w:bCs/>
        </w:rPr>
        <w:t>O</w:t>
      </w:r>
      <w:r w:rsidRPr="004E197E">
        <w:rPr>
          <w:rFonts w:ascii="Book Antiqua" w:eastAsia="Times New Roman" w:hAnsi="Book Antiqua"/>
          <w:bCs/>
        </w:rPr>
        <w:t xml:space="preserve">ficina de Gerencia y Presupuesto (OGP) </w:t>
      </w:r>
      <w:r>
        <w:rPr>
          <w:rFonts w:ascii="Book Antiqua" w:eastAsia="Times New Roman" w:hAnsi="Book Antiqua"/>
          <w:bCs/>
        </w:rPr>
        <w:t>presentó ante la CRED</w:t>
      </w:r>
      <w:r w:rsidRPr="004E197E">
        <w:rPr>
          <w:rFonts w:ascii="Book Antiqua" w:eastAsia="Times New Roman" w:hAnsi="Book Antiqua"/>
          <w:bCs/>
        </w:rPr>
        <w:t xml:space="preserve"> </w:t>
      </w:r>
      <w:r>
        <w:rPr>
          <w:rFonts w:ascii="Book Antiqua" w:eastAsia="Times New Roman" w:hAnsi="Book Antiqua"/>
          <w:bCs/>
        </w:rPr>
        <w:t xml:space="preserve">el </w:t>
      </w:r>
      <w:r w:rsidRPr="004E197E">
        <w:rPr>
          <w:rFonts w:ascii="Book Antiqua" w:eastAsia="Times New Roman" w:hAnsi="Book Antiqua"/>
          <w:bCs/>
          <w:i/>
          <w:iCs/>
        </w:rPr>
        <w:t>Memorial Explicativo del Proyecto de la Cámara 138</w:t>
      </w:r>
      <w:r w:rsidRPr="004E197E">
        <w:rPr>
          <w:rStyle w:val="FootnoteReference"/>
          <w:rFonts w:ascii="Book Antiqua" w:eastAsia="Times New Roman" w:hAnsi="Book Antiqua"/>
          <w:bCs/>
          <w:i/>
          <w:iCs/>
        </w:rPr>
        <w:footnoteReference w:id="1"/>
      </w:r>
      <w:r>
        <w:rPr>
          <w:rFonts w:ascii="Book Antiqua" w:eastAsia="Times New Roman" w:hAnsi="Book Antiqua"/>
          <w:bCs/>
        </w:rPr>
        <w:t xml:space="preserve">, donde inicialmente describió </w:t>
      </w:r>
      <w:r w:rsidRPr="004E197E">
        <w:rPr>
          <w:rFonts w:ascii="Book Antiqua" w:eastAsia="Times New Roman" w:hAnsi="Book Antiqua"/>
          <w:bCs/>
        </w:rPr>
        <w:t xml:space="preserve">el Proyecto </w:t>
      </w:r>
      <w:r>
        <w:rPr>
          <w:rFonts w:ascii="Book Antiqua" w:eastAsia="Times New Roman" w:hAnsi="Book Antiqua"/>
          <w:bCs/>
        </w:rPr>
        <w:t>de manera general, y</w:t>
      </w:r>
      <w:r w:rsidRPr="004E197E">
        <w:rPr>
          <w:rFonts w:ascii="Book Antiqua" w:eastAsia="Times New Roman" w:hAnsi="Book Antiqua"/>
          <w:bCs/>
        </w:rPr>
        <w:t xml:space="preserve"> las funciones de la OGP dentro del Gobierno de Puerto Rico</w:t>
      </w:r>
      <w:r>
        <w:rPr>
          <w:rFonts w:ascii="Book Antiqua" w:eastAsia="Times New Roman" w:hAnsi="Book Antiqua"/>
          <w:bCs/>
        </w:rPr>
        <w:t xml:space="preserve">, y </w:t>
      </w:r>
      <w:r w:rsidRPr="004E197E">
        <w:rPr>
          <w:rFonts w:ascii="Book Antiqua" w:eastAsia="Times New Roman" w:hAnsi="Book Antiqua"/>
          <w:bCs/>
        </w:rPr>
        <w:t xml:space="preserve">como el P. de la C. 138 estaba </w:t>
      </w:r>
      <w:r>
        <w:rPr>
          <w:rFonts w:ascii="Book Antiqua" w:eastAsia="Times New Roman" w:hAnsi="Book Antiqua"/>
          <w:bCs/>
        </w:rPr>
        <w:t>en sintonía</w:t>
      </w:r>
      <w:r w:rsidRPr="004E197E">
        <w:rPr>
          <w:rFonts w:ascii="Book Antiqua" w:eastAsia="Times New Roman" w:hAnsi="Book Antiqua"/>
          <w:bCs/>
        </w:rPr>
        <w:t xml:space="preserve"> con el </w:t>
      </w:r>
      <w:r w:rsidRPr="004E197E">
        <w:rPr>
          <w:rFonts w:ascii="Book Antiqua" w:eastAsia="Times New Roman" w:hAnsi="Book Antiqua"/>
          <w:bCs/>
          <w:i/>
          <w:iCs/>
        </w:rPr>
        <w:t>Boletín Administrativo Núm. OE-2025-009</w:t>
      </w:r>
      <w:r w:rsidRPr="004E197E">
        <w:rPr>
          <w:rStyle w:val="FootnoteReference"/>
          <w:rFonts w:ascii="Book Antiqua" w:eastAsia="Times New Roman" w:hAnsi="Book Antiqua"/>
          <w:bCs/>
        </w:rPr>
        <w:footnoteReference w:id="2"/>
      </w:r>
      <w:r>
        <w:rPr>
          <w:rFonts w:ascii="Book Antiqua" w:eastAsia="Times New Roman" w:hAnsi="Book Antiqua"/>
          <w:bCs/>
        </w:rPr>
        <w:t>.</w:t>
      </w:r>
      <w:r w:rsidRPr="004E197E">
        <w:rPr>
          <w:rFonts w:ascii="Book Antiqua" w:eastAsia="Times New Roman" w:hAnsi="Book Antiqua"/>
          <w:bCs/>
        </w:rPr>
        <w:t xml:space="preserve"> Asimismo, expres</w:t>
      </w:r>
      <w:r>
        <w:rPr>
          <w:rFonts w:ascii="Book Antiqua" w:eastAsia="Times New Roman" w:hAnsi="Book Antiqua"/>
          <w:bCs/>
        </w:rPr>
        <w:t>ó</w:t>
      </w:r>
      <w:r w:rsidRPr="004E197E">
        <w:rPr>
          <w:rFonts w:ascii="Book Antiqua" w:eastAsia="Times New Roman" w:hAnsi="Book Antiqua"/>
          <w:bCs/>
        </w:rPr>
        <w:t xml:space="preserve"> que el P. de la C. </w:t>
      </w:r>
      <w:r>
        <w:rPr>
          <w:rFonts w:ascii="Book Antiqua" w:eastAsia="Times New Roman" w:hAnsi="Book Antiqua"/>
          <w:bCs/>
        </w:rPr>
        <w:t xml:space="preserve">138 </w:t>
      </w:r>
      <w:r w:rsidRPr="004E197E">
        <w:rPr>
          <w:rFonts w:ascii="Book Antiqua" w:eastAsia="Times New Roman" w:hAnsi="Book Antiqua"/>
          <w:bCs/>
        </w:rPr>
        <w:t xml:space="preserve">(1) </w:t>
      </w:r>
      <w:r>
        <w:rPr>
          <w:rFonts w:ascii="Book Antiqua" w:eastAsia="Times New Roman" w:hAnsi="Book Antiqua"/>
          <w:bCs/>
        </w:rPr>
        <w:t>ampliaba “</w:t>
      </w:r>
      <w:r w:rsidRPr="004E197E">
        <w:rPr>
          <w:rFonts w:ascii="Book Antiqua" w:eastAsia="Times New Roman" w:hAnsi="Book Antiqua"/>
          <w:bCs/>
        </w:rPr>
        <w:t>el alcance de […] la Ley del Nuevo Gobierno de Puerto Rico al incorporar la eliminación de leyes obsoletas dentro del proceso de reorganización gubernamental”</w:t>
      </w:r>
      <w:r w:rsidRPr="004E197E">
        <w:rPr>
          <w:rStyle w:val="FootnoteReference"/>
          <w:rFonts w:ascii="Book Antiqua" w:eastAsia="Times New Roman" w:hAnsi="Book Antiqua"/>
          <w:bCs/>
        </w:rPr>
        <w:footnoteReference w:id="3"/>
      </w:r>
      <w:r w:rsidRPr="004E197E">
        <w:rPr>
          <w:rFonts w:ascii="Book Antiqua" w:eastAsia="Times New Roman" w:hAnsi="Book Antiqua"/>
          <w:bCs/>
        </w:rPr>
        <w:t>, y (2) “</w:t>
      </w:r>
      <w:r>
        <w:rPr>
          <w:rFonts w:ascii="Book Antiqua" w:eastAsia="Times New Roman" w:hAnsi="Book Antiqua"/>
          <w:bCs/>
        </w:rPr>
        <w:t>asignaba</w:t>
      </w:r>
      <w:r w:rsidRPr="004E197E">
        <w:rPr>
          <w:rFonts w:ascii="Book Antiqua" w:eastAsia="Times New Roman" w:hAnsi="Book Antiqua"/>
          <w:bCs/>
        </w:rPr>
        <w:t xml:space="preserve"> </w:t>
      </w:r>
      <w:r>
        <w:rPr>
          <w:rFonts w:ascii="Book Antiqua" w:eastAsia="Times New Roman" w:hAnsi="Book Antiqua"/>
          <w:bCs/>
        </w:rPr>
        <w:t>“</w:t>
      </w:r>
      <w:r w:rsidRPr="004E197E">
        <w:rPr>
          <w:rFonts w:ascii="Book Antiqua" w:eastAsia="Times New Roman" w:hAnsi="Book Antiqua"/>
          <w:bCs/>
        </w:rPr>
        <w:t xml:space="preserve">nuevas responsabilidades </w:t>
      </w:r>
      <w:r w:rsidRPr="004E197E">
        <w:rPr>
          <w:rFonts w:ascii="Book Antiqua" w:eastAsia="Times New Roman" w:hAnsi="Book Antiqua"/>
          <w:bCs/>
        </w:rPr>
        <w:lastRenderedPageBreak/>
        <w:t>a los jefes de agencia, estableciendo que los planes de reorganización deberán incluir propuestas legislativas para derogar normas obsoletas.”</w:t>
      </w:r>
      <w:r w:rsidRPr="004E197E">
        <w:rPr>
          <w:rStyle w:val="FootnoteReference"/>
          <w:rFonts w:ascii="Book Antiqua" w:eastAsia="Times New Roman" w:hAnsi="Book Antiqua"/>
          <w:bCs/>
        </w:rPr>
        <w:footnoteReference w:id="4"/>
      </w:r>
      <w:r w:rsidRPr="004E197E">
        <w:rPr>
          <w:rFonts w:ascii="Book Antiqua" w:eastAsia="Times New Roman" w:hAnsi="Book Antiqua"/>
          <w:bCs/>
        </w:rPr>
        <w:t xml:space="preserve"> </w:t>
      </w:r>
      <w:r>
        <w:rPr>
          <w:rFonts w:ascii="Book Antiqua" w:eastAsia="Times New Roman" w:hAnsi="Book Antiqua"/>
          <w:bCs/>
        </w:rPr>
        <w:t xml:space="preserve">Además, añadió que: </w:t>
      </w:r>
    </w:p>
    <w:p w14:paraId="66B099FB" w14:textId="67BEE93D" w:rsidR="006859F2" w:rsidRPr="004E197E" w:rsidRDefault="006859F2" w:rsidP="00B85AA5">
      <w:pPr>
        <w:spacing w:after="200"/>
        <w:ind w:left="720" w:right="720"/>
        <w:contextualSpacing/>
        <w:jc w:val="both"/>
        <w:rPr>
          <w:rFonts w:ascii="Book Antiqua" w:eastAsia="Times New Roman" w:hAnsi="Book Antiqua"/>
          <w:bCs/>
        </w:rPr>
      </w:pPr>
      <w:r w:rsidRPr="004E197E">
        <w:rPr>
          <w:rFonts w:ascii="Book Antiqua" w:eastAsia="Times New Roman" w:hAnsi="Book Antiqua"/>
          <w:bCs/>
        </w:rPr>
        <w:t>[e]n conjunto, estas disposiciones refuerzan la evaluación de la gestión gubernamental de Puerto Rico, pasando de una planificación presupuestaria tradicional a una reestructuración integral del aparato gubernamental, con énfasis en la simplificación administrativa para mejorar la eficiencia operacional y optimizar los servicios de [sic] dan las agencias a los ciudadanos.”</w:t>
      </w:r>
      <w:r w:rsidRPr="004E197E">
        <w:rPr>
          <w:rStyle w:val="FootnoteReference"/>
          <w:rFonts w:ascii="Book Antiqua" w:eastAsia="Times New Roman" w:hAnsi="Book Antiqua"/>
          <w:bCs/>
        </w:rPr>
        <w:footnoteReference w:id="5"/>
      </w:r>
    </w:p>
    <w:p w14:paraId="201020A1" w14:textId="77777777" w:rsidR="006859F2" w:rsidRPr="004E197E" w:rsidRDefault="006859F2" w:rsidP="006859F2">
      <w:pPr>
        <w:spacing w:after="200" w:line="276" w:lineRule="auto"/>
        <w:ind w:firstLine="720"/>
        <w:contextualSpacing/>
        <w:jc w:val="both"/>
        <w:rPr>
          <w:rFonts w:ascii="Book Antiqua" w:eastAsia="Times New Roman" w:hAnsi="Book Antiqua"/>
          <w:bCs/>
        </w:rPr>
      </w:pPr>
    </w:p>
    <w:p w14:paraId="25C0904A" w14:textId="77777777" w:rsidR="006859F2" w:rsidRPr="006859F2" w:rsidRDefault="006859F2" w:rsidP="00B85AA5">
      <w:pPr>
        <w:spacing w:after="200" w:line="276" w:lineRule="auto"/>
        <w:contextualSpacing/>
        <w:jc w:val="both"/>
        <w:rPr>
          <w:rFonts w:ascii="Book Antiqua" w:eastAsia="Times New Roman" w:hAnsi="Book Antiqua"/>
          <w:bCs/>
          <w:szCs w:val="24"/>
        </w:rPr>
      </w:pPr>
      <w:r w:rsidRPr="006859F2">
        <w:rPr>
          <w:rFonts w:ascii="Book Antiqua" w:eastAsia="Times New Roman" w:hAnsi="Book Antiqua"/>
          <w:bCs/>
          <w:szCs w:val="24"/>
        </w:rPr>
        <w:t xml:space="preserve">Referente a los beneficios generados por la medida, la OGP enumeró los siguientes: </w:t>
      </w:r>
    </w:p>
    <w:p w14:paraId="676C2B84" w14:textId="77777777" w:rsidR="006859F2" w:rsidRPr="006859F2" w:rsidRDefault="006859F2" w:rsidP="00B85AA5">
      <w:pPr>
        <w:pStyle w:val="ListParagraph"/>
        <w:numPr>
          <w:ilvl w:val="0"/>
          <w:numId w:val="33"/>
        </w:numPr>
        <w:spacing w:after="200" w:line="240" w:lineRule="auto"/>
        <w:ind w:left="1080" w:right="630"/>
        <w:jc w:val="both"/>
        <w:rPr>
          <w:rFonts w:ascii="Book Antiqua" w:hAnsi="Book Antiqua"/>
          <w:bCs/>
          <w:sz w:val="24"/>
          <w:szCs w:val="24"/>
        </w:rPr>
      </w:pPr>
      <w:r w:rsidRPr="006859F2">
        <w:rPr>
          <w:rFonts w:ascii="Book Antiqua" w:hAnsi="Book Antiqua"/>
          <w:bCs/>
          <w:sz w:val="24"/>
          <w:szCs w:val="24"/>
        </w:rPr>
        <w:t>Mayor eficiencia en la administración pública con la eliminación de leyes inoficiosas que reducirá la burocracia y simplificará los procesos administrativos, facilitando el cumplimiento normativo y la gestión de recursos.</w:t>
      </w:r>
    </w:p>
    <w:p w14:paraId="3BCE4F7B" w14:textId="77777777" w:rsidR="006859F2" w:rsidRPr="006859F2" w:rsidRDefault="006859F2" w:rsidP="00B85AA5">
      <w:pPr>
        <w:pStyle w:val="ListParagraph"/>
        <w:numPr>
          <w:ilvl w:val="0"/>
          <w:numId w:val="33"/>
        </w:numPr>
        <w:spacing w:after="200" w:line="240" w:lineRule="auto"/>
        <w:ind w:left="1080" w:right="630"/>
        <w:jc w:val="both"/>
        <w:rPr>
          <w:rFonts w:ascii="Book Antiqua" w:hAnsi="Book Antiqua"/>
          <w:bCs/>
          <w:sz w:val="24"/>
          <w:szCs w:val="24"/>
        </w:rPr>
      </w:pPr>
      <w:r w:rsidRPr="006859F2">
        <w:rPr>
          <w:rFonts w:ascii="Book Antiqua" w:hAnsi="Book Antiqua"/>
          <w:bCs/>
          <w:sz w:val="24"/>
          <w:szCs w:val="24"/>
        </w:rPr>
        <w:t xml:space="preserve">Optimización del gasto público al racionalizar las funciones gubernamentales. Se promoverá un uso más eficiente del presupuesto, asegurando que los recursos se destinen a programas y servicios esenciales. </w:t>
      </w:r>
    </w:p>
    <w:p w14:paraId="74CBE411" w14:textId="77777777" w:rsidR="006859F2" w:rsidRPr="006859F2" w:rsidRDefault="006859F2" w:rsidP="00B85AA5">
      <w:pPr>
        <w:pStyle w:val="ListParagraph"/>
        <w:numPr>
          <w:ilvl w:val="0"/>
          <w:numId w:val="33"/>
        </w:numPr>
        <w:spacing w:after="200" w:line="240" w:lineRule="auto"/>
        <w:ind w:left="1080" w:right="630"/>
        <w:jc w:val="both"/>
        <w:rPr>
          <w:rFonts w:ascii="Book Antiqua" w:hAnsi="Book Antiqua"/>
          <w:bCs/>
          <w:sz w:val="24"/>
          <w:szCs w:val="24"/>
        </w:rPr>
      </w:pPr>
      <w:r w:rsidRPr="006859F2">
        <w:rPr>
          <w:rFonts w:ascii="Book Antiqua" w:hAnsi="Book Antiqua"/>
          <w:bCs/>
          <w:sz w:val="24"/>
          <w:szCs w:val="24"/>
        </w:rPr>
        <w:t xml:space="preserve">Claridad y coherencia en el ordenamiento jurídico, ya que evitará conflictos normativos y facilitará la interpretación y aplicación de la ley, beneficiando tanto a las agencias gubernamentales como a la ciudadanía. </w:t>
      </w:r>
    </w:p>
    <w:p w14:paraId="4CF95DD4" w14:textId="77777777" w:rsidR="006859F2" w:rsidRPr="006859F2" w:rsidRDefault="006859F2" w:rsidP="00B85AA5">
      <w:pPr>
        <w:pStyle w:val="ListParagraph"/>
        <w:numPr>
          <w:ilvl w:val="0"/>
          <w:numId w:val="33"/>
        </w:numPr>
        <w:spacing w:after="200" w:line="240" w:lineRule="auto"/>
        <w:ind w:left="1080" w:right="630"/>
        <w:jc w:val="both"/>
        <w:rPr>
          <w:rFonts w:ascii="Book Antiqua" w:hAnsi="Book Antiqua"/>
          <w:bCs/>
          <w:sz w:val="24"/>
          <w:szCs w:val="24"/>
        </w:rPr>
      </w:pPr>
      <w:r w:rsidRPr="006859F2">
        <w:rPr>
          <w:rFonts w:ascii="Book Antiqua" w:hAnsi="Book Antiqua"/>
          <w:bCs/>
          <w:sz w:val="24"/>
          <w:szCs w:val="24"/>
        </w:rPr>
        <w:t>Agilidad en los procesos de reorganización gubernamental al identificar y eliminar leyes obsoletas. Esto permitirá que las agencias se reestructuren sin restricciones innecesarias, promoviendo un gobierno más moderno y adaptable.</w:t>
      </w:r>
      <w:r w:rsidRPr="006859F2">
        <w:rPr>
          <w:rStyle w:val="FootnoteReference"/>
          <w:rFonts w:ascii="Book Antiqua" w:hAnsi="Book Antiqua"/>
          <w:bCs/>
          <w:sz w:val="24"/>
          <w:szCs w:val="24"/>
        </w:rPr>
        <w:footnoteReference w:id="6"/>
      </w:r>
    </w:p>
    <w:p w14:paraId="15917F63" w14:textId="77777777" w:rsidR="006859F2" w:rsidRPr="004E197E" w:rsidRDefault="006859F2" w:rsidP="006527E6">
      <w:pPr>
        <w:spacing w:after="200" w:line="276" w:lineRule="auto"/>
        <w:jc w:val="both"/>
        <w:rPr>
          <w:rFonts w:ascii="Book Antiqua" w:eastAsia="Times New Roman" w:hAnsi="Book Antiqua"/>
          <w:bCs/>
        </w:rPr>
      </w:pPr>
      <w:r w:rsidRPr="004E197E">
        <w:rPr>
          <w:rFonts w:ascii="Book Antiqua" w:eastAsia="Times New Roman" w:hAnsi="Book Antiqua"/>
          <w:bCs/>
        </w:rPr>
        <w:t xml:space="preserve">Finalmente, indicó que no surgía </w:t>
      </w:r>
      <w:proofErr w:type="gramStart"/>
      <w:r w:rsidRPr="004E197E">
        <w:rPr>
          <w:rFonts w:ascii="Book Antiqua" w:eastAsia="Times New Roman" w:hAnsi="Book Antiqua"/>
          <w:bCs/>
        </w:rPr>
        <w:t>que</w:t>
      </w:r>
      <w:proofErr w:type="gramEnd"/>
      <w:r w:rsidRPr="004E197E">
        <w:rPr>
          <w:rFonts w:ascii="Book Antiqua" w:eastAsia="Times New Roman" w:hAnsi="Book Antiqua"/>
          <w:bCs/>
        </w:rPr>
        <w:t xml:space="preserve"> la medida fuere a tener un impacto económico en el presupuesto 2024-2025, mas, sin embargo, habría que analizar el impacto sobre la redistribución de tareas o la necesidad de contrataciones externas especializadas. Por tal motivo, recomendó solicitar un</w:t>
      </w:r>
      <w:r>
        <w:rPr>
          <w:rFonts w:ascii="Book Antiqua" w:eastAsia="Times New Roman" w:hAnsi="Book Antiqua"/>
          <w:bCs/>
        </w:rPr>
        <w:t xml:space="preserve"> análisis de</w:t>
      </w:r>
      <w:r w:rsidRPr="004E197E">
        <w:rPr>
          <w:rFonts w:ascii="Book Antiqua" w:eastAsia="Times New Roman" w:hAnsi="Book Antiqua"/>
          <w:bCs/>
        </w:rPr>
        <w:t xml:space="preserve"> impacto fiscal a la </w:t>
      </w:r>
      <w:r>
        <w:rPr>
          <w:rFonts w:ascii="Book Antiqua" w:eastAsia="Times New Roman" w:hAnsi="Book Antiqua"/>
          <w:bCs/>
        </w:rPr>
        <w:t>O</w:t>
      </w:r>
      <w:r w:rsidRPr="004E197E">
        <w:rPr>
          <w:rFonts w:ascii="Book Antiqua" w:eastAsia="Times New Roman" w:hAnsi="Book Antiqua"/>
          <w:bCs/>
        </w:rPr>
        <w:t>ficina de Presupuesto de la Asamblea Legislativa.</w:t>
      </w:r>
      <w:r w:rsidRPr="004E197E">
        <w:rPr>
          <w:rStyle w:val="FootnoteReference"/>
          <w:rFonts w:ascii="Book Antiqua" w:eastAsia="Times New Roman" w:hAnsi="Book Antiqua"/>
          <w:bCs/>
        </w:rPr>
        <w:footnoteReference w:id="7"/>
      </w:r>
      <w:r w:rsidRPr="004E197E">
        <w:rPr>
          <w:rFonts w:ascii="Book Antiqua" w:eastAsia="Times New Roman" w:hAnsi="Book Antiqua"/>
          <w:bCs/>
        </w:rPr>
        <w:t xml:space="preserve"> </w:t>
      </w:r>
    </w:p>
    <w:p w14:paraId="0930FF40" w14:textId="4980C696" w:rsidR="006859F2" w:rsidRPr="006527E6" w:rsidRDefault="006859F2" w:rsidP="006527E6">
      <w:pPr>
        <w:pStyle w:val="ListParagraph"/>
        <w:numPr>
          <w:ilvl w:val="0"/>
          <w:numId w:val="39"/>
        </w:numPr>
        <w:ind w:left="360"/>
        <w:jc w:val="center"/>
        <w:rPr>
          <w:rFonts w:ascii="Book Antiqua" w:hAnsi="Book Antiqua"/>
          <w:sz w:val="24"/>
          <w:szCs w:val="24"/>
          <w:u w:val="single"/>
        </w:rPr>
      </w:pPr>
      <w:r w:rsidRPr="006527E6">
        <w:rPr>
          <w:rFonts w:ascii="Book Antiqua" w:hAnsi="Book Antiqua"/>
          <w:sz w:val="24"/>
          <w:szCs w:val="24"/>
          <w:u w:val="single"/>
        </w:rPr>
        <w:t>Departamento de Estado</w:t>
      </w:r>
    </w:p>
    <w:p w14:paraId="6598F371" w14:textId="188D03EA" w:rsidR="006859F2" w:rsidRDefault="006859F2" w:rsidP="006527E6">
      <w:pPr>
        <w:spacing w:line="276" w:lineRule="auto"/>
        <w:jc w:val="both"/>
        <w:rPr>
          <w:rFonts w:ascii="Book Antiqua" w:eastAsia="Times New Roman" w:hAnsi="Book Antiqua"/>
          <w:bCs/>
        </w:rPr>
      </w:pPr>
      <w:r>
        <w:rPr>
          <w:rFonts w:ascii="Book Antiqua" w:eastAsia="Times New Roman" w:hAnsi="Book Antiqua"/>
          <w:bCs/>
        </w:rPr>
        <w:t>El</w:t>
      </w:r>
      <w:r w:rsidRPr="004E197E">
        <w:rPr>
          <w:rFonts w:ascii="Book Antiqua" w:eastAsia="Times New Roman" w:hAnsi="Book Antiqua"/>
          <w:bCs/>
        </w:rPr>
        <w:t xml:space="preserve"> Departamento de Estado </w:t>
      </w:r>
      <w:r>
        <w:rPr>
          <w:rFonts w:ascii="Book Antiqua" w:eastAsia="Times New Roman" w:hAnsi="Book Antiqua"/>
          <w:bCs/>
        </w:rPr>
        <w:t>presentó</w:t>
      </w:r>
      <w:r w:rsidRPr="004E197E">
        <w:rPr>
          <w:rFonts w:ascii="Book Antiqua" w:eastAsia="Times New Roman" w:hAnsi="Book Antiqua"/>
          <w:bCs/>
        </w:rPr>
        <w:t xml:space="preserve"> un memorial explicativo, donde comenzó resumiendo el P. de la C. 138. Indicó, además, </w:t>
      </w:r>
      <w:r>
        <w:rPr>
          <w:rFonts w:ascii="Book Antiqua" w:eastAsia="Times New Roman" w:hAnsi="Book Antiqua"/>
          <w:bCs/>
        </w:rPr>
        <w:t>lo pertinente que resultaba</w:t>
      </w:r>
      <w:r w:rsidRPr="004E197E">
        <w:rPr>
          <w:rFonts w:ascii="Book Antiqua" w:eastAsia="Times New Roman" w:hAnsi="Book Antiqua"/>
          <w:bCs/>
        </w:rPr>
        <w:t xml:space="preserve"> toda iniciativa legislativa que </w:t>
      </w:r>
      <w:r>
        <w:rPr>
          <w:rFonts w:ascii="Book Antiqua" w:eastAsia="Times New Roman" w:hAnsi="Book Antiqua"/>
          <w:bCs/>
        </w:rPr>
        <w:t>buscare</w:t>
      </w:r>
      <w:r w:rsidRPr="004E197E">
        <w:rPr>
          <w:rFonts w:ascii="Book Antiqua" w:eastAsia="Times New Roman" w:hAnsi="Book Antiqua"/>
          <w:bCs/>
        </w:rPr>
        <w:t xml:space="preserve"> generar eficiencias en el Gobierno y que a su vez </w:t>
      </w:r>
      <w:r>
        <w:rPr>
          <w:rFonts w:ascii="Book Antiqua" w:eastAsia="Times New Roman" w:hAnsi="Book Antiqua"/>
          <w:bCs/>
        </w:rPr>
        <w:t>permitiese</w:t>
      </w:r>
      <w:r w:rsidRPr="004E197E">
        <w:rPr>
          <w:rFonts w:ascii="Book Antiqua" w:eastAsia="Times New Roman" w:hAnsi="Book Antiqua"/>
          <w:bCs/>
        </w:rPr>
        <w:t xml:space="preserve"> </w:t>
      </w:r>
      <w:r w:rsidRPr="004E197E">
        <w:rPr>
          <w:rFonts w:ascii="Book Antiqua" w:eastAsia="Times New Roman" w:hAnsi="Book Antiqua"/>
          <w:bCs/>
        </w:rPr>
        <w:lastRenderedPageBreak/>
        <w:t xml:space="preserve">mejorar los servicios ofrecidos a la ciudadanía. Añadió que, aunque </w:t>
      </w:r>
      <w:r>
        <w:rPr>
          <w:rFonts w:ascii="Book Antiqua" w:eastAsia="Times New Roman" w:hAnsi="Book Antiqua"/>
          <w:bCs/>
        </w:rPr>
        <w:t>el Departamento de Estado estaba</w:t>
      </w:r>
      <w:r w:rsidRPr="004E197E">
        <w:rPr>
          <w:rFonts w:ascii="Book Antiqua" w:eastAsia="Times New Roman" w:hAnsi="Book Antiqua"/>
          <w:bCs/>
        </w:rPr>
        <w:t xml:space="preserve"> expresamente exclu</w:t>
      </w:r>
      <w:r>
        <w:rPr>
          <w:rFonts w:ascii="Book Antiqua" w:eastAsia="Times New Roman" w:hAnsi="Book Antiqua"/>
          <w:bCs/>
        </w:rPr>
        <w:t>ido</w:t>
      </w:r>
      <w:r w:rsidRPr="004E197E">
        <w:rPr>
          <w:rFonts w:ascii="Book Antiqua" w:eastAsia="Times New Roman" w:hAnsi="Book Antiqua"/>
          <w:bCs/>
        </w:rPr>
        <w:t xml:space="preserve"> de la aplicación de la Ley núm. 122-2017, </w:t>
      </w:r>
      <w:r w:rsidRPr="004E197E">
        <w:rPr>
          <w:rFonts w:ascii="Book Antiqua" w:eastAsia="Times New Roman" w:hAnsi="Book Antiqua"/>
          <w:bCs/>
          <w:i/>
          <w:iCs/>
        </w:rPr>
        <w:t>supra</w:t>
      </w:r>
      <w:r w:rsidRPr="004E197E">
        <w:rPr>
          <w:rFonts w:ascii="Book Antiqua" w:eastAsia="Times New Roman" w:hAnsi="Book Antiqua"/>
          <w:bCs/>
        </w:rPr>
        <w:t xml:space="preserve">, entendía meritorio expresarse respecto a la medida, toda vez que iba a tono con la </w:t>
      </w:r>
      <w:r w:rsidRPr="004E197E">
        <w:rPr>
          <w:rFonts w:ascii="Book Antiqua" w:eastAsia="Times New Roman" w:hAnsi="Book Antiqua"/>
          <w:bCs/>
          <w:i/>
          <w:iCs/>
        </w:rPr>
        <w:t>Orden Ejecutiva OE-2025-009</w:t>
      </w:r>
      <w:r>
        <w:rPr>
          <w:rFonts w:ascii="Book Antiqua" w:eastAsia="Times New Roman" w:hAnsi="Book Antiqua"/>
          <w:bCs/>
        </w:rPr>
        <w:t>.</w:t>
      </w:r>
      <w:r w:rsidRPr="004E197E">
        <w:rPr>
          <w:rFonts w:ascii="Book Antiqua" w:eastAsia="Times New Roman" w:hAnsi="Book Antiqua"/>
          <w:bCs/>
        </w:rPr>
        <w:t xml:space="preserve"> Expresó también que consideraba la pieza legislativa como una “adición importante, en términos técnicos, a las facultades de la Rama Ejecutiva para poder asesorar a la Rama Legislativa sobre qu</w:t>
      </w:r>
      <w:r>
        <w:rPr>
          <w:rFonts w:ascii="Book Antiqua" w:eastAsia="Times New Roman" w:hAnsi="Book Antiqua"/>
          <w:bCs/>
        </w:rPr>
        <w:t>é</w:t>
      </w:r>
      <w:r w:rsidRPr="004E197E">
        <w:rPr>
          <w:rFonts w:ascii="Book Antiqua" w:eastAsia="Times New Roman" w:hAnsi="Book Antiqua"/>
          <w:bCs/>
        </w:rPr>
        <w:t xml:space="preserve"> leyes pueden derogarse por ser obsoletas o inoficiosas.”</w:t>
      </w:r>
      <w:r w:rsidRPr="004E197E">
        <w:rPr>
          <w:rStyle w:val="FootnoteReference"/>
          <w:rFonts w:ascii="Book Antiqua" w:eastAsia="Times New Roman" w:hAnsi="Book Antiqua"/>
          <w:bCs/>
        </w:rPr>
        <w:footnoteReference w:id="8"/>
      </w:r>
      <w:r w:rsidRPr="004E197E">
        <w:rPr>
          <w:rFonts w:ascii="Book Antiqua" w:eastAsia="Times New Roman" w:hAnsi="Book Antiqua"/>
          <w:bCs/>
        </w:rPr>
        <w:t xml:space="preserve"> </w:t>
      </w:r>
    </w:p>
    <w:p w14:paraId="554C2131" w14:textId="70FA9F04" w:rsidR="006859F2" w:rsidRPr="006527E6" w:rsidRDefault="006527E6" w:rsidP="006527E6">
      <w:pPr>
        <w:pStyle w:val="ListParagraph"/>
        <w:numPr>
          <w:ilvl w:val="0"/>
          <w:numId w:val="39"/>
        </w:numPr>
        <w:spacing w:line="276" w:lineRule="auto"/>
        <w:ind w:left="360"/>
        <w:jc w:val="center"/>
        <w:rPr>
          <w:rFonts w:ascii="Book Antiqua" w:hAnsi="Book Antiqua"/>
          <w:bCs/>
          <w:sz w:val="24"/>
          <w:szCs w:val="24"/>
          <w:u w:val="single"/>
        </w:rPr>
      </w:pPr>
      <w:r w:rsidRPr="006527E6">
        <w:rPr>
          <w:rFonts w:ascii="Book Antiqua" w:hAnsi="Book Antiqua"/>
          <w:bCs/>
          <w:sz w:val="24"/>
          <w:szCs w:val="24"/>
          <w:u w:val="single"/>
        </w:rPr>
        <w:t>Departamento de Justicia</w:t>
      </w:r>
    </w:p>
    <w:p w14:paraId="59F42025" w14:textId="559EDDB8" w:rsidR="006859F2" w:rsidRDefault="006527E6" w:rsidP="006527E6">
      <w:pPr>
        <w:spacing w:line="276" w:lineRule="auto"/>
        <w:jc w:val="both"/>
        <w:rPr>
          <w:rFonts w:ascii="Book Antiqua" w:eastAsia="Times New Roman" w:hAnsi="Book Antiqua"/>
          <w:bCs/>
        </w:rPr>
      </w:pPr>
      <w:r>
        <w:rPr>
          <w:rFonts w:ascii="Book Antiqua" w:eastAsia="Times New Roman" w:hAnsi="Book Antiqua"/>
          <w:bCs/>
        </w:rPr>
        <w:t xml:space="preserve">Al momento de evaluarse el presente Informe, el Departamento de Justicia no había remitido un Memorial Explicativo ante la consideración de esta Comisión. </w:t>
      </w:r>
    </w:p>
    <w:p w14:paraId="4883C23C" w14:textId="77777777" w:rsidR="006859F2" w:rsidRPr="006859F2" w:rsidRDefault="006859F2" w:rsidP="006859F2">
      <w:pPr>
        <w:spacing w:line="276" w:lineRule="auto"/>
        <w:jc w:val="both"/>
        <w:rPr>
          <w:rFonts w:ascii="Book Antiqua" w:hAnsi="Book Antiqua"/>
          <w:bCs/>
        </w:rPr>
      </w:pPr>
    </w:p>
    <w:p w14:paraId="7E2791B1" w14:textId="454E7C0D" w:rsidR="00ED5E36" w:rsidRPr="006527E6" w:rsidRDefault="006527E6" w:rsidP="006527E6">
      <w:pPr>
        <w:pStyle w:val="ListParagraph"/>
        <w:numPr>
          <w:ilvl w:val="0"/>
          <w:numId w:val="39"/>
        </w:numPr>
        <w:spacing w:line="276" w:lineRule="auto"/>
        <w:ind w:left="360"/>
        <w:jc w:val="center"/>
        <w:rPr>
          <w:rFonts w:ascii="Book Antiqua" w:hAnsi="Book Antiqua"/>
          <w:color w:val="000000"/>
          <w:sz w:val="24"/>
          <w:szCs w:val="24"/>
          <w:u w:val="single"/>
          <w:lang w:val="es-ES"/>
        </w:rPr>
      </w:pPr>
      <w:r w:rsidRPr="006527E6">
        <w:rPr>
          <w:rFonts w:ascii="Book Antiqua" w:hAnsi="Book Antiqua"/>
          <w:color w:val="000000"/>
          <w:sz w:val="24"/>
          <w:szCs w:val="24"/>
          <w:u w:val="single"/>
          <w:lang w:val="es-ES"/>
        </w:rPr>
        <w:t>Colegio de Abogados de Puerto Rico (CAPR)</w:t>
      </w:r>
    </w:p>
    <w:p w14:paraId="1DE85984" w14:textId="36D6CEB8" w:rsidR="006527E6" w:rsidRDefault="006527E6" w:rsidP="006527E6">
      <w:pPr>
        <w:spacing w:line="276" w:lineRule="auto"/>
        <w:jc w:val="both"/>
        <w:rPr>
          <w:rFonts w:ascii="Book Antiqua" w:hAnsi="Book Antiqua"/>
          <w:bCs/>
        </w:rPr>
      </w:pPr>
      <w:r w:rsidRPr="006527E6">
        <w:rPr>
          <w:rFonts w:ascii="Book Antiqua" w:hAnsi="Book Antiqua"/>
          <w:bCs/>
        </w:rPr>
        <w:t xml:space="preserve">Al momento de evaluarse el presente Informe, el </w:t>
      </w:r>
      <w:r>
        <w:rPr>
          <w:rFonts w:ascii="Book Antiqua" w:hAnsi="Book Antiqua"/>
          <w:bCs/>
        </w:rPr>
        <w:t>CAPR</w:t>
      </w:r>
      <w:r w:rsidRPr="006527E6">
        <w:rPr>
          <w:rFonts w:ascii="Book Antiqua" w:hAnsi="Book Antiqua"/>
          <w:bCs/>
        </w:rPr>
        <w:t xml:space="preserve"> no había remitido un Memorial Explicativo ante la consideración de esta Comisión.</w:t>
      </w:r>
      <w:r>
        <w:rPr>
          <w:rFonts w:ascii="Book Antiqua" w:hAnsi="Book Antiqua"/>
          <w:bCs/>
        </w:rPr>
        <w:t xml:space="preserve"> Ello, aun cuando se le concedió una prórroga solicitada por el mismo CAPR.</w:t>
      </w:r>
    </w:p>
    <w:p w14:paraId="4DBBFAD8" w14:textId="77777777" w:rsidR="006527E6" w:rsidRDefault="006527E6" w:rsidP="006527E6">
      <w:pPr>
        <w:spacing w:line="276" w:lineRule="auto"/>
        <w:jc w:val="both"/>
        <w:rPr>
          <w:rFonts w:ascii="Book Antiqua" w:hAnsi="Book Antiqua"/>
          <w:bCs/>
        </w:rPr>
      </w:pPr>
    </w:p>
    <w:p w14:paraId="0694EF29" w14:textId="6C0808F9" w:rsidR="006527E6" w:rsidRPr="008D54B8" w:rsidRDefault="006527E6" w:rsidP="006527E6">
      <w:pPr>
        <w:pStyle w:val="ListParagraph"/>
        <w:numPr>
          <w:ilvl w:val="0"/>
          <w:numId w:val="39"/>
        </w:numPr>
        <w:spacing w:line="276" w:lineRule="auto"/>
        <w:ind w:left="360"/>
        <w:jc w:val="both"/>
        <w:rPr>
          <w:rFonts w:ascii="Book Antiqua" w:hAnsi="Book Antiqua"/>
          <w:bCs/>
          <w:sz w:val="24"/>
          <w:szCs w:val="24"/>
          <w:u w:val="single"/>
        </w:rPr>
      </w:pPr>
      <w:r w:rsidRPr="008D54B8">
        <w:rPr>
          <w:rFonts w:ascii="Book Antiqua" w:hAnsi="Book Antiqua"/>
          <w:bCs/>
          <w:sz w:val="24"/>
          <w:szCs w:val="24"/>
          <w:u w:val="single"/>
        </w:rPr>
        <w:t>Oficina de Administración y Transformación de los Recursos Humanos (OATRH)</w:t>
      </w:r>
    </w:p>
    <w:p w14:paraId="6593A7F2" w14:textId="3F04FBE1" w:rsidR="006527E6" w:rsidRPr="006527E6" w:rsidRDefault="006527E6" w:rsidP="008D54B8">
      <w:pPr>
        <w:spacing w:line="276" w:lineRule="auto"/>
        <w:jc w:val="both"/>
        <w:rPr>
          <w:rFonts w:ascii="Book Antiqua" w:hAnsi="Book Antiqua"/>
          <w:color w:val="000000"/>
          <w:szCs w:val="24"/>
          <w:lang w:val="es-ES"/>
        </w:rPr>
      </w:pPr>
      <w:r>
        <w:rPr>
          <w:rFonts w:ascii="Book Antiqua" w:hAnsi="Book Antiqua"/>
          <w:color w:val="000000"/>
          <w:szCs w:val="24"/>
          <w:lang w:val="es-ES"/>
        </w:rPr>
        <w:t>La OATRH remitió un Memorial Explicativo, en donde definió los roles y facultados que tiene, según su ley habilitadora, la Ley Núm. 8-2017, según enmendada</w:t>
      </w:r>
      <w:r w:rsidR="008D54B8">
        <w:rPr>
          <w:rFonts w:ascii="Book Antiqua" w:hAnsi="Book Antiqua"/>
          <w:color w:val="000000"/>
          <w:szCs w:val="24"/>
          <w:lang w:val="es-ES"/>
        </w:rPr>
        <w:t xml:space="preserve">, conocida como </w:t>
      </w:r>
      <w:r w:rsidR="008D54B8" w:rsidRPr="008D54B8">
        <w:rPr>
          <w:rFonts w:ascii="Book Antiqua" w:hAnsi="Book Antiqua"/>
          <w:i/>
          <w:iCs/>
          <w:color w:val="000000"/>
          <w:szCs w:val="24"/>
          <w:lang w:val="es-ES"/>
        </w:rPr>
        <w:t>Ley para la Administración y Transformación de los Recursos humanos en el Gobierno de Puerto Rico</w:t>
      </w:r>
      <w:r w:rsidR="008D54B8">
        <w:rPr>
          <w:rFonts w:ascii="Book Antiqua" w:hAnsi="Book Antiqua"/>
          <w:color w:val="000000"/>
          <w:szCs w:val="24"/>
          <w:lang w:val="es-ES"/>
        </w:rPr>
        <w:t>. Según interpretó, dicha ley “no provee a la OATRH jurisdicción sobre este asunto o los preceptos concernientes a dicha materia.”</w:t>
      </w:r>
      <w:r w:rsidR="008D54B8">
        <w:rPr>
          <w:rStyle w:val="FootnoteReference"/>
          <w:rFonts w:ascii="Book Antiqua" w:hAnsi="Book Antiqua"/>
          <w:color w:val="000000"/>
          <w:szCs w:val="24"/>
          <w:lang w:val="es-ES"/>
        </w:rPr>
        <w:footnoteReference w:id="9"/>
      </w:r>
    </w:p>
    <w:p w14:paraId="5FCB1928" w14:textId="04CBE92D" w:rsidR="00CD0755" w:rsidRDefault="00CD0755" w:rsidP="00002269">
      <w:pPr>
        <w:spacing w:line="276" w:lineRule="auto"/>
        <w:jc w:val="both"/>
        <w:rPr>
          <w:rFonts w:ascii="Book Antiqua" w:eastAsia="Times New Roman" w:hAnsi="Book Antiqua"/>
          <w:color w:val="000000"/>
          <w:szCs w:val="24"/>
          <w:lang w:val="es-ES"/>
        </w:rPr>
      </w:pPr>
    </w:p>
    <w:p w14:paraId="0CFE5A1B" w14:textId="70BCD455" w:rsidR="00663AC8" w:rsidRPr="008D54B8" w:rsidRDefault="008D54B8" w:rsidP="008D54B8">
      <w:pPr>
        <w:pStyle w:val="ListParagraph"/>
        <w:numPr>
          <w:ilvl w:val="0"/>
          <w:numId w:val="39"/>
        </w:numPr>
        <w:spacing w:line="276" w:lineRule="auto"/>
        <w:ind w:left="360"/>
        <w:jc w:val="center"/>
        <w:rPr>
          <w:rFonts w:ascii="Book Antiqua" w:hAnsi="Book Antiqua"/>
          <w:color w:val="000000"/>
          <w:sz w:val="24"/>
          <w:szCs w:val="24"/>
          <w:u w:val="single"/>
          <w:lang w:val="es-ES"/>
        </w:rPr>
      </w:pPr>
      <w:r w:rsidRPr="008D54B8">
        <w:rPr>
          <w:rFonts w:ascii="Book Antiqua" w:hAnsi="Book Antiqua"/>
          <w:color w:val="000000"/>
          <w:sz w:val="24"/>
          <w:szCs w:val="24"/>
          <w:u w:val="single"/>
          <w:lang w:val="es-ES"/>
        </w:rPr>
        <w:t>Oficina de Servicios Legislativos (OSL)</w:t>
      </w:r>
    </w:p>
    <w:p w14:paraId="7BB2C532" w14:textId="5AF61455" w:rsidR="001E469A" w:rsidRDefault="00B85AA5" w:rsidP="007207B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Book Antiqua" w:eastAsia="Calibri" w:hAnsi="Book Antiqua" w:cs="Arial"/>
          <w:color w:val="000000"/>
          <w:sz w:val="18"/>
          <w:szCs w:val="18"/>
        </w:rPr>
      </w:pPr>
      <w:r>
        <w:rPr>
          <w:rFonts w:ascii="Book Antiqua" w:eastAsia="Calibri" w:hAnsi="Book Antiqua" w:cs="Arial"/>
          <w:color w:val="000000"/>
          <w:sz w:val="18"/>
          <w:szCs w:val="18"/>
        </w:rPr>
        <w:t xml:space="preserve">LA OSL comenzó describiendo las facultades, prerrogativas y limitaciones de poder que tienen tanto el Poder Ejecutivo como el Poder Legislativo. Cónsono con las limitaciones esbozadas, sugirió enmendar el texto </w:t>
      </w:r>
      <w:r w:rsidR="003B65EA">
        <w:rPr>
          <w:rFonts w:ascii="Book Antiqua" w:eastAsia="Calibri" w:hAnsi="Book Antiqua" w:cs="Arial"/>
          <w:color w:val="000000"/>
          <w:sz w:val="18"/>
          <w:szCs w:val="18"/>
        </w:rPr>
        <w:t xml:space="preserve">para aclarar ciertos puntos dentro de la medida. En síntesis, indicó: </w:t>
      </w:r>
    </w:p>
    <w:p w14:paraId="46C53315" w14:textId="77777777" w:rsidR="003B65EA" w:rsidRDefault="003B65EA" w:rsidP="007207B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Book Antiqua" w:eastAsia="Calibri" w:hAnsi="Book Antiqua" w:cs="Arial"/>
          <w:color w:val="000000"/>
          <w:sz w:val="18"/>
          <w:szCs w:val="18"/>
        </w:rPr>
      </w:pPr>
    </w:p>
    <w:p w14:paraId="01B518C2" w14:textId="3B78EDF7" w:rsidR="003B65EA" w:rsidRPr="003B65EA" w:rsidRDefault="003B65EA" w:rsidP="003B65E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720"/>
        <w:jc w:val="center"/>
        <w:rPr>
          <w:rFonts w:ascii="Book Antiqua" w:eastAsia="Calibri" w:hAnsi="Book Antiqua" w:cs="Arial"/>
          <w:color w:val="000000"/>
          <w:szCs w:val="24"/>
        </w:rPr>
      </w:pPr>
      <w:r w:rsidRPr="003B65EA">
        <w:rPr>
          <w:rFonts w:ascii="Book Antiqua" w:eastAsia="Calibri" w:hAnsi="Book Antiqua" w:cs="Arial"/>
          <w:color w:val="000000"/>
          <w:szCs w:val="24"/>
        </w:rPr>
        <w:t>[. . . .]</w:t>
      </w:r>
    </w:p>
    <w:p w14:paraId="2DAE7F96" w14:textId="77777777" w:rsidR="003B65EA" w:rsidRPr="003B65EA" w:rsidRDefault="003B65EA" w:rsidP="003B65E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720"/>
        <w:jc w:val="both"/>
        <w:rPr>
          <w:rFonts w:ascii="Book Antiqua" w:eastAsia="Calibri" w:hAnsi="Book Antiqua" w:cs="Arial"/>
          <w:color w:val="000000"/>
          <w:szCs w:val="24"/>
        </w:rPr>
      </w:pPr>
    </w:p>
    <w:p w14:paraId="24631523" w14:textId="12429D90" w:rsidR="003B65EA" w:rsidRPr="003B65EA" w:rsidRDefault="003B65EA" w:rsidP="003B65E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720"/>
        <w:jc w:val="both"/>
        <w:rPr>
          <w:rFonts w:ascii="Book Antiqua" w:eastAsia="Calibri" w:hAnsi="Book Antiqua" w:cs="Arial"/>
          <w:color w:val="000000"/>
          <w:szCs w:val="24"/>
        </w:rPr>
      </w:pPr>
      <w:r w:rsidRPr="003B65EA">
        <w:rPr>
          <w:rFonts w:ascii="Book Antiqua" w:eastAsia="Calibri" w:hAnsi="Book Antiqua" w:cs="Arial"/>
          <w:color w:val="000000"/>
          <w:szCs w:val="24"/>
        </w:rPr>
        <w:t xml:space="preserve">Entendemos que la propuesta de esta pieza legislativa racionalizaría las funciones gubernamentales, brindando uniformidad a sus estatutos y facilitando la interpretación y aplicación de las leyes que rigen los distintos </w:t>
      </w:r>
      <w:r w:rsidRPr="003B65EA">
        <w:rPr>
          <w:rFonts w:ascii="Book Antiqua" w:eastAsia="Calibri" w:hAnsi="Book Antiqua" w:cs="Arial"/>
          <w:color w:val="000000"/>
          <w:szCs w:val="24"/>
        </w:rPr>
        <w:lastRenderedPageBreak/>
        <w:t xml:space="preserve">entes del aparato gubernamental. Por ende, opinamos que los propuesto en el P. de la C. 138 se encuentra dentro de las facultades [que] ostenta la Asamblea Legislativa y ultimamos que no existe impedimento legal para su aprobación. De igual manera, concebimos que resulta cónsono con la política pública de reorganización estructural que persigue la Ley Núm. 122-2017, </w:t>
      </w:r>
      <w:r w:rsidRPr="003B65EA">
        <w:rPr>
          <w:rFonts w:ascii="Book Antiqua" w:eastAsia="Calibri" w:hAnsi="Book Antiqua" w:cs="Arial"/>
          <w:i/>
          <w:iCs/>
          <w:color w:val="000000"/>
          <w:szCs w:val="24"/>
        </w:rPr>
        <w:t>supra</w:t>
      </w:r>
      <w:r w:rsidRPr="003B65EA">
        <w:rPr>
          <w:rFonts w:ascii="Book Antiqua" w:eastAsia="Calibri" w:hAnsi="Book Antiqua" w:cs="Arial"/>
          <w:color w:val="000000"/>
          <w:szCs w:val="24"/>
        </w:rPr>
        <w:t xml:space="preserve">. </w:t>
      </w:r>
    </w:p>
    <w:p w14:paraId="7E342C0E" w14:textId="77777777" w:rsidR="003B65EA" w:rsidRPr="003B65EA" w:rsidRDefault="003B65EA" w:rsidP="003B65E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720"/>
        <w:jc w:val="both"/>
        <w:rPr>
          <w:rFonts w:ascii="Book Antiqua" w:eastAsia="Calibri" w:hAnsi="Book Antiqua" w:cs="Arial"/>
          <w:color w:val="000000"/>
          <w:szCs w:val="24"/>
        </w:rPr>
      </w:pPr>
    </w:p>
    <w:p w14:paraId="1DBF3DFE" w14:textId="384C2E36" w:rsidR="003B65EA" w:rsidRPr="003B65EA" w:rsidRDefault="003B65EA" w:rsidP="003B65E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720"/>
        <w:jc w:val="both"/>
        <w:rPr>
          <w:rFonts w:ascii="Book Antiqua" w:eastAsia="Calibri" w:hAnsi="Book Antiqua" w:cs="Arial"/>
          <w:color w:val="000000"/>
          <w:szCs w:val="24"/>
        </w:rPr>
      </w:pPr>
      <w:r w:rsidRPr="003B65EA">
        <w:rPr>
          <w:rFonts w:ascii="Book Antiqua" w:eastAsia="Calibri" w:hAnsi="Book Antiqua" w:cs="Arial"/>
          <w:color w:val="000000"/>
          <w:szCs w:val="24"/>
        </w:rPr>
        <w:t>Sin embargo, opinamos que el texto del proyecto amerita aclararse a favor de indicar que el ejercicio de derogar recae exclusivamente sobre la Asamblea Legislativa, en virtud de sus prerrogativas constitucionales. Así, dentro de sus facultades, la Rama Ejecutiva podrá identificar las leyes que sean, a su juicio, objeto de derogación, remitiendo a la consideración de la Rama Legislativa uno o varios proyectos de ley para que ésta determine su aprobación o rechazo. (Escolios omitidos).</w:t>
      </w:r>
      <w:r w:rsidRPr="003B65EA">
        <w:rPr>
          <w:rStyle w:val="FootnoteReference"/>
          <w:rFonts w:ascii="Book Antiqua" w:eastAsia="Calibri" w:hAnsi="Book Antiqua" w:cs="Arial"/>
          <w:color w:val="000000"/>
          <w:szCs w:val="24"/>
        </w:rPr>
        <w:footnoteReference w:id="10"/>
      </w:r>
    </w:p>
    <w:p w14:paraId="2FD84838" w14:textId="77777777" w:rsidR="003B65EA" w:rsidRPr="001E469A" w:rsidRDefault="003B65EA" w:rsidP="003B65E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right="720"/>
        <w:jc w:val="both"/>
        <w:rPr>
          <w:rFonts w:ascii="Book Antiqua" w:eastAsia="Calibri" w:hAnsi="Book Antiqua" w:cs="Arial"/>
          <w:color w:val="000000"/>
          <w:sz w:val="18"/>
          <w:szCs w:val="18"/>
        </w:rPr>
      </w:pPr>
    </w:p>
    <w:p w14:paraId="1444087A" w14:textId="77777777" w:rsidR="006652C8" w:rsidRPr="008B6224" w:rsidRDefault="006652C8" w:rsidP="007207B0">
      <w:pPr>
        <w:pStyle w:val="NoSpacing"/>
        <w:spacing w:line="276" w:lineRule="auto"/>
        <w:jc w:val="center"/>
        <w:rPr>
          <w:rFonts w:ascii="Book Antiqua" w:hAnsi="Book Antiqua"/>
          <w:b/>
          <w:color w:val="000000"/>
          <w:szCs w:val="24"/>
          <w:lang w:val="es-ES_tradnl"/>
        </w:rPr>
      </w:pPr>
      <w:r w:rsidRPr="008B6224">
        <w:rPr>
          <w:rFonts w:ascii="Book Antiqua" w:hAnsi="Book Antiqua"/>
          <w:b/>
          <w:color w:val="000000"/>
          <w:szCs w:val="24"/>
          <w:lang w:val="es-ES_tradnl"/>
        </w:rPr>
        <w:t>IMPACTO FISCAL MUNICIPAL</w:t>
      </w:r>
    </w:p>
    <w:p w14:paraId="1105E6CC" w14:textId="77777777" w:rsidR="006652C8" w:rsidRPr="008B6224" w:rsidRDefault="006652C8" w:rsidP="007207B0">
      <w:pPr>
        <w:pStyle w:val="NoSpacing"/>
        <w:spacing w:line="276" w:lineRule="auto"/>
        <w:jc w:val="center"/>
        <w:rPr>
          <w:rFonts w:ascii="Book Antiqua" w:hAnsi="Book Antiqua"/>
          <w:b/>
          <w:color w:val="000000"/>
          <w:szCs w:val="24"/>
          <w:lang w:val="es-ES_tradnl"/>
        </w:rPr>
      </w:pPr>
    </w:p>
    <w:p w14:paraId="2A73D59C" w14:textId="460DF105" w:rsidR="006652C8" w:rsidRPr="008B6224" w:rsidRDefault="006652C8" w:rsidP="007207B0">
      <w:pPr>
        <w:spacing w:line="276" w:lineRule="auto"/>
        <w:jc w:val="both"/>
        <w:rPr>
          <w:rFonts w:ascii="Book Antiqua" w:hAnsi="Book Antiqua" w:cs="Arial"/>
          <w:color w:val="000000"/>
          <w:szCs w:val="24"/>
        </w:rPr>
      </w:pPr>
      <w:r w:rsidRPr="008B6224">
        <w:rPr>
          <w:rFonts w:ascii="Book Antiqua" w:hAnsi="Book Antiqua" w:cs="Arial"/>
          <w:color w:val="000000"/>
          <w:szCs w:val="24"/>
        </w:rPr>
        <w:t xml:space="preserve">En cumplimiento con el Artículo 1.007 de la Ley 107-2020, según enmendada, conocida como “Código Municipal de Puerto Rico”, la Comisión de </w:t>
      </w:r>
      <w:r w:rsidR="0085363C" w:rsidRPr="008B6224">
        <w:rPr>
          <w:rFonts w:ascii="Book Antiqua" w:hAnsi="Book Antiqua" w:cs="Arial"/>
          <w:color w:val="000000"/>
          <w:szCs w:val="24"/>
        </w:rPr>
        <w:t>Gobierno del Senado de Puerto Rico</w:t>
      </w:r>
      <w:r w:rsidR="00DC0CD6">
        <w:rPr>
          <w:rFonts w:ascii="Book Antiqua" w:hAnsi="Book Antiqua" w:cs="Arial"/>
          <w:color w:val="000000"/>
          <w:szCs w:val="24"/>
        </w:rPr>
        <w:t xml:space="preserve"> </w:t>
      </w:r>
      <w:r w:rsidRPr="008B6224">
        <w:rPr>
          <w:rFonts w:ascii="Book Antiqua" w:hAnsi="Book Antiqua" w:cs="Arial"/>
          <w:color w:val="000000"/>
          <w:szCs w:val="24"/>
        </w:rPr>
        <w:t xml:space="preserve">certifica que el </w:t>
      </w:r>
      <w:r w:rsidRPr="008B6224">
        <w:rPr>
          <w:rFonts w:ascii="Book Antiqua" w:hAnsi="Book Antiqua" w:cs="Arial"/>
          <w:bCs/>
          <w:color w:val="000000"/>
          <w:szCs w:val="24"/>
        </w:rPr>
        <w:t xml:space="preserve">P. </w:t>
      </w:r>
      <w:r w:rsidR="008D54B8">
        <w:rPr>
          <w:rFonts w:ascii="Book Antiqua" w:hAnsi="Book Antiqua" w:cs="Arial"/>
          <w:bCs/>
          <w:color w:val="000000"/>
          <w:szCs w:val="24"/>
        </w:rPr>
        <w:t>de la C. 138</w:t>
      </w:r>
      <w:r w:rsidR="0085363C" w:rsidRPr="008B6224">
        <w:rPr>
          <w:rFonts w:ascii="Book Antiqua" w:hAnsi="Book Antiqua" w:cs="Arial"/>
          <w:bCs/>
          <w:color w:val="000000"/>
          <w:szCs w:val="24"/>
        </w:rPr>
        <w:t xml:space="preserve"> </w:t>
      </w:r>
      <w:r w:rsidRPr="008B6224">
        <w:rPr>
          <w:rFonts w:ascii="Book Antiqua" w:hAnsi="Book Antiqua" w:cs="Arial"/>
          <w:color w:val="000000"/>
          <w:szCs w:val="24"/>
        </w:rPr>
        <w:t xml:space="preserve">no </w:t>
      </w:r>
      <w:r w:rsidR="008D54B8">
        <w:rPr>
          <w:rFonts w:ascii="Book Antiqua" w:hAnsi="Book Antiqua" w:cs="Arial"/>
          <w:color w:val="000000"/>
          <w:szCs w:val="24"/>
        </w:rPr>
        <w:t>tiene impacto fiscal</w:t>
      </w:r>
      <w:r w:rsidR="00DC0CD6">
        <w:rPr>
          <w:rFonts w:ascii="Book Antiqua" w:hAnsi="Book Antiqua" w:cs="Arial"/>
          <w:color w:val="000000"/>
          <w:szCs w:val="24"/>
        </w:rPr>
        <w:t xml:space="preserve"> municipal</w:t>
      </w:r>
      <w:r w:rsidR="008D54B8">
        <w:rPr>
          <w:rFonts w:ascii="Book Antiqua" w:hAnsi="Book Antiqua" w:cs="Arial"/>
          <w:color w:val="000000"/>
          <w:szCs w:val="24"/>
        </w:rPr>
        <w:t xml:space="preserve">. </w:t>
      </w:r>
    </w:p>
    <w:p w14:paraId="38D68FAC" w14:textId="77777777" w:rsidR="006652C8" w:rsidRPr="00BA4F08" w:rsidRDefault="006652C8" w:rsidP="007207B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Book Antiqua" w:eastAsia="Calibri" w:hAnsi="Book Antiqua" w:cs="Arial"/>
          <w:color w:val="000000"/>
          <w:szCs w:val="24"/>
        </w:rPr>
      </w:pPr>
    </w:p>
    <w:p w14:paraId="1A5296B3" w14:textId="77777777" w:rsidR="006652C8" w:rsidRPr="00BA4F08" w:rsidRDefault="006652C8" w:rsidP="007207B0">
      <w:pPr>
        <w:pStyle w:val="ColorfulList-Accent11"/>
        <w:spacing w:line="276" w:lineRule="auto"/>
        <w:ind w:left="0"/>
        <w:jc w:val="center"/>
        <w:rPr>
          <w:rFonts w:ascii="Book Antiqua" w:hAnsi="Book Antiqua"/>
          <w:b/>
          <w:color w:val="000000"/>
          <w:szCs w:val="24"/>
        </w:rPr>
      </w:pPr>
      <w:r w:rsidRPr="00BA4F08">
        <w:rPr>
          <w:rFonts w:ascii="Book Antiqua" w:hAnsi="Book Antiqua"/>
          <w:b/>
          <w:color w:val="000000"/>
          <w:szCs w:val="24"/>
        </w:rPr>
        <w:t>CONCLUSIÓN</w:t>
      </w:r>
    </w:p>
    <w:p w14:paraId="0B553830" w14:textId="7C673EFA" w:rsidR="008D54B8" w:rsidRPr="004E197E" w:rsidRDefault="008D54B8" w:rsidP="008D54B8">
      <w:pPr>
        <w:jc w:val="both"/>
        <w:rPr>
          <w:rFonts w:ascii="Book Antiqua" w:hAnsi="Book Antiqua"/>
        </w:rPr>
      </w:pPr>
      <w:r w:rsidRPr="004E197E">
        <w:rPr>
          <w:rFonts w:ascii="Book Antiqua" w:eastAsia="Times New Roman" w:hAnsi="Book Antiqua"/>
          <w:bCs/>
        </w:rPr>
        <w:t xml:space="preserve">El P. de la C. 138 propone enmendar el lenguaje de varias disposiciones de la Ley 122-2017, </w:t>
      </w:r>
      <w:r w:rsidRPr="004E197E">
        <w:rPr>
          <w:rFonts w:ascii="Book Antiqua" w:eastAsia="Times New Roman" w:hAnsi="Book Antiqua"/>
          <w:bCs/>
          <w:i/>
          <w:iCs/>
        </w:rPr>
        <w:t>supra</w:t>
      </w:r>
      <w:r w:rsidRPr="004E197E">
        <w:rPr>
          <w:rFonts w:ascii="Book Antiqua" w:eastAsia="Times New Roman" w:hAnsi="Book Antiqua"/>
          <w:bCs/>
        </w:rPr>
        <w:t xml:space="preserve">, para incluir de manera expresa </w:t>
      </w:r>
      <w:r>
        <w:rPr>
          <w:rFonts w:ascii="Book Antiqua" w:eastAsia="Times New Roman" w:hAnsi="Book Antiqua"/>
          <w:bCs/>
        </w:rPr>
        <w:t>la</w:t>
      </w:r>
      <w:r w:rsidRPr="004E197E">
        <w:rPr>
          <w:rFonts w:ascii="Book Antiqua" w:eastAsia="Times New Roman" w:hAnsi="Book Antiqua"/>
          <w:bCs/>
        </w:rPr>
        <w:t xml:space="preserve"> Política </w:t>
      </w:r>
      <w:r>
        <w:rPr>
          <w:rFonts w:ascii="Book Antiqua" w:eastAsia="Times New Roman" w:hAnsi="Book Antiqua"/>
          <w:bCs/>
        </w:rPr>
        <w:t>P</w:t>
      </w:r>
      <w:r w:rsidRPr="004E197E">
        <w:rPr>
          <w:rFonts w:ascii="Book Antiqua" w:eastAsia="Times New Roman" w:hAnsi="Book Antiqua"/>
          <w:bCs/>
        </w:rPr>
        <w:t xml:space="preserve">ública del Gobierno de Puerto Rico </w:t>
      </w:r>
      <w:r>
        <w:rPr>
          <w:rFonts w:ascii="Book Antiqua" w:eastAsia="Times New Roman" w:hAnsi="Book Antiqua"/>
          <w:bCs/>
        </w:rPr>
        <w:t xml:space="preserve">que se efectúe </w:t>
      </w:r>
      <w:r w:rsidRPr="004E197E">
        <w:rPr>
          <w:rFonts w:ascii="Book Antiqua" w:eastAsia="Times New Roman" w:hAnsi="Book Antiqua"/>
          <w:bCs/>
        </w:rPr>
        <w:t xml:space="preserve">una continua revisión de sus disposiciones legales y </w:t>
      </w:r>
      <w:r>
        <w:rPr>
          <w:rFonts w:ascii="Book Antiqua" w:eastAsia="Times New Roman" w:hAnsi="Book Antiqua"/>
          <w:bCs/>
        </w:rPr>
        <w:t>r</w:t>
      </w:r>
      <w:r w:rsidRPr="004E197E">
        <w:rPr>
          <w:rFonts w:ascii="Book Antiqua" w:eastAsia="Times New Roman" w:hAnsi="Book Antiqua"/>
          <w:bCs/>
        </w:rPr>
        <w:t>eglamentarias</w:t>
      </w:r>
      <w:r w:rsidR="00B85AA5">
        <w:rPr>
          <w:rFonts w:ascii="Book Antiqua" w:eastAsia="Times New Roman" w:hAnsi="Book Antiqua"/>
          <w:bCs/>
        </w:rPr>
        <w:t xml:space="preserve"> c</w:t>
      </w:r>
      <w:r>
        <w:rPr>
          <w:rFonts w:ascii="Book Antiqua" w:eastAsia="Times New Roman" w:hAnsi="Book Antiqua"/>
          <w:bCs/>
        </w:rPr>
        <w:t>on el propósito de identificar</w:t>
      </w:r>
      <w:r w:rsidRPr="004E197E">
        <w:rPr>
          <w:rFonts w:ascii="Book Antiqua" w:eastAsia="Times New Roman" w:hAnsi="Book Antiqua"/>
          <w:bCs/>
        </w:rPr>
        <w:t xml:space="preserve"> disposiciones obsoletas o inoficiosas, que riñan con los Planes de Reorganización</w:t>
      </w:r>
      <w:r w:rsidRPr="004E197E">
        <w:rPr>
          <w:rFonts w:ascii="Book Antiqua" w:hAnsi="Book Antiqua"/>
        </w:rPr>
        <w:t xml:space="preserve"> promulgados en virtud de la Ley 122-2012, </w:t>
      </w:r>
      <w:r w:rsidRPr="00862A5F">
        <w:rPr>
          <w:rFonts w:ascii="Book Antiqua" w:hAnsi="Book Antiqua"/>
          <w:i/>
          <w:iCs/>
        </w:rPr>
        <w:t>supra</w:t>
      </w:r>
      <w:r w:rsidRPr="004E197E">
        <w:rPr>
          <w:rFonts w:ascii="Book Antiqua" w:hAnsi="Book Antiqua"/>
        </w:rPr>
        <w:t xml:space="preserve">, o con las acciones, programas y estrategias desarrolladas a su amparo. </w:t>
      </w:r>
      <w:r w:rsidR="00B85AA5">
        <w:rPr>
          <w:rFonts w:ascii="Book Antiqua" w:hAnsi="Book Antiqua"/>
        </w:rPr>
        <w:t>Con esto, busca la consecución de</w:t>
      </w:r>
      <w:r w:rsidRPr="004E197E">
        <w:rPr>
          <w:rFonts w:ascii="Book Antiqua" w:hAnsi="Book Antiqua"/>
        </w:rPr>
        <w:t xml:space="preserve"> un ordenamiento jurídico y reglamentario simplificado, </w:t>
      </w:r>
      <w:r w:rsidR="00B85AA5">
        <w:rPr>
          <w:rFonts w:ascii="Book Antiqua" w:hAnsi="Book Antiqua"/>
        </w:rPr>
        <w:t xml:space="preserve">dirigido </w:t>
      </w:r>
      <w:r w:rsidRPr="004E197E">
        <w:rPr>
          <w:rFonts w:ascii="Book Antiqua" w:hAnsi="Book Antiqua"/>
        </w:rPr>
        <w:t xml:space="preserve">en una sola dirección y </w:t>
      </w:r>
      <w:r w:rsidR="00B85AA5">
        <w:rPr>
          <w:rFonts w:ascii="Book Antiqua" w:hAnsi="Book Antiqua"/>
        </w:rPr>
        <w:t xml:space="preserve">que </w:t>
      </w:r>
      <w:r w:rsidRPr="004E197E">
        <w:rPr>
          <w:rFonts w:ascii="Book Antiqua" w:hAnsi="Book Antiqua"/>
        </w:rPr>
        <w:t xml:space="preserve">simplifique el quehacer jurídico, económico y social de Puerto Rico. </w:t>
      </w:r>
    </w:p>
    <w:p w14:paraId="5F592E73" w14:textId="77777777" w:rsidR="008D54B8" w:rsidRPr="004E197E" w:rsidRDefault="008D54B8" w:rsidP="008D54B8">
      <w:pPr>
        <w:jc w:val="both"/>
        <w:rPr>
          <w:rFonts w:ascii="Book Antiqua" w:hAnsi="Book Antiqua"/>
        </w:rPr>
      </w:pPr>
    </w:p>
    <w:p w14:paraId="7B57E7A3" w14:textId="63D9D6A8" w:rsidR="008D54B8" w:rsidRDefault="008D54B8" w:rsidP="008D54B8">
      <w:pPr>
        <w:jc w:val="both"/>
        <w:rPr>
          <w:rFonts w:ascii="Book Antiqua" w:hAnsi="Book Antiqua"/>
        </w:rPr>
      </w:pPr>
      <w:r w:rsidRPr="004E197E">
        <w:rPr>
          <w:rFonts w:ascii="Book Antiqua" w:hAnsi="Book Antiqua"/>
        </w:rPr>
        <w:t xml:space="preserve">Ambas agencias consultadas coincidieron en que la medida tendrá un efecto positivo en Puerto Rico y </w:t>
      </w:r>
      <w:r w:rsidR="00B85AA5">
        <w:rPr>
          <w:rFonts w:ascii="Book Antiqua" w:hAnsi="Book Antiqua"/>
        </w:rPr>
        <w:t>que es cónsono</w:t>
      </w:r>
      <w:r w:rsidRPr="004E197E">
        <w:rPr>
          <w:rFonts w:ascii="Book Antiqua" w:hAnsi="Book Antiqua"/>
        </w:rPr>
        <w:t xml:space="preserve"> con la intención expresada por la Rama Ejecutiva en la OE-2025-009. Es decir, tanto la Rama Ejecutiva como la Rama Legislativa tienen una unidad de propósito y curso de acción, reflejado tanto en este proyecto de ley, como en la OE-2025-009. </w:t>
      </w:r>
      <w:r w:rsidR="00B85AA5">
        <w:rPr>
          <w:rFonts w:ascii="Book Antiqua" w:hAnsi="Book Antiqua"/>
        </w:rPr>
        <w:t xml:space="preserve">Por otra parte, el texto remitido por la Cámara de Representantes contenía ya las modificaciones que sugirió la Oficina de Servicios Legislativos, aclarando el lenguaje </w:t>
      </w:r>
      <w:r w:rsidR="00B85AA5">
        <w:rPr>
          <w:rFonts w:ascii="Book Antiqua" w:hAnsi="Book Antiqua"/>
        </w:rPr>
        <w:lastRenderedPageBreak/>
        <w:t xml:space="preserve">a los fines de enfatizar que el Poder Ejecutivo podrá identificar medidas que sean necesarias derogar. Por tanto, resulta innecesario efectuar enmiendas adicionales. </w:t>
      </w:r>
      <w:r w:rsidRPr="004E197E">
        <w:rPr>
          <w:rFonts w:ascii="Book Antiqua" w:hAnsi="Book Antiqua"/>
        </w:rPr>
        <w:t xml:space="preserve">Asimismo, la OPAL concluyó que, aunque su aplicación en el futuro podría tener efectos económicos que podría traer su aplicación a largo plazo, no se vislumbra que tenga un impacto económico directo. </w:t>
      </w:r>
    </w:p>
    <w:p w14:paraId="31AFF47E" w14:textId="77777777" w:rsidR="0079601D" w:rsidRPr="00BA4F08" w:rsidRDefault="0079601D" w:rsidP="007207B0">
      <w:pPr>
        <w:spacing w:line="276" w:lineRule="auto"/>
        <w:jc w:val="both"/>
        <w:rPr>
          <w:rFonts w:ascii="Book Antiqua" w:hAnsi="Book Antiqua"/>
          <w:b/>
          <w:color w:val="000000"/>
          <w:szCs w:val="24"/>
        </w:rPr>
      </w:pPr>
    </w:p>
    <w:p w14:paraId="46435E57" w14:textId="4DE67260" w:rsidR="006652C8" w:rsidRPr="00BA4F08" w:rsidRDefault="006652C8" w:rsidP="007207B0">
      <w:pPr>
        <w:spacing w:line="276" w:lineRule="auto"/>
        <w:jc w:val="both"/>
        <w:rPr>
          <w:rFonts w:ascii="Book Antiqua" w:hAnsi="Book Antiqua"/>
          <w:color w:val="000000"/>
          <w:szCs w:val="24"/>
        </w:rPr>
      </w:pPr>
      <w:r w:rsidRPr="00BA4F08">
        <w:rPr>
          <w:rFonts w:ascii="Book Antiqua" w:hAnsi="Book Antiqua"/>
          <w:b/>
          <w:color w:val="000000"/>
          <w:szCs w:val="24"/>
        </w:rPr>
        <w:t xml:space="preserve">POR TODO LO ANTES EXPUESTO, </w:t>
      </w:r>
      <w:r w:rsidRPr="00BA4F08">
        <w:rPr>
          <w:rFonts w:ascii="Book Antiqua" w:hAnsi="Book Antiqua"/>
          <w:color w:val="000000"/>
          <w:szCs w:val="24"/>
        </w:rPr>
        <w:t>la Comisión</w:t>
      </w:r>
      <w:r w:rsidRPr="00BA4F08">
        <w:rPr>
          <w:rFonts w:ascii="Book Antiqua" w:hAnsi="Book Antiqua"/>
          <w:color w:val="000000"/>
          <w:spacing w:val="-3"/>
          <w:szCs w:val="24"/>
        </w:rPr>
        <w:t xml:space="preserve"> de </w:t>
      </w:r>
      <w:r w:rsidR="0085363C" w:rsidRPr="00BA4F08">
        <w:rPr>
          <w:rFonts w:ascii="Book Antiqua" w:hAnsi="Book Antiqua"/>
          <w:color w:val="000000"/>
          <w:spacing w:val="-3"/>
          <w:szCs w:val="24"/>
        </w:rPr>
        <w:t xml:space="preserve">Gobierno </w:t>
      </w:r>
      <w:r w:rsidRPr="00BA4F08">
        <w:rPr>
          <w:rFonts w:ascii="Book Antiqua" w:hAnsi="Book Antiqua"/>
          <w:color w:val="000000"/>
          <w:spacing w:val="-3"/>
          <w:szCs w:val="24"/>
        </w:rPr>
        <w:t>del Senado</w:t>
      </w:r>
      <w:r w:rsidRPr="00BA4F08">
        <w:rPr>
          <w:rFonts w:ascii="Book Antiqua" w:hAnsi="Book Antiqua"/>
          <w:color w:val="000000"/>
          <w:szCs w:val="24"/>
        </w:rPr>
        <w:t xml:space="preserve"> de Puerto Rico, previo estudio y consideración, tienen a bien presentar ante este Alto Cuerpo</w:t>
      </w:r>
      <w:r w:rsidR="0085363C" w:rsidRPr="00BA4F08">
        <w:rPr>
          <w:rFonts w:ascii="Book Antiqua" w:hAnsi="Book Antiqua"/>
          <w:color w:val="000000"/>
          <w:szCs w:val="24"/>
        </w:rPr>
        <w:t xml:space="preserve"> Legislativo</w:t>
      </w:r>
      <w:r w:rsidRPr="00BA4F08">
        <w:rPr>
          <w:rFonts w:ascii="Book Antiqua" w:hAnsi="Book Antiqua"/>
          <w:color w:val="000000"/>
          <w:szCs w:val="24"/>
        </w:rPr>
        <w:t xml:space="preserve"> el </w:t>
      </w:r>
      <w:r w:rsidRPr="008D54B8">
        <w:rPr>
          <w:rFonts w:ascii="Book Antiqua" w:hAnsi="Book Antiqua"/>
          <w:b/>
          <w:bCs/>
          <w:color w:val="000000"/>
          <w:szCs w:val="24"/>
          <w:u w:val="single"/>
        </w:rPr>
        <w:t>Informe Positivo</w:t>
      </w:r>
      <w:r w:rsidRPr="00BA4F08">
        <w:rPr>
          <w:rFonts w:ascii="Book Antiqua" w:hAnsi="Book Antiqua"/>
          <w:color w:val="000000"/>
          <w:szCs w:val="24"/>
        </w:rPr>
        <w:t xml:space="preserve"> sobre el </w:t>
      </w:r>
      <w:r w:rsidRPr="00BA4F08">
        <w:rPr>
          <w:rFonts w:ascii="Book Antiqua" w:hAnsi="Book Antiqua"/>
          <w:b/>
          <w:color w:val="000000"/>
          <w:szCs w:val="24"/>
        </w:rPr>
        <w:t xml:space="preserve">Proyecto </w:t>
      </w:r>
      <w:r w:rsidR="008D54B8">
        <w:rPr>
          <w:rFonts w:ascii="Book Antiqua" w:hAnsi="Book Antiqua"/>
          <w:b/>
          <w:color w:val="000000"/>
          <w:szCs w:val="24"/>
        </w:rPr>
        <w:t>de la Cámara 138</w:t>
      </w:r>
      <w:r w:rsidR="0085363C" w:rsidRPr="00BA4F08">
        <w:rPr>
          <w:rFonts w:ascii="Book Antiqua" w:hAnsi="Book Antiqua"/>
          <w:b/>
          <w:color w:val="000000"/>
          <w:szCs w:val="24"/>
        </w:rPr>
        <w:t xml:space="preserve">, </w:t>
      </w:r>
      <w:r w:rsidRPr="00BA4F08">
        <w:rPr>
          <w:rFonts w:ascii="Book Antiqua" w:hAnsi="Book Antiqua"/>
          <w:color w:val="000000"/>
          <w:szCs w:val="24"/>
        </w:rPr>
        <w:t xml:space="preserve">recomendando su aprobación </w:t>
      </w:r>
      <w:r w:rsidR="0012120A">
        <w:rPr>
          <w:rFonts w:ascii="Book Antiqua" w:hAnsi="Book Antiqua"/>
          <w:color w:val="000000"/>
          <w:szCs w:val="24"/>
        </w:rPr>
        <w:t xml:space="preserve">sin </w:t>
      </w:r>
      <w:r w:rsidR="00DC0CD6">
        <w:rPr>
          <w:rFonts w:ascii="Book Antiqua" w:hAnsi="Book Antiqua"/>
          <w:color w:val="000000"/>
          <w:szCs w:val="24"/>
        </w:rPr>
        <w:t>enmiendas</w:t>
      </w:r>
      <w:r w:rsidR="00B85AA5">
        <w:rPr>
          <w:rFonts w:ascii="Book Antiqua" w:hAnsi="Book Antiqua"/>
          <w:color w:val="000000"/>
          <w:szCs w:val="24"/>
        </w:rPr>
        <w:t xml:space="preserve">. </w:t>
      </w:r>
      <w:r w:rsidR="008D54B8">
        <w:rPr>
          <w:rFonts w:ascii="Book Antiqua" w:hAnsi="Book Antiqua"/>
          <w:color w:val="000000"/>
          <w:szCs w:val="24"/>
        </w:rPr>
        <w:t xml:space="preserve"> </w:t>
      </w:r>
    </w:p>
    <w:p w14:paraId="2186FDE8" w14:textId="77777777" w:rsidR="006652C8" w:rsidRPr="00BA4F08" w:rsidRDefault="006652C8" w:rsidP="007207B0">
      <w:pPr>
        <w:spacing w:line="276" w:lineRule="auto"/>
        <w:jc w:val="both"/>
        <w:rPr>
          <w:rFonts w:ascii="Book Antiqua" w:hAnsi="Book Antiqua"/>
          <w:color w:val="000000"/>
          <w:szCs w:val="24"/>
        </w:rPr>
      </w:pPr>
    </w:p>
    <w:p w14:paraId="52C78000" w14:textId="77777777" w:rsidR="006652C8" w:rsidRPr="00BA4F08" w:rsidRDefault="006652C8" w:rsidP="00BA4F08">
      <w:pPr>
        <w:spacing w:line="276" w:lineRule="auto"/>
        <w:jc w:val="both"/>
        <w:rPr>
          <w:rFonts w:ascii="Book Antiqua" w:hAnsi="Book Antiqua"/>
          <w:color w:val="000000"/>
          <w:szCs w:val="24"/>
        </w:rPr>
      </w:pPr>
      <w:r w:rsidRPr="00BA4F08">
        <w:rPr>
          <w:rFonts w:ascii="Book Antiqua" w:hAnsi="Book Antiqua"/>
          <w:color w:val="000000"/>
          <w:szCs w:val="24"/>
        </w:rPr>
        <w:t>Respetuosamente sometido,</w:t>
      </w:r>
    </w:p>
    <w:p w14:paraId="4A866E38" w14:textId="77777777" w:rsidR="006652C8" w:rsidRDefault="006652C8" w:rsidP="00BA4F08">
      <w:pPr>
        <w:spacing w:line="276" w:lineRule="auto"/>
        <w:jc w:val="both"/>
        <w:rPr>
          <w:rFonts w:ascii="Book Antiqua" w:hAnsi="Book Antiqua"/>
          <w:color w:val="000000"/>
          <w:szCs w:val="24"/>
        </w:rPr>
      </w:pPr>
    </w:p>
    <w:p w14:paraId="223F3B9A" w14:textId="77777777" w:rsidR="001E469A" w:rsidRPr="00BA4F08" w:rsidRDefault="001E469A" w:rsidP="00BA4F08">
      <w:pPr>
        <w:spacing w:line="276" w:lineRule="auto"/>
        <w:jc w:val="both"/>
        <w:rPr>
          <w:rFonts w:ascii="Book Antiqua" w:hAnsi="Book Antiqua"/>
          <w:color w:val="000000"/>
          <w:szCs w:val="24"/>
        </w:rPr>
      </w:pPr>
    </w:p>
    <w:p w14:paraId="6EDE53F1" w14:textId="77777777" w:rsidR="006652C8" w:rsidRPr="00BA4F08" w:rsidRDefault="006652C8" w:rsidP="00BA4F08">
      <w:pPr>
        <w:spacing w:line="276" w:lineRule="auto"/>
        <w:jc w:val="both"/>
        <w:outlineLvl w:val="0"/>
        <w:rPr>
          <w:rFonts w:ascii="Book Antiqua" w:hAnsi="Book Antiqua"/>
          <w:b/>
          <w:color w:val="000000"/>
          <w:szCs w:val="24"/>
        </w:rPr>
      </w:pPr>
      <w:r w:rsidRPr="00BA4F08">
        <w:rPr>
          <w:rFonts w:ascii="Book Antiqua" w:hAnsi="Book Antiqua"/>
          <w:b/>
          <w:color w:val="000000"/>
          <w:szCs w:val="24"/>
        </w:rPr>
        <w:t xml:space="preserve">Sen. </w:t>
      </w:r>
      <w:r w:rsidR="0085363C" w:rsidRPr="00BA4F08">
        <w:rPr>
          <w:rFonts w:ascii="Book Antiqua" w:hAnsi="Book Antiqua"/>
          <w:b/>
          <w:color w:val="000000"/>
          <w:szCs w:val="24"/>
        </w:rPr>
        <w:t>Ángel A. Toledo López</w:t>
      </w:r>
    </w:p>
    <w:p w14:paraId="62472BF3" w14:textId="77777777" w:rsidR="006652C8" w:rsidRPr="00BA4F08" w:rsidRDefault="006652C8" w:rsidP="00BA4F08">
      <w:pPr>
        <w:spacing w:line="276" w:lineRule="auto"/>
        <w:jc w:val="both"/>
        <w:rPr>
          <w:rFonts w:ascii="Book Antiqua" w:hAnsi="Book Antiqua"/>
          <w:color w:val="000000"/>
          <w:szCs w:val="24"/>
        </w:rPr>
      </w:pPr>
      <w:r w:rsidRPr="00BA4F08">
        <w:rPr>
          <w:rFonts w:ascii="Book Antiqua" w:hAnsi="Book Antiqua"/>
          <w:color w:val="000000"/>
          <w:szCs w:val="24"/>
        </w:rPr>
        <w:t>Presidente</w:t>
      </w:r>
    </w:p>
    <w:p w14:paraId="5F6DFC97" w14:textId="77777777" w:rsidR="006652C8" w:rsidRPr="00241987" w:rsidRDefault="006652C8" w:rsidP="00241987">
      <w:pPr>
        <w:spacing w:line="276" w:lineRule="auto"/>
        <w:jc w:val="both"/>
        <w:rPr>
          <w:rFonts w:ascii="Book Antiqua" w:hAnsi="Book Antiqua"/>
          <w:color w:val="000000"/>
          <w:szCs w:val="24"/>
        </w:rPr>
      </w:pPr>
      <w:r w:rsidRPr="00BA4F08">
        <w:rPr>
          <w:rFonts w:ascii="Book Antiqua" w:hAnsi="Book Antiqua"/>
          <w:color w:val="000000"/>
          <w:szCs w:val="24"/>
        </w:rPr>
        <w:t xml:space="preserve">Comisión de </w:t>
      </w:r>
      <w:r w:rsidR="0085363C" w:rsidRPr="00BA4F08">
        <w:rPr>
          <w:rFonts w:ascii="Book Antiqua" w:hAnsi="Book Antiqua"/>
          <w:color w:val="000000"/>
          <w:szCs w:val="24"/>
        </w:rPr>
        <w:t>Gobierno</w:t>
      </w:r>
    </w:p>
    <w:sectPr w:rsidR="006652C8" w:rsidRPr="00241987" w:rsidSect="005B1013">
      <w:headerReference w:type="default" r:id="rId1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3BCAB1" w14:textId="77777777" w:rsidR="00356DDD" w:rsidRDefault="00356DDD" w:rsidP="00F46986">
      <w:r>
        <w:separator/>
      </w:r>
    </w:p>
  </w:endnote>
  <w:endnote w:type="continuationSeparator" w:id="0">
    <w:p w14:paraId="1C971D8E" w14:textId="77777777" w:rsidR="00356DDD" w:rsidRDefault="00356DDD" w:rsidP="00F469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Helvetica Neue">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Book Antiqua">
    <w:altName w:val="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AFA841" w14:textId="77777777" w:rsidR="00356DDD" w:rsidRDefault="00356DDD" w:rsidP="00F46986">
      <w:r>
        <w:separator/>
      </w:r>
    </w:p>
  </w:footnote>
  <w:footnote w:type="continuationSeparator" w:id="0">
    <w:p w14:paraId="4FC9D5A6" w14:textId="77777777" w:rsidR="00356DDD" w:rsidRDefault="00356DDD" w:rsidP="00F46986">
      <w:r>
        <w:continuationSeparator/>
      </w:r>
    </w:p>
  </w:footnote>
  <w:footnote w:id="1">
    <w:p w14:paraId="09D0A5A0" w14:textId="77777777" w:rsidR="006859F2" w:rsidRPr="004E197E" w:rsidRDefault="006859F2" w:rsidP="006859F2">
      <w:pPr>
        <w:pStyle w:val="FootnoteText"/>
        <w:ind w:left="720" w:hanging="720"/>
        <w:jc w:val="both"/>
        <w:rPr>
          <w:rFonts w:ascii="Book Antiqua" w:hAnsi="Book Antiqua"/>
        </w:rPr>
      </w:pPr>
      <w:r w:rsidRPr="004E197E">
        <w:rPr>
          <w:rStyle w:val="FootnoteReference"/>
          <w:rFonts w:ascii="Book Antiqua" w:hAnsi="Book Antiqua"/>
        </w:rPr>
        <w:footnoteRef/>
      </w:r>
      <w:r w:rsidRPr="004E197E">
        <w:rPr>
          <w:rFonts w:ascii="Book Antiqua" w:hAnsi="Book Antiqua"/>
        </w:rPr>
        <w:t xml:space="preserve"> </w:t>
      </w:r>
      <w:r w:rsidRPr="004E197E">
        <w:rPr>
          <w:rFonts w:ascii="Book Antiqua" w:hAnsi="Book Antiqua"/>
        </w:rPr>
        <w:tab/>
        <w:t xml:space="preserve">Oficina de Gerencia y Presupuesto, Memorial Explicativo del Proyecto de la Cámara 138 (19 de febrero de 2025). </w:t>
      </w:r>
    </w:p>
  </w:footnote>
  <w:footnote w:id="2">
    <w:p w14:paraId="246EA87E" w14:textId="77777777" w:rsidR="006859F2" w:rsidRPr="004E197E" w:rsidRDefault="006859F2" w:rsidP="006859F2">
      <w:pPr>
        <w:pStyle w:val="FootnoteText"/>
        <w:ind w:left="720" w:hanging="720"/>
        <w:jc w:val="both"/>
        <w:rPr>
          <w:rFonts w:ascii="Book Antiqua" w:hAnsi="Book Antiqua"/>
        </w:rPr>
      </w:pPr>
      <w:r w:rsidRPr="004E197E">
        <w:rPr>
          <w:rStyle w:val="FootnoteReference"/>
          <w:rFonts w:ascii="Book Antiqua" w:hAnsi="Book Antiqua"/>
        </w:rPr>
        <w:footnoteRef/>
      </w:r>
      <w:r w:rsidRPr="004E197E">
        <w:rPr>
          <w:rFonts w:ascii="Book Antiqua" w:hAnsi="Book Antiqua"/>
        </w:rPr>
        <w:t xml:space="preserve"> </w:t>
      </w:r>
      <w:r w:rsidRPr="004E197E">
        <w:rPr>
          <w:rFonts w:ascii="Book Antiqua" w:hAnsi="Book Antiqua"/>
        </w:rPr>
        <w:tab/>
        <w:t xml:space="preserve">Oficina de la Gobernadora de Puerto Rico, Boletín Administrativo núm. OE-2025-009 titulado </w:t>
      </w:r>
      <w:r w:rsidRPr="004E197E">
        <w:rPr>
          <w:rFonts w:ascii="Book Antiqua" w:hAnsi="Book Antiqua"/>
          <w:i/>
          <w:iCs/>
        </w:rPr>
        <w:t xml:space="preserve">Orden Ejecutiva de la Gobernadora de Puerto Rico, </w:t>
      </w:r>
      <w:proofErr w:type="spellStart"/>
      <w:r w:rsidRPr="004E197E">
        <w:rPr>
          <w:rFonts w:ascii="Book Antiqua" w:hAnsi="Book Antiqua"/>
          <w:i/>
          <w:iCs/>
        </w:rPr>
        <w:t>Hon</w:t>
      </w:r>
      <w:proofErr w:type="spellEnd"/>
      <w:r w:rsidRPr="004E197E">
        <w:rPr>
          <w:rFonts w:ascii="Book Antiqua" w:hAnsi="Book Antiqua"/>
          <w:i/>
          <w:iCs/>
        </w:rPr>
        <w:t xml:space="preserve">. Jenniffer A. González Colón, para la revisión y actualización de las estructuras y sistemas gubernamentales, así como la modernización y simplificación de los procesos, trámites, reglamentación, regulaciones y otras disposiciones administrativas </w:t>
      </w:r>
      <w:r w:rsidRPr="004E197E">
        <w:rPr>
          <w:rFonts w:ascii="Book Antiqua" w:hAnsi="Book Antiqua"/>
        </w:rPr>
        <w:t xml:space="preserve">(4 de febrero de 2025). </w:t>
      </w:r>
    </w:p>
  </w:footnote>
  <w:footnote w:id="3">
    <w:p w14:paraId="4EFB5F5B" w14:textId="77777777" w:rsidR="006859F2" w:rsidRPr="004E197E" w:rsidRDefault="006859F2" w:rsidP="006859F2">
      <w:pPr>
        <w:pStyle w:val="FootnoteText"/>
        <w:jc w:val="both"/>
        <w:rPr>
          <w:rFonts w:ascii="Book Antiqua" w:hAnsi="Book Antiqua"/>
          <w:lang w:val="en-US"/>
        </w:rPr>
      </w:pPr>
      <w:r w:rsidRPr="004E197E">
        <w:rPr>
          <w:rStyle w:val="FootnoteReference"/>
          <w:rFonts w:ascii="Book Antiqua" w:hAnsi="Book Antiqua"/>
        </w:rPr>
        <w:footnoteRef/>
      </w:r>
      <w:r w:rsidRPr="004E197E">
        <w:rPr>
          <w:rFonts w:ascii="Book Antiqua" w:hAnsi="Book Antiqua"/>
          <w:lang w:val="en-US"/>
        </w:rPr>
        <w:t xml:space="preserve"> </w:t>
      </w:r>
      <w:r w:rsidRPr="004E197E">
        <w:rPr>
          <w:rFonts w:ascii="Book Antiqua" w:hAnsi="Book Antiqua"/>
          <w:lang w:val="en-US"/>
        </w:rPr>
        <w:tab/>
      </w:r>
      <w:r w:rsidRPr="004E197E">
        <w:rPr>
          <w:rFonts w:ascii="Book Antiqua" w:hAnsi="Book Antiqua"/>
          <w:i/>
          <w:iCs/>
          <w:lang w:val="en-US"/>
        </w:rPr>
        <w:t>Id</w:t>
      </w:r>
      <w:r w:rsidRPr="004E197E">
        <w:rPr>
          <w:rFonts w:ascii="Book Antiqua" w:hAnsi="Book Antiqua"/>
          <w:lang w:val="en-US"/>
        </w:rPr>
        <w:t xml:space="preserve">., </w:t>
      </w:r>
      <w:proofErr w:type="spellStart"/>
      <w:r w:rsidRPr="004E197E">
        <w:rPr>
          <w:rFonts w:ascii="Book Antiqua" w:hAnsi="Book Antiqua"/>
          <w:lang w:val="en-US"/>
        </w:rPr>
        <w:t>pág</w:t>
      </w:r>
      <w:proofErr w:type="spellEnd"/>
      <w:r w:rsidRPr="004E197E">
        <w:rPr>
          <w:rFonts w:ascii="Book Antiqua" w:hAnsi="Book Antiqua"/>
          <w:lang w:val="en-US"/>
        </w:rPr>
        <w:t>. 3.</w:t>
      </w:r>
    </w:p>
  </w:footnote>
  <w:footnote w:id="4">
    <w:p w14:paraId="1C85FF60" w14:textId="77777777" w:rsidR="006859F2" w:rsidRPr="004E197E" w:rsidRDefault="006859F2" w:rsidP="006859F2">
      <w:pPr>
        <w:pStyle w:val="FootnoteText"/>
        <w:jc w:val="both"/>
        <w:rPr>
          <w:rFonts w:ascii="Book Antiqua" w:hAnsi="Book Antiqua"/>
          <w:lang w:val="en-US"/>
        </w:rPr>
      </w:pPr>
      <w:r w:rsidRPr="004E197E">
        <w:rPr>
          <w:rStyle w:val="FootnoteReference"/>
          <w:rFonts w:ascii="Book Antiqua" w:hAnsi="Book Antiqua"/>
        </w:rPr>
        <w:footnoteRef/>
      </w:r>
      <w:r w:rsidRPr="004E197E">
        <w:rPr>
          <w:rFonts w:ascii="Book Antiqua" w:hAnsi="Book Antiqua"/>
          <w:lang w:val="en-US"/>
        </w:rPr>
        <w:t xml:space="preserve"> </w:t>
      </w:r>
      <w:r w:rsidRPr="004E197E">
        <w:rPr>
          <w:rFonts w:ascii="Book Antiqua" w:hAnsi="Book Antiqua"/>
          <w:lang w:val="en-US"/>
        </w:rPr>
        <w:tab/>
      </w:r>
      <w:r w:rsidRPr="004E197E">
        <w:rPr>
          <w:rFonts w:ascii="Book Antiqua" w:hAnsi="Book Antiqua"/>
          <w:i/>
          <w:iCs/>
          <w:lang w:val="en-US"/>
        </w:rPr>
        <w:t>Id</w:t>
      </w:r>
      <w:r w:rsidRPr="004E197E">
        <w:rPr>
          <w:rFonts w:ascii="Book Antiqua" w:hAnsi="Book Antiqua"/>
          <w:lang w:val="en-US"/>
        </w:rPr>
        <w:t>.</w:t>
      </w:r>
    </w:p>
  </w:footnote>
  <w:footnote w:id="5">
    <w:p w14:paraId="5BA2CD21" w14:textId="77777777" w:rsidR="006859F2" w:rsidRPr="004E197E" w:rsidRDefault="006859F2" w:rsidP="006859F2">
      <w:pPr>
        <w:pStyle w:val="FootnoteText"/>
        <w:rPr>
          <w:rFonts w:ascii="Book Antiqua" w:hAnsi="Book Antiqua"/>
          <w:lang w:val="en-US"/>
        </w:rPr>
      </w:pPr>
      <w:r w:rsidRPr="004E197E">
        <w:rPr>
          <w:rStyle w:val="FootnoteReference"/>
          <w:rFonts w:ascii="Book Antiqua" w:hAnsi="Book Antiqua"/>
        </w:rPr>
        <w:footnoteRef/>
      </w:r>
      <w:r w:rsidRPr="004E197E">
        <w:rPr>
          <w:rFonts w:ascii="Book Antiqua" w:hAnsi="Book Antiqua"/>
          <w:lang w:val="en-US"/>
        </w:rPr>
        <w:t xml:space="preserve"> </w:t>
      </w:r>
      <w:r w:rsidRPr="004E197E">
        <w:rPr>
          <w:rFonts w:ascii="Book Antiqua" w:hAnsi="Book Antiqua"/>
          <w:lang w:val="en-US"/>
        </w:rPr>
        <w:tab/>
      </w:r>
      <w:r w:rsidRPr="004E197E">
        <w:rPr>
          <w:rFonts w:ascii="Book Antiqua" w:hAnsi="Book Antiqua"/>
          <w:i/>
          <w:iCs/>
          <w:lang w:val="en-US"/>
        </w:rPr>
        <w:t>Id</w:t>
      </w:r>
      <w:r w:rsidRPr="004E197E">
        <w:rPr>
          <w:rFonts w:ascii="Book Antiqua" w:hAnsi="Book Antiqua"/>
          <w:lang w:val="en-US"/>
        </w:rPr>
        <w:t>.</w:t>
      </w:r>
    </w:p>
  </w:footnote>
  <w:footnote w:id="6">
    <w:p w14:paraId="0FA4613A" w14:textId="77777777" w:rsidR="006859F2" w:rsidRPr="004E197E" w:rsidRDefault="006859F2" w:rsidP="006859F2">
      <w:pPr>
        <w:pStyle w:val="FootnoteText"/>
        <w:rPr>
          <w:rFonts w:ascii="Book Antiqua" w:hAnsi="Book Antiqua"/>
          <w:lang w:val="en-US"/>
        </w:rPr>
      </w:pPr>
      <w:r w:rsidRPr="004E197E">
        <w:rPr>
          <w:rStyle w:val="FootnoteReference"/>
          <w:rFonts w:ascii="Book Antiqua" w:hAnsi="Book Antiqua"/>
        </w:rPr>
        <w:footnoteRef/>
      </w:r>
      <w:r w:rsidRPr="004E197E">
        <w:rPr>
          <w:rFonts w:ascii="Book Antiqua" w:hAnsi="Book Antiqua"/>
          <w:lang w:val="en-US"/>
        </w:rPr>
        <w:t xml:space="preserve"> </w:t>
      </w:r>
      <w:r w:rsidRPr="004E197E">
        <w:rPr>
          <w:rFonts w:ascii="Book Antiqua" w:hAnsi="Book Antiqua"/>
          <w:lang w:val="en-US"/>
        </w:rPr>
        <w:tab/>
      </w:r>
      <w:r w:rsidRPr="004E197E">
        <w:rPr>
          <w:rFonts w:ascii="Book Antiqua" w:hAnsi="Book Antiqua"/>
          <w:i/>
          <w:iCs/>
          <w:lang w:val="en-US"/>
        </w:rPr>
        <w:t>Id</w:t>
      </w:r>
      <w:r w:rsidRPr="004E197E">
        <w:rPr>
          <w:rFonts w:ascii="Book Antiqua" w:hAnsi="Book Antiqua"/>
          <w:lang w:val="en-US"/>
        </w:rPr>
        <w:t xml:space="preserve">., </w:t>
      </w:r>
      <w:proofErr w:type="spellStart"/>
      <w:r w:rsidRPr="004E197E">
        <w:rPr>
          <w:rFonts w:ascii="Book Antiqua" w:hAnsi="Book Antiqua"/>
          <w:lang w:val="en-US"/>
        </w:rPr>
        <w:t>pág</w:t>
      </w:r>
      <w:proofErr w:type="spellEnd"/>
      <w:r w:rsidRPr="004E197E">
        <w:rPr>
          <w:rFonts w:ascii="Book Antiqua" w:hAnsi="Book Antiqua"/>
          <w:lang w:val="en-US"/>
        </w:rPr>
        <w:t>. 4.</w:t>
      </w:r>
    </w:p>
  </w:footnote>
  <w:footnote w:id="7">
    <w:p w14:paraId="3032B9AD" w14:textId="77777777" w:rsidR="006859F2" w:rsidRPr="004E197E" w:rsidRDefault="006859F2" w:rsidP="006859F2">
      <w:pPr>
        <w:pStyle w:val="FootnoteText"/>
        <w:rPr>
          <w:rFonts w:ascii="Book Antiqua" w:hAnsi="Book Antiqua"/>
        </w:rPr>
      </w:pPr>
      <w:r w:rsidRPr="004E197E">
        <w:rPr>
          <w:rStyle w:val="FootnoteReference"/>
          <w:rFonts w:ascii="Book Antiqua" w:hAnsi="Book Antiqua"/>
        </w:rPr>
        <w:footnoteRef/>
      </w:r>
      <w:r w:rsidRPr="004E197E">
        <w:rPr>
          <w:rFonts w:ascii="Book Antiqua" w:hAnsi="Book Antiqua"/>
        </w:rPr>
        <w:t xml:space="preserve"> </w:t>
      </w:r>
      <w:r w:rsidRPr="004E197E">
        <w:rPr>
          <w:rFonts w:ascii="Book Antiqua" w:hAnsi="Book Antiqua"/>
        </w:rPr>
        <w:tab/>
        <w:t xml:space="preserve">Oficina de Gerencia y Presupuesto, </w:t>
      </w:r>
      <w:r w:rsidRPr="004E197E">
        <w:rPr>
          <w:rFonts w:ascii="Book Antiqua" w:hAnsi="Book Antiqua"/>
          <w:i/>
          <w:iCs/>
        </w:rPr>
        <w:t>supra</w:t>
      </w:r>
      <w:r w:rsidRPr="004E197E">
        <w:rPr>
          <w:rFonts w:ascii="Book Antiqua" w:hAnsi="Book Antiqua"/>
        </w:rPr>
        <w:t xml:space="preserve">, pág. 4. </w:t>
      </w:r>
    </w:p>
  </w:footnote>
  <w:footnote w:id="8">
    <w:p w14:paraId="70C21F7A" w14:textId="77777777" w:rsidR="006859F2" w:rsidRPr="004E197E" w:rsidRDefault="006859F2" w:rsidP="008D54B8">
      <w:pPr>
        <w:pStyle w:val="FootnoteText"/>
        <w:ind w:left="720" w:hanging="720"/>
        <w:jc w:val="both"/>
        <w:rPr>
          <w:rFonts w:ascii="Book Antiqua" w:hAnsi="Book Antiqua"/>
        </w:rPr>
      </w:pPr>
      <w:r w:rsidRPr="004E197E">
        <w:rPr>
          <w:rStyle w:val="FootnoteReference"/>
          <w:rFonts w:ascii="Book Antiqua" w:hAnsi="Book Antiqua"/>
        </w:rPr>
        <w:footnoteRef/>
      </w:r>
      <w:r w:rsidRPr="004E197E">
        <w:rPr>
          <w:rFonts w:ascii="Book Antiqua" w:hAnsi="Book Antiqua"/>
        </w:rPr>
        <w:t xml:space="preserve"> </w:t>
      </w:r>
      <w:r w:rsidRPr="004E197E">
        <w:rPr>
          <w:rFonts w:ascii="Book Antiqua" w:hAnsi="Book Antiqua"/>
        </w:rPr>
        <w:tab/>
      </w:r>
      <w:r w:rsidRPr="004E197E">
        <w:rPr>
          <w:rFonts w:ascii="Book Antiqua" w:hAnsi="Book Antiqua"/>
          <w:i/>
          <w:iCs/>
        </w:rPr>
        <w:t>Id</w:t>
      </w:r>
      <w:r w:rsidRPr="004E197E">
        <w:rPr>
          <w:rFonts w:ascii="Book Antiqua" w:hAnsi="Book Antiqua"/>
        </w:rPr>
        <w:t xml:space="preserve">., pág. 3. </w:t>
      </w:r>
    </w:p>
  </w:footnote>
  <w:footnote w:id="9">
    <w:p w14:paraId="3D3FC885" w14:textId="246E0663" w:rsidR="008D54B8" w:rsidRPr="008D54B8" w:rsidRDefault="008D54B8" w:rsidP="008D54B8">
      <w:pPr>
        <w:pStyle w:val="FootnoteText"/>
        <w:ind w:left="720" w:hanging="720"/>
        <w:rPr>
          <w:lang w:val="en-US"/>
        </w:rPr>
      </w:pPr>
      <w:r>
        <w:rPr>
          <w:rStyle w:val="FootnoteReference"/>
        </w:rPr>
        <w:footnoteRef/>
      </w:r>
      <w:r>
        <w:t xml:space="preserve"> </w:t>
      </w:r>
      <w:r>
        <w:rPr>
          <w:lang w:val="en-US"/>
        </w:rPr>
        <w:tab/>
      </w:r>
      <w:proofErr w:type="spellStart"/>
      <w:r>
        <w:rPr>
          <w:lang w:val="en-US"/>
        </w:rPr>
        <w:t>Oficina</w:t>
      </w:r>
      <w:proofErr w:type="spellEnd"/>
      <w:r>
        <w:rPr>
          <w:lang w:val="en-US"/>
        </w:rPr>
        <w:t xml:space="preserve"> de Administración y </w:t>
      </w:r>
      <w:proofErr w:type="spellStart"/>
      <w:r>
        <w:rPr>
          <w:lang w:val="en-US"/>
        </w:rPr>
        <w:t>Transformación</w:t>
      </w:r>
      <w:proofErr w:type="spellEnd"/>
      <w:r>
        <w:rPr>
          <w:lang w:val="en-US"/>
        </w:rPr>
        <w:t xml:space="preserve"> de </w:t>
      </w:r>
      <w:proofErr w:type="spellStart"/>
      <w:r>
        <w:rPr>
          <w:lang w:val="en-US"/>
        </w:rPr>
        <w:t>los</w:t>
      </w:r>
      <w:proofErr w:type="spellEnd"/>
      <w:r>
        <w:rPr>
          <w:lang w:val="en-US"/>
        </w:rPr>
        <w:t xml:space="preserve"> Recursos Humanos (OATRH), </w:t>
      </w:r>
      <w:r w:rsidRPr="008D54B8">
        <w:rPr>
          <w:i/>
          <w:iCs/>
          <w:lang w:val="en-US"/>
        </w:rPr>
        <w:t xml:space="preserve">[Sin </w:t>
      </w:r>
      <w:proofErr w:type="spellStart"/>
      <w:r w:rsidRPr="008D54B8">
        <w:rPr>
          <w:i/>
          <w:iCs/>
          <w:lang w:val="en-US"/>
        </w:rPr>
        <w:t>título</w:t>
      </w:r>
      <w:proofErr w:type="spellEnd"/>
      <w:r w:rsidRPr="008D54B8">
        <w:rPr>
          <w:i/>
          <w:iCs/>
          <w:lang w:val="en-US"/>
        </w:rPr>
        <w:t>]</w:t>
      </w:r>
      <w:r>
        <w:rPr>
          <w:lang w:val="en-US"/>
        </w:rPr>
        <w:t xml:space="preserve"> (22 de mayo de 2025), </w:t>
      </w:r>
      <w:proofErr w:type="spellStart"/>
      <w:r>
        <w:rPr>
          <w:lang w:val="en-US"/>
        </w:rPr>
        <w:t>pág</w:t>
      </w:r>
      <w:proofErr w:type="spellEnd"/>
      <w:r>
        <w:rPr>
          <w:lang w:val="en-US"/>
        </w:rPr>
        <w:t xml:space="preserve">. 3. </w:t>
      </w:r>
    </w:p>
  </w:footnote>
  <w:footnote w:id="10">
    <w:p w14:paraId="5D95B11F" w14:textId="78D2AD34" w:rsidR="003B65EA" w:rsidRPr="003B65EA" w:rsidRDefault="003B65EA" w:rsidP="003B65EA">
      <w:pPr>
        <w:pStyle w:val="FootnoteText"/>
        <w:ind w:left="720" w:hanging="720"/>
        <w:rPr>
          <w:lang w:val="en-US"/>
        </w:rPr>
      </w:pPr>
      <w:r>
        <w:rPr>
          <w:rStyle w:val="FootnoteReference"/>
        </w:rPr>
        <w:footnoteRef/>
      </w:r>
      <w:r>
        <w:t xml:space="preserve"> </w:t>
      </w:r>
      <w:r>
        <w:tab/>
        <w:t xml:space="preserve">Oficina de Servicios Legislativos (OSL), Memorial Explicativo sobre el P. de la C. 138 (5 de junio de 2025, págs. 3-4.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4D223B" w14:textId="77777777" w:rsidR="00FC55E1" w:rsidRDefault="00AA356F" w:rsidP="003F73D6">
    <w:pPr>
      <w:pStyle w:val="Header"/>
      <w:pBdr>
        <w:bottom w:val="single" w:sz="12" w:space="1" w:color="auto"/>
      </w:pBdr>
      <w:rPr>
        <w:rFonts w:ascii="Book Antiqua" w:hAnsi="Book Antiqua"/>
        <w:b/>
        <w:sz w:val="20"/>
        <w:lang w:val="es-PR"/>
      </w:rPr>
    </w:pPr>
    <w:r>
      <w:rPr>
        <w:rFonts w:ascii="Book Antiqua" w:hAnsi="Book Antiqua"/>
        <w:b/>
        <w:sz w:val="20"/>
        <w:lang w:val="es-PR"/>
      </w:rPr>
      <w:t xml:space="preserve">Comisión de </w:t>
    </w:r>
    <w:r w:rsidR="00447088">
      <w:rPr>
        <w:rFonts w:ascii="Book Antiqua" w:hAnsi="Book Antiqua"/>
        <w:b/>
        <w:sz w:val="20"/>
        <w:lang w:val="es-PR"/>
      </w:rPr>
      <w:t>Gobierno</w:t>
    </w:r>
  </w:p>
  <w:p w14:paraId="492700A2" w14:textId="3FB8D839" w:rsidR="003F73D6" w:rsidRPr="00AA356F" w:rsidRDefault="00F46986" w:rsidP="003F73D6">
    <w:pPr>
      <w:pStyle w:val="Header"/>
      <w:pBdr>
        <w:bottom w:val="single" w:sz="12" w:space="1" w:color="auto"/>
      </w:pBdr>
      <w:rPr>
        <w:rFonts w:ascii="Book Antiqua" w:hAnsi="Book Antiqua"/>
        <w:b/>
        <w:noProof/>
        <w:sz w:val="20"/>
        <w:lang w:val="es-PR"/>
      </w:rPr>
    </w:pPr>
    <w:r w:rsidRPr="00AA356F">
      <w:rPr>
        <w:rFonts w:ascii="Book Antiqua" w:hAnsi="Book Antiqua"/>
        <w:b/>
        <w:sz w:val="20"/>
        <w:lang w:val="es-PR"/>
      </w:rPr>
      <w:t xml:space="preserve">Informe Positivo </w:t>
    </w:r>
    <w:r w:rsidR="000150A3" w:rsidRPr="00AA356F">
      <w:rPr>
        <w:rFonts w:ascii="Book Antiqua" w:hAnsi="Book Antiqua"/>
        <w:b/>
        <w:sz w:val="20"/>
        <w:lang w:val="es-PR"/>
      </w:rPr>
      <w:t xml:space="preserve">sobre el P. </w:t>
    </w:r>
    <w:r w:rsidR="00960BD6">
      <w:rPr>
        <w:rFonts w:ascii="Book Antiqua" w:hAnsi="Book Antiqua"/>
        <w:b/>
        <w:sz w:val="20"/>
        <w:lang w:val="es-PR"/>
      </w:rPr>
      <w:t>de la C. 138</w:t>
    </w:r>
    <w:r w:rsidRPr="00AA356F">
      <w:rPr>
        <w:rFonts w:ascii="Book Antiqua" w:hAnsi="Book Antiqua"/>
        <w:b/>
        <w:sz w:val="20"/>
        <w:lang w:val="es-PR"/>
      </w:rPr>
      <w:tab/>
    </w:r>
    <w:r w:rsidR="00A467D9" w:rsidRPr="00AA356F">
      <w:rPr>
        <w:rFonts w:ascii="Book Antiqua" w:hAnsi="Book Antiqua"/>
        <w:b/>
        <w:sz w:val="20"/>
        <w:lang w:val="es-PR"/>
      </w:rPr>
      <w:tab/>
      <w:t xml:space="preserve">Página </w:t>
    </w:r>
    <w:r w:rsidR="00A467D9" w:rsidRPr="00AA356F">
      <w:rPr>
        <w:rFonts w:ascii="Book Antiqua" w:hAnsi="Book Antiqua"/>
        <w:b/>
        <w:sz w:val="20"/>
        <w:lang w:val="es-PR"/>
      </w:rPr>
      <w:fldChar w:fldCharType="begin"/>
    </w:r>
    <w:r w:rsidR="00A467D9" w:rsidRPr="00AA356F">
      <w:rPr>
        <w:rFonts w:ascii="Book Antiqua" w:hAnsi="Book Antiqua"/>
        <w:b/>
        <w:sz w:val="20"/>
        <w:lang w:val="es-PR"/>
      </w:rPr>
      <w:instrText xml:space="preserve"> PAGE   \* MERGEFORMAT </w:instrText>
    </w:r>
    <w:r w:rsidR="00A467D9" w:rsidRPr="00AA356F">
      <w:rPr>
        <w:rFonts w:ascii="Book Antiqua" w:hAnsi="Book Antiqua"/>
        <w:b/>
        <w:sz w:val="20"/>
        <w:lang w:val="es-PR"/>
      </w:rPr>
      <w:fldChar w:fldCharType="separate"/>
    </w:r>
    <w:r w:rsidR="0020071A">
      <w:rPr>
        <w:rFonts w:ascii="Book Antiqua" w:hAnsi="Book Antiqua"/>
        <w:b/>
        <w:noProof/>
        <w:sz w:val="20"/>
        <w:lang w:val="es-PR"/>
      </w:rPr>
      <w:t>14</w:t>
    </w:r>
    <w:r w:rsidR="00A467D9" w:rsidRPr="00AA356F">
      <w:rPr>
        <w:rFonts w:ascii="Book Antiqua" w:hAnsi="Book Antiqua"/>
        <w:b/>
        <w:noProof/>
        <w:sz w:val="20"/>
        <w:lang w:val="es-PR"/>
      </w:rPr>
      <w:fldChar w:fldCharType="end"/>
    </w:r>
  </w:p>
  <w:p w14:paraId="78502076" w14:textId="77777777" w:rsidR="00AA356F" w:rsidRPr="00AA356F" w:rsidRDefault="00AA356F">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FFFFFFFF"/>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40473C"/>
    <w:multiLevelType w:val="hybridMultilevel"/>
    <w:tmpl w:val="C32E65DC"/>
    <w:lvl w:ilvl="0" w:tplc="3FFE3D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2CA2CD6"/>
    <w:multiLevelType w:val="hybridMultilevel"/>
    <w:tmpl w:val="9EC696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48D55BE"/>
    <w:multiLevelType w:val="hybridMultilevel"/>
    <w:tmpl w:val="8E305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53F71F7"/>
    <w:multiLevelType w:val="hybridMultilevel"/>
    <w:tmpl w:val="0380A0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9037207"/>
    <w:multiLevelType w:val="hybridMultilevel"/>
    <w:tmpl w:val="0002CC82"/>
    <w:lvl w:ilvl="0" w:tplc="7354C318">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6" w15:restartNumberingAfterBreak="0">
    <w:nsid w:val="09C3205F"/>
    <w:multiLevelType w:val="hybridMultilevel"/>
    <w:tmpl w:val="ABF08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ABD149F"/>
    <w:multiLevelType w:val="hybridMultilevel"/>
    <w:tmpl w:val="88885A6A"/>
    <w:lvl w:ilvl="0" w:tplc="491642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0B043B10"/>
    <w:multiLevelType w:val="hybridMultilevel"/>
    <w:tmpl w:val="4AA62F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09D1701"/>
    <w:multiLevelType w:val="hybridMultilevel"/>
    <w:tmpl w:val="7E449BF8"/>
    <w:lvl w:ilvl="0" w:tplc="5BDED9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1452BCE"/>
    <w:multiLevelType w:val="hybridMultilevel"/>
    <w:tmpl w:val="98FC697C"/>
    <w:lvl w:ilvl="0" w:tplc="0464BF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19324614"/>
    <w:multiLevelType w:val="hybridMultilevel"/>
    <w:tmpl w:val="3BE2CF2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1E9561BC"/>
    <w:multiLevelType w:val="hybridMultilevel"/>
    <w:tmpl w:val="62A24FC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2B69205A"/>
    <w:multiLevelType w:val="hybridMultilevel"/>
    <w:tmpl w:val="C8B8DD6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DA41A2D"/>
    <w:multiLevelType w:val="hybridMultilevel"/>
    <w:tmpl w:val="DD4EA2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2F9F1521"/>
    <w:multiLevelType w:val="hybridMultilevel"/>
    <w:tmpl w:val="327AFA3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0B126FC"/>
    <w:multiLevelType w:val="hybridMultilevel"/>
    <w:tmpl w:val="4B7C6B1E"/>
    <w:lvl w:ilvl="0" w:tplc="7DC68B6C">
      <w:start w:val="1"/>
      <w:numFmt w:val="decimal"/>
      <w:lvlText w:val="%1."/>
      <w:lvlJc w:val="left"/>
      <w:pPr>
        <w:ind w:left="1788" w:hanging="360"/>
      </w:pPr>
      <w:rPr>
        <w:rFonts w:hint="default"/>
      </w:r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17" w15:restartNumberingAfterBreak="0">
    <w:nsid w:val="397C0030"/>
    <w:multiLevelType w:val="hybridMultilevel"/>
    <w:tmpl w:val="A6348B6C"/>
    <w:lvl w:ilvl="0" w:tplc="040A0001">
      <w:start w:val="1"/>
      <w:numFmt w:val="bullet"/>
      <w:lvlText w:val=""/>
      <w:lvlJc w:val="left"/>
      <w:pPr>
        <w:ind w:left="1068" w:hanging="360"/>
      </w:pPr>
      <w:rPr>
        <w:rFonts w:ascii="Symbol" w:hAnsi="Symbol" w:hint="default"/>
      </w:rPr>
    </w:lvl>
    <w:lvl w:ilvl="1" w:tplc="040A0003" w:tentative="1">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18" w15:restartNumberingAfterBreak="0">
    <w:nsid w:val="3B6974B5"/>
    <w:multiLevelType w:val="hybridMultilevel"/>
    <w:tmpl w:val="34D07F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BB54F6D"/>
    <w:multiLevelType w:val="hybridMultilevel"/>
    <w:tmpl w:val="E8AE19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BC9577F"/>
    <w:multiLevelType w:val="hybridMultilevel"/>
    <w:tmpl w:val="94CE29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210292B"/>
    <w:multiLevelType w:val="hybridMultilevel"/>
    <w:tmpl w:val="30767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8121176"/>
    <w:multiLevelType w:val="hybridMultilevel"/>
    <w:tmpl w:val="BB5AED18"/>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23" w15:restartNumberingAfterBreak="0">
    <w:nsid w:val="498B3008"/>
    <w:multiLevelType w:val="hybridMultilevel"/>
    <w:tmpl w:val="B22CE636"/>
    <w:lvl w:ilvl="0" w:tplc="05E43968">
      <w:start w:val="1"/>
      <w:numFmt w:val="decimal"/>
      <w:lvlText w:val="%1."/>
      <w:lvlJc w:val="left"/>
      <w:pPr>
        <w:ind w:left="1080" w:hanging="360"/>
      </w:pPr>
      <w:rPr>
        <w:rFonts w:hint="default"/>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BAE0CD6"/>
    <w:multiLevelType w:val="hybridMultilevel"/>
    <w:tmpl w:val="864818BC"/>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25" w15:restartNumberingAfterBreak="0">
    <w:nsid w:val="4CAF11DF"/>
    <w:multiLevelType w:val="hybridMultilevel"/>
    <w:tmpl w:val="93FEE3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63571B5"/>
    <w:multiLevelType w:val="hybridMultilevel"/>
    <w:tmpl w:val="4CFA9292"/>
    <w:lvl w:ilvl="0" w:tplc="AE8EF95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683295D"/>
    <w:multiLevelType w:val="hybridMultilevel"/>
    <w:tmpl w:val="6E901528"/>
    <w:lvl w:ilvl="0" w:tplc="04090001">
      <w:start w:val="1"/>
      <w:numFmt w:val="bullet"/>
      <w:lvlText w:val=""/>
      <w:lvlJc w:val="left"/>
      <w:pPr>
        <w:ind w:left="720" w:hanging="360"/>
      </w:pPr>
      <w:rPr>
        <w:rFonts w:ascii="Symbol" w:hAnsi="Symbol" w:hint="default"/>
      </w:rPr>
    </w:lvl>
    <w:lvl w:ilvl="1" w:tplc="500A0003">
      <w:start w:val="1"/>
      <w:numFmt w:val="bullet"/>
      <w:lvlText w:val="o"/>
      <w:lvlJc w:val="left"/>
      <w:pPr>
        <w:ind w:left="1440" w:hanging="360"/>
      </w:pPr>
      <w:rPr>
        <w:rFonts w:ascii="Courier New" w:hAnsi="Courier New" w:cs="Courier New" w:hint="default"/>
      </w:rPr>
    </w:lvl>
    <w:lvl w:ilvl="2" w:tplc="500A0005">
      <w:start w:val="1"/>
      <w:numFmt w:val="bullet"/>
      <w:lvlText w:val=""/>
      <w:lvlJc w:val="left"/>
      <w:pPr>
        <w:ind w:left="2160" w:hanging="360"/>
      </w:pPr>
      <w:rPr>
        <w:rFonts w:ascii="Wingdings" w:hAnsi="Wingdings" w:hint="default"/>
      </w:rPr>
    </w:lvl>
    <w:lvl w:ilvl="3" w:tplc="500A0001">
      <w:start w:val="1"/>
      <w:numFmt w:val="bullet"/>
      <w:lvlText w:val=""/>
      <w:lvlJc w:val="left"/>
      <w:pPr>
        <w:ind w:left="2880" w:hanging="360"/>
      </w:pPr>
      <w:rPr>
        <w:rFonts w:ascii="Symbol" w:hAnsi="Symbol" w:hint="default"/>
      </w:rPr>
    </w:lvl>
    <w:lvl w:ilvl="4" w:tplc="500A0003">
      <w:start w:val="1"/>
      <w:numFmt w:val="bullet"/>
      <w:lvlText w:val="o"/>
      <w:lvlJc w:val="left"/>
      <w:pPr>
        <w:ind w:left="3600" w:hanging="360"/>
      </w:pPr>
      <w:rPr>
        <w:rFonts w:ascii="Courier New" w:hAnsi="Courier New" w:cs="Courier New" w:hint="default"/>
      </w:rPr>
    </w:lvl>
    <w:lvl w:ilvl="5" w:tplc="500A0005">
      <w:start w:val="1"/>
      <w:numFmt w:val="bullet"/>
      <w:lvlText w:val=""/>
      <w:lvlJc w:val="left"/>
      <w:pPr>
        <w:ind w:left="4320" w:hanging="360"/>
      </w:pPr>
      <w:rPr>
        <w:rFonts w:ascii="Wingdings" w:hAnsi="Wingdings" w:hint="default"/>
      </w:rPr>
    </w:lvl>
    <w:lvl w:ilvl="6" w:tplc="500A0001">
      <w:start w:val="1"/>
      <w:numFmt w:val="bullet"/>
      <w:lvlText w:val=""/>
      <w:lvlJc w:val="left"/>
      <w:pPr>
        <w:ind w:left="5040" w:hanging="360"/>
      </w:pPr>
      <w:rPr>
        <w:rFonts w:ascii="Symbol" w:hAnsi="Symbol" w:hint="default"/>
      </w:rPr>
    </w:lvl>
    <w:lvl w:ilvl="7" w:tplc="500A0003">
      <w:start w:val="1"/>
      <w:numFmt w:val="bullet"/>
      <w:lvlText w:val="o"/>
      <w:lvlJc w:val="left"/>
      <w:pPr>
        <w:ind w:left="5760" w:hanging="360"/>
      </w:pPr>
      <w:rPr>
        <w:rFonts w:ascii="Courier New" w:hAnsi="Courier New" w:cs="Courier New" w:hint="default"/>
      </w:rPr>
    </w:lvl>
    <w:lvl w:ilvl="8" w:tplc="500A0005">
      <w:start w:val="1"/>
      <w:numFmt w:val="bullet"/>
      <w:lvlText w:val=""/>
      <w:lvlJc w:val="left"/>
      <w:pPr>
        <w:ind w:left="6480" w:hanging="360"/>
      </w:pPr>
      <w:rPr>
        <w:rFonts w:ascii="Wingdings" w:hAnsi="Wingdings" w:hint="default"/>
      </w:rPr>
    </w:lvl>
  </w:abstractNum>
  <w:abstractNum w:abstractNumId="28" w15:restartNumberingAfterBreak="0">
    <w:nsid w:val="5D8B32F2"/>
    <w:multiLevelType w:val="hybridMultilevel"/>
    <w:tmpl w:val="2B6ACEC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5E983EBA"/>
    <w:multiLevelType w:val="hybridMultilevel"/>
    <w:tmpl w:val="BBBE1C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1B35935"/>
    <w:multiLevelType w:val="hybridMultilevel"/>
    <w:tmpl w:val="411071A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620767DA"/>
    <w:multiLevelType w:val="hybridMultilevel"/>
    <w:tmpl w:val="B5DC68F2"/>
    <w:lvl w:ilvl="0" w:tplc="040A0013">
      <w:start w:val="1"/>
      <w:numFmt w:val="upperRoman"/>
      <w:lvlText w:val="%1."/>
      <w:lvlJc w:val="righ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2" w15:restartNumberingAfterBreak="0">
    <w:nsid w:val="6C415677"/>
    <w:multiLevelType w:val="hybridMultilevel"/>
    <w:tmpl w:val="DD1AAB54"/>
    <w:lvl w:ilvl="0" w:tplc="DEA2815A">
      <w:start w:val="1"/>
      <w:numFmt w:val="upperRoman"/>
      <w:suff w:val="space"/>
      <w:lvlText w:val="%1."/>
      <w:lvlJc w:val="left"/>
      <w:pPr>
        <w:ind w:left="720" w:hanging="720"/>
      </w:pPr>
      <w:rPr>
        <w:rFonts w:hint="default"/>
        <w:b/>
      </w:rPr>
    </w:lvl>
    <w:lvl w:ilvl="1" w:tplc="500A0019">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33" w15:restartNumberingAfterBreak="0">
    <w:nsid w:val="6E341468"/>
    <w:multiLevelType w:val="hybridMultilevel"/>
    <w:tmpl w:val="19E493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40249B2"/>
    <w:multiLevelType w:val="hybridMultilevel"/>
    <w:tmpl w:val="43E29680"/>
    <w:lvl w:ilvl="0" w:tplc="7F9A9560">
      <w:start w:val="1"/>
      <w:numFmt w:val="decimal"/>
      <w:lvlText w:val="%1."/>
      <w:lvlJc w:val="left"/>
      <w:pPr>
        <w:ind w:left="108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42D3959"/>
    <w:multiLevelType w:val="hybridMultilevel"/>
    <w:tmpl w:val="64EC10EC"/>
    <w:lvl w:ilvl="0" w:tplc="AACCFEB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8E546F4"/>
    <w:multiLevelType w:val="hybridMultilevel"/>
    <w:tmpl w:val="6FE0508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7AE74662"/>
    <w:multiLevelType w:val="hybridMultilevel"/>
    <w:tmpl w:val="D958B86A"/>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38" w15:restartNumberingAfterBreak="0">
    <w:nsid w:val="7C3B29AA"/>
    <w:multiLevelType w:val="hybridMultilevel"/>
    <w:tmpl w:val="67FC966C"/>
    <w:lvl w:ilvl="0" w:tplc="C9A44572">
      <w:start w:val="1"/>
      <w:numFmt w:val="decimal"/>
      <w:lvlText w:val="%1."/>
      <w:lvlJc w:val="left"/>
      <w:pPr>
        <w:ind w:left="1080" w:hanging="360"/>
      </w:pPr>
      <w:rPr>
        <w:rFonts w:hint="default"/>
        <w:color w:val="auto"/>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2107068038">
    <w:abstractNumId w:val="16"/>
  </w:num>
  <w:num w:numId="2" w16cid:durableId="529878239">
    <w:abstractNumId w:val="1"/>
  </w:num>
  <w:num w:numId="3" w16cid:durableId="1391921130">
    <w:abstractNumId w:val="9"/>
  </w:num>
  <w:num w:numId="4" w16cid:durableId="1391418928">
    <w:abstractNumId w:val="10"/>
  </w:num>
  <w:num w:numId="5" w16cid:durableId="478964505">
    <w:abstractNumId w:val="8"/>
  </w:num>
  <w:num w:numId="6" w16cid:durableId="2064207512">
    <w:abstractNumId w:val="5"/>
  </w:num>
  <w:num w:numId="7" w16cid:durableId="1522669696">
    <w:abstractNumId w:val="7"/>
  </w:num>
  <w:num w:numId="8" w16cid:durableId="500241817">
    <w:abstractNumId w:val="2"/>
  </w:num>
  <w:num w:numId="9" w16cid:durableId="1430782789">
    <w:abstractNumId w:val="3"/>
  </w:num>
  <w:num w:numId="10" w16cid:durableId="535193349">
    <w:abstractNumId w:val="14"/>
  </w:num>
  <w:num w:numId="11" w16cid:durableId="38020927">
    <w:abstractNumId w:val="36"/>
  </w:num>
  <w:num w:numId="12" w16cid:durableId="1495300764">
    <w:abstractNumId w:val="20"/>
  </w:num>
  <w:num w:numId="13" w16cid:durableId="337539951">
    <w:abstractNumId w:val="6"/>
  </w:num>
  <w:num w:numId="14" w16cid:durableId="868104225">
    <w:abstractNumId w:val="37"/>
  </w:num>
  <w:num w:numId="15" w16cid:durableId="37704497">
    <w:abstractNumId w:val="38"/>
  </w:num>
  <w:num w:numId="16" w16cid:durableId="1318261470">
    <w:abstractNumId w:val="34"/>
  </w:num>
  <w:num w:numId="17" w16cid:durableId="353384737">
    <w:abstractNumId w:val="23"/>
  </w:num>
  <w:num w:numId="18" w16cid:durableId="1456756873">
    <w:abstractNumId w:val="15"/>
  </w:num>
  <w:num w:numId="19" w16cid:durableId="124480338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87685709">
    <w:abstractNumId w:val="27"/>
  </w:num>
  <w:num w:numId="21" w16cid:durableId="62164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41478673">
    <w:abstractNumId w:val="31"/>
  </w:num>
  <w:num w:numId="23" w16cid:durableId="1422408725">
    <w:abstractNumId w:val="26"/>
  </w:num>
  <w:num w:numId="24" w16cid:durableId="852843932">
    <w:abstractNumId w:val="28"/>
  </w:num>
  <w:num w:numId="25" w16cid:durableId="1898737670">
    <w:abstractNumId w:val="21"/>
  </w:num>
  <w:num w:numId="26" w16cid:durableId="1777096137">
    <w:abstractNumId w:val="17"/>
  </w:num>
  <w:num w:numId="27" w16cid:durableId="1402411665">
    <w:abstractNumId w:val="32"/>
  </w:num>
  <w:num w:numId="28" w16cid:durableId="1562055695">
    <w:abstractNumId w:val="0"/>
  </w:num>
  <w:num w:numId="29" w16cid:durableId="664094337">
    <w:abstractNumId w:val="18"/>
  </w:num>
  <w:num w:numId="30" w16cid:durableId="106776858">
    <w:abstractNumId w:val="29"/>
  </w:num>
  <w:num w:numId="31" w16cid:durableId="174805815">
    <w:abstractNumId w:val="13"/>
  </w:num>
  <w:num w:numId="32" w16cid:durableId="1100680693">
    <w:abstractNumId w:val="12"/>
  </w:num>
  <w:num w:numId="33" w16cid:durableId="151996382">
    <w:abstractNumId w:val="30"/>
  </w:num>
  <w:num w:numId="34" w16cid:durableId="334961873">
    <w:abstractNumId w:val="19"/>
  </w:num>
  <w:num w:numId="35" w16cid:durableId="1961570949">
    <w:abstractNumId w:val="35"/>
  </w:num>
  <w:num w:numId="36" w16cid:durableId="608045188">
    <w:abstractNumId w:val="33"/>
  </w:num>
  <w:num w:numId="37" w16cid:durableId="1022127518">
    <w:abstractNumId w:val="4"/>
  </w:num>
  <w:num w:numId="38" w16cid:durableId="1865705493">
    <w:abstractNumId w:val="25"/>
  </w:num>
  <w:num w:numId="39" w16cid:durableId="18390922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5CC"/>
    <w:rsid w:val="000003DC"/>
    <w:rsid w:val="00000B1A"/>
    <w:rsid w:val="00002186"/>
    <w:rsid w:val="00002269"/>
    <w:rsid w:val="0000239F"/>
    <w:rsid w:val="000024B4"/>
    <w:rsid w:val="00004E5C"/>
    <w:rsid w:val="00005181"/>
    <w:rsid w:val="000071C9"/>
    <w:rsid w:val="000101FE"/>
    <w:rsid w:val="00010240"/>
    <w:rsid w:val="000131DC"/>
    <w:rsid w:val="000150A3"/>
    <w:rsid w:val="00020C9A"/>
    <w:rsid w:val="0002292A"/>
    <w:rsid w:val="00023025"/>
    <w:rsid w:val="00024824"/>
    <w:rsid w:val="00024B8B"/>
    <w:rsid w:val="00030C65"/>
    <w:rsid w:val="00031789"/>
    <w:rsid w:val="00031F4B"/>
    <w:rsid w:val="000330B9"/>
    <w:rsid w:val="0003587A"/>
    <w:rsid w:val="00037177"/>
    <w:rsid w:val="00042268"/>
    <w:rsid w:val="00046557"/>
    <w:rsid w:val="00046AD4"/>
    <w:rsid w:val="000537B3"/>
    <w:rsid w:val="00057F05"/>
    <w:rsid w:val="000624DB"/>
    <w:rsid w:val="00065B86"/>
    <w:rsid w:val="000667E8"/>
    <w:rsid w:val="00066D03"/>
    <w:rsid w:val="00070475"/>
    <w:rsid w:val="000706A4"/>
    <w:rsid w:val="000712FD"/>
    <w:rsid w:val="0007576D"/>
    <w:rsid w:val="00081D93"/>
    <w:rsid w:val="00082F9D"/>
    <w:rsid w:val="000867FB"/>
    <w:rsid w:val="00090307"/>
    <w:rsid w:val="00090DBE"/>
    <w:rsid w:val="00096BCB"/>
    <w:rsid w:val="000A1058"/>
    <w:rsid w:val="000A1EAF"/>
    <w:rsid w:val="000A4992"/>
    <w:rsid w:val="000A77DF"/>
    <w:rsid w:val="000B1FA2"/>
    <w:rsid w:val="000B4F8E"/>
    <w:rsid w:val="000B6639"/>
    <w:rsid w:val="000B6FE4"/>
    <w:rsid w:val="000B7C3F"/>
    <w:rsid w:val="000B7ED5"/>
    <w:rsid w:val="000C26B0"/>
    <w:rsid w:val="000C3043"/>
    <w:rsid w:val="000C42AC"/>
    <w:rsid w:val="000C6D25"/>
    <w:rsid w:val="000C797B"/>
    <w:rsid w:val="000D0EC9"/>
    <w:rsid w:val="000D23D9"/>
    <w:rsid w:val="000D4B54"/>
    <w:rsid w:val="000D4D47"/>
    <w:rsid w:val="000E3505"/>
    <w:rsid w:val="000E413F"/>
    <w:rsid w:val="000E4777"/>
    <w:rsid w:val="000E628C"/>
    <w:rsid w:val="000F17C8"/>
    <w:rsid w:val="000F4D65"/>
    <w:rsid w:val="000F5C1D"/>
    <w:rsid w:val="000F7034"/>
    <w:rsid w:val="00102098"/>
    <w:rsid w:val="001055CC"/>
    <w:rsid w:val="001067B2"/>
    <w:rsid w:val="0011240B"/>
    <w:rsid w:val="001133F4"/>
    <w:rsid w:val="0011446A"/>
    <w:rsid w:val="001150E4"/>
    <w:rsid w:val="00116410"/>
    <w:rsid w:val="0012120A"/>
    <w:rsid w:val="00121F62"/>
    <w:rsid w:val="001238BE"/>
    <w:rsid w:val="00126FD0"/>
    <w:rsid w:val="001270CA"/>
    <w:rsid w:val="00127119"/>
    <w:rsid w:val="00127391"/>
    <w:rsid w:val="001302FF"/>
    <w:rsid w:val="00130A4D"/>
    <w:rsid w:val="00130D76"/>
    <w:rsid w:val="001337C9"/>
    <w:rsid w:val="00133808"/>
    <w:rsid w:val="00134C43"/>
    <w:rsid w:val="00134FE3"/>
    <w:rsid w:val="0014232D"/>
    <w:rsid w:val="00144AFF"/>
    <w:rsid w:val="00146F7C"/>
    <w:rsid w:val="0015216D"/>
    <w:rsid w:val="00152C87"/>
    <w:rsid w:val="001532FA"/>
    <w:rsid w:val="001539E7"/>
    <w:rsid w:val="00153B7E"/>
    <w:rsid w:val="00153E6A"/>
    <w:rsid w:val="0015414D"/>
    <w:rsid w:val="00155CF1"/>
    <w:rsid w:val="00156BB0"/>
    <w:rsid w:val="0016493C"/>
    <w:rsid w:val="00165CFA"/>
    <w:rsid w:val="001663B1"/>
    <w:rsid w:val="00171DE7"/>
    <w:rsid w:val="00172A3A"/>
    <w:rsid w:val="0017455E"/>
    <w:rsid w:val="00174A52"/>
    <w:rsid w:val="00175FF3"/>
    <w:rsid w:val="00177B13"/>
    <w:rsid w:val="00177C68"/>
    <w:rsid w:val="00180A23"/>
    <w:rsid w:val="00180F29"/>
    <w:rsid w:val="00182406"/>
    <w:rsid w:val="00183E4F"/>
    <w:rsid w:val="00186483"/>
    <w:rsid w:val="00186C00"/>
    <w:rsid w:val="00186E17"/>
    <w:rsid w:val="001870CF"/>
    <w:rsid w:val="001941D7"/>
    <w:rsid w:val="001946AD"/>
    <w:rsid w:val="001A006E"/>
    <w:rsid w:val="001A0AB4"/>
    <w:rsid w:val="001A0AFA"/>
    <w:rsid w:val="001A135D"/>
    <w:rsid w:val="001A229D"/>
    <w:rsid w:val="001A291E"/>
    <w:rsid w:val="001B0930"/>
    <w:rsid w:val="001B1C4F"/>
    <w:rsid w:val="001B7116"/>
    <w:rsid w:val="001B74E6"/>
    <w:rsid w:val="001C10FD"/>
    <w:rsid w:val="001C33F0"/>
    <w:rsid w:val="001C6680"/>
    <w:rsid w:val="001C7331"/>
    <w:rsid w:val="001D0D46"/>
    <w:rsid w:val="001D2238"/>
    <w:rsid w:val="001D353A"/>
    <w:rsid w:val="001D4C21"/>
    <w:rsid w:val="001E04D8"/>
    <w:rsid w:val="001E2755"/>
    <w:rsid w:val="001E469A"/>
    <w:rsid w:val="001E4811"/>
    <w:rsid w:val="001E4DF4"/>
    <w:rsid w:val="001E50B7"/>
    <w:rsid w:val="001E557F"/>
    <w:rsid w:val="001E59A4"/>
    <w:rsid w:val="001E6339"/>
    <w:rsid w:val="001F0F4F"/>
    <w:rsid w:val="001F369E"/>
    <w:rsid w:val="001F7006"/>
    <w:rsid w:val="0020071A"/>
    <w:rsid w:val="00202DBE"/>
    <w:rsid w:val="00203856"/>
    <w:rsid w:val="002051A7"/>
    <w:rsid w:val="002126BA"/>
    <w:rsid w:val="00212838"/>
    <w:rsid w:val="0021350C"/>
    <w:rsid w:val="00213FE2"/>
    <w:rsid w:val="0021508C"/>
    <w:rsid w:val="002150D1"/>
    <w:rsid w:val="002157E2"/>
    <w:rsid w:val="00215940"/>
    <w:rsid w:val="00220EB1"/>
    <w:rsid w:val="00224FC1"/>
    <w:rsid w:val="0022583D"/>
    <w:rsid w:val="00233267"/>
    <w:rsid w:val="0023328D"/>
    <w:rsid w:val="0023663E"/>
    <w:rsid w:val="00237268"/>
    <w:rsid w:val="0024023E"/>
    <w:rsid w:val="00241987"/>
    <w:rsid w:val="00244CB9"/>
    <w:rsid w:val="002452EA"/>
    <w:rsid w:val="002458C1"/>
    <w:rsid w:val="0024799E"/>
    <w:rsid w:val="00256F5B"/>
    <w:rsid w:val="0026068F"/>
    <w:rsid w:val="002615DE"/>
    <w:rsid w:val="00262141"/>
    <w:rsid w:val="002630AC"/>
    <w:rsid w:val="00264FDA"/>
    <w:rsid w:val="0026613D"/>
    <w:rsid w:val="002701DF"/>
    <w:rsid w:val="0027028B"/>
    <w:rsid w:val="00270EB6"/>
    <w:rsid w:val="002713A2"/>
    <w:rsid w:val="00272C32"/>
    <w:rsid w:val="00273103"/>
    <w:rsid w:val="00273F2C"/>
    <w:rsid w:val="00274C73"/>
    <w:rsid w:val="00275299"/>
    <w:rsid w:val="002753B6"/>
    <w:rsid w:val="002758D2"/>
    <w:rsid w:val="00275F44"/>
    <w:rsid w:val="00277B8E"/>
    <w:rsid w:val="0028096A"/>
    <w:rsid w:val="0028237D"/>
    <w:rsid w:val="00282CA6"/>
    <w:rsid w:val="00282D10"/>
    <w:rsid w:val="002837B0"/>
    <w:rsid w:val="00285577"/>
    <w:rsid w:val="00285815"/>
    <w:rsid w:val="00287C4D"/>
    <w:rsid w:val="00287DD0"/>
    <w:rsid w:val="00287EF7"/>
    <w:rsid w:val="0029501E"/>
    <w:rsid w:val="00295BF8"/>
    <w:rsid w:val="002A0778"/>
    <w:rsid w:val="002A2432"/>
    <w:rsid w:val="002A2707"/>
    <w:rsid w:val="002A4ADB"/>
    <w:rsid w:val="002A4C0E"/>
    <w:rsid w:val="002B17D8"/>
    <w:rsid w:val="002B1C1E"/>
    <w:rsid w:val="002B3EBD"/>
    <w:rsid w:val="002B42B7"/>
    <w:rsid w:val="002B6AB0"/>
    <w:rsid w:val="002B7006"/>
    <w:rsid w:val="002C053B"/>
    <w:rsid w:val="002C1444"/>
    <w:rsid w:val="002C1B45"/>
    <w:rsid w:val="002C4D0A"/>
    <w:rsid w:val="002C52CA"/>
    <w:rsid w:val="002C6DD2"/>
    <w:rsid w:val="002C6E35"/>
    <w:rsid w:val="002D1835"/>
    <w:rsid w:val="002D210F"/>
    <w:rsid w:val="002D3A7E"/>
    <w:rsid w:val="002D4465"/>
    <w:rsid w:val="002D67B7"/>
    <w:rsid w:val="002E1CF0"/>
    <w:rsid w:val="002E2EBE"/>
    <w:rsid w:val="002E30AC"/>
    <w:rsid w:val="002E5054"/>
    <w:rsid w:val="002E5B82"/>
    <w:rsid w:val="002E60F2"/>
    <w:rsid w:val="002F0755"/>
    <w:rsid w:val="002F07A7"/>
    <w:rsid w:val="002F1710"/>
    <w:rsid w:val="002F5CCC"/>
    <w:rsid w:val="0030054C"/>
    <w:rsid w:val="00301556"/>
    <w:rsid w:val="00303C25"/>
    <w:rsid w:val="0030448B"/>
    <w:rsid w:val="00305A38"/>
    <w:rsid w:val="003068B0"/>
    <w:rsid w:val="00306FA9"/>
    <w:rsid w:val="003101E2"/>
    <w:rsid w:val="0031060D"/>
    <w:rsid w:val="003113FE"/>
    <w:rsid w:val="0031449C"/>
    <w:rsid w:val="0031744A"/>
    <w:rsid w:val="00320C63"/>
    <w:rsid w:val="0032469D"/>
    <w:rsid w:val="00324708"/>
    <w:rsid w:val="003251AE"/>
    <w:rsid w:val="003313DF"/>
    <w:rsid w:val="00333838"/>
    <w:rsid w:val="00334D87"/>
    <w:rsid w:val="00336792"/>
    <w:rsid w:val="00336BC3"/>
    <w:rsid w:val="003378CE"/>
    <w:rsid w:val="00337CC9"/>
    <w:rsid w:val="00340437"/>
    <w:rsid w:val="003408D0"/>
    <w:rsid w:val="0034722B"/>
    <w:rsid w:val="003473C7"/>
    <w:rsid w:val="00350C3D"/>
    <w:rsid w:val="00351DDA"/>
    <w:rsid w:val="00352822"/>
    <w:rsid w:val="003530DA"/>
    <w:rsid w:val="00356DDD"/>
    <w:rsid w:val="003573A2"/>
    <w:rsid w:val="00357D71"/>
    <w:rsid w:val="003634B8"/>
    <w:rsid w:val="00363CF1"/>
    <w:rsid w:val="00364D0A"/>
    <w:rsid w:val="003666B3"/>
    <w:rsid w:val="00366A39"/>
    <w:rsid w:val="00367786"/>
    <w:rsid w:val="003725F7"/>
    <w:rsid w:val="00374A11"/>
    <w:rsid w:val="003757D8"/>
    <w:rsid w:val="0037735C"/>
    <w:rsid w:val="00384116"/>
    <w:rsid w:val="003851D1"/>
    <w:rsid w:val="0038590B"/>
    <w:rsid w:val="00391580"/>
    <w:rsid w:val="00391E04"/>
    <w:rsid w:val="0039301B"/>
    <w:rsid w:val="00393E5E"/>
    <w:rsid w:val="00394671"/>
    <w:rsid w:val="003A0740"/>
    <w:rsid w:val="003A281D"/>
    <w:rsid w:val="003A35FC"/>
    <w:rsid w:val="003A4B2F"/>
    <w:rsid w:val="003A5291"/>
    <w:rsid w:val="003A6817"/>
    <w:rsid w:val="003A68EB"/>
    <w:rsid w:val="003A7D43"/>
    <w:rsid w:val="003B10AC"/>
    <w:rsid w:val="003B2429"/>
    <w:rsid w:val="003B4213"/>
    <w:rsid w:val="003B6376"/>
    <w:rsid w:val="003B65EA"/>
    <w:rsid w:val="003B677E"/>
    <w:rsid w:val="003C198F"/>
    <w:rsid w:val="003C2DB7"/>
    <w:rsid w:val="003C742D"/>
    <w:rsid w:val="003D445B"/>
    <w:rsid w:val="003D5CCD"/>
    <w:rsid w:val="003E01DE"/>
    <w:rsid w:val="003E3D12"/>
    <w:rsid w:val="003E4F93"/>
    <w:rsid w:val="003E6F68"/>
    <w:rsid w:val="003F0283"/>
    <w:rsid w:val="003F0D94"/>
    <w:rsid w:val="003F17DE"/>
    <w:rsid w:val="003F58F8"/>
    <w:rsid w:val="003F5D0A"/>
    <w:rsid w:val="003F6088"/>
    <w:rsid w:val="003F73D6"/>
    <w:rsid w:val="003F76DC"/>
    <w:rsid w:val="003F7DF2"/>
    <w:rsid w:val="00400A63"/>
    <w:rsid w:val="00400AB2"/>
    <w:rsid w:val="00403002"/>
    <w:rsid w:val="004033DF"/>
    <w:rsid w:val="0040495F"/>
    <w:rsid w:val="00404B18"/>
    <w:rsid w:val="0040756D"/>
    <w:rsid w:val="00411192"/>
    <w:rsid w:val="004112E5"/>
    <w:rsid w:val="004144F5"/>
    <w:rsid w:val="004166D4"/>
    <w:rsid w:val="00425CDC"/>
    <w:rsid w:val="00430D5E"/>
    <w:rsid w:val="004340B0"/>
    <w:rsid w:val="00434666"/>
    <w:rsid w:val="00436840"/>
    <w:rsid w:val="00436958"/>
    <w:rsid w:val="004438B3"/>
    <w:rsid w:val="00444352"/>
    <w:rsid w:val="004448B3"/>
    <w:rsid w:val="00447088"/>
    <w:rsid w:val="004476C4"/>
    <w:rsid w:val="004500A4"/>
    <w:rsid w:val="00451930"/>
    <w:rsid w:val="004519A1"/>
    <w:rsid w:val="00460589"/>
    <w:rsid w:val="00463FE5"/>
    <w:rsid w:val="00473209"/>
    <w:rsid w:val="00473CAE"/>
    <w:rsid w:val="00474FA0"/>
    <w:rsid w:val="00476588"/>
    <w:rsid w:val="00477EDA"/>
    <w:rsid w:val="004833B0"/>
    <w:rsid w:val="0048581A"/>
    <w:rsid w:val="00485A85"/>
    <w:rsid w:val="00486876"/>
    <w:rsid w:val="00492BFA"/>
    <w:rsid w:val="004940D7"/>
    <w:rsid w:val="004954FA"/>
    <w:rsid w:val="00495D5B"/>
    <w:rsid w:val="004A0CFA"/>
    <w:rsid w:val="004A2ED1"/>
    <w:rsid w:val="004A421D"/>
    <w:rsid w:val="004A4684"/>
    <w:rsid w:val="004A5116"/>
    <w:rsid w:val="004A5B22"/>
    <w:rsid w:val="004A685D"/>
    <w:rsid w:val="004A6D5A"/>
    <w:rsid w:val="004B1C14"/>
    <w:rsid w:val="004B43D7"/>
    <w:rsid w:val="004B4597"/>
    <w:rsid w:val="004B67D1"/>
    <w:rsid w:val="004B6879"/>
    <w:rsid w:val="004B6F8A"/>
    <w:rsid w:val="004C0CEC"/>
    <w:rsid w:val="004C27E9"/>
    <w:rsid w:val="004C47EC"/>
    <w:rsid w:val="004C6A3F"/>
    <w:rsid w:val="004D0578"/>
    <w:rsid w:val="004D215E"/>
    <w:rsid w:val="004D2E0B"/>
    <w:rsid w:val="004D4259"/>
    <w:rsid w:val="004D4EE7"/>
    <w:rsid w:val="004D6345"/>
    <w:rsid w:val="004E05BD"/>
    <w:rsid w:val="004E0A0D"/>
    <w:rsid w:val="004E0FD0"/>
    <w:rsid w:val="004E2EA6"/>
    <w:rsid w:val="004E327B"/>
    <w:rsid w:val="004E3781"/>
    <w:rsid w:val="004E5AC1"/>
    <w:rsid w:val="004E62EA"/>
    <w:rsid w:val="004F000D"/>
    <w:rsid w:val="004F0B9A"/>
    <w:rsid w:val="004F1992"/>
    <w:rsid w:val="004F26B3"/>
    <w:rsid w:val="004F36C2"/>
    <w:rsid w:val="004F5690"/>
    <w:rsid w:val="004F7C11"/>
    <w:rsid w:val="00500E1F"/>
    <w:rsid w:val="005029A0"/>
    <w:rsid w:val="0050315A"/>
    <w:rsid w:val="00504DE0"/>
    <w:rsid w:val="00512AA7"/>
    <w:rsid w:val="0051324E"/>
    <w:rsid w:val="00514C25"/>
    <w:rsid w:val="0051554C"/>
    <w:rsid w:val="005158FC"/>
    <w:rsid w:val="0051736C"/>
    <w:rsid w:val="00520922"/>
    <w:rsid w:val="0052280D"/>
    <w:rsid w:val="00524C1C"/>
    <w:rsid w:val="005256B5"/>
    <w:rsid w:val="00525801"/>
    <w:rsid w:val="00526044"/>
    <w:rsid w:val="00526631"/>
    <w:rsid w:val="0052742A"/>
    <w:rsid w:val="005313B1"/>
    <w:rsid w:val="00531B17"/>
    <w:rsid w:val="00532D44"/>
    <w:rsid w:val="005334C1"/>
    <w:rsid w:val="005335A1"/>
    <w:rsid w:val="00534D5B"/>
    <w:rsid w:val="00535941"/>
    <w:rsid w:val="00536DB6"/>
    <w:rsid w:val="00537945"/>
    <w:rsid w:val="005416B6"/>
    <w:rsid w:val="0054428D"/>
    <w:rsid w:val="005457D2"/>
    <w:rsid w:val="00555C54"/>
    <w:rsid w:val="005622B0"/>
    <w:rsid w:val="00562DD6"/>
    <w:rsid w:val="00562EE0"/>
    <w:rsid w:val="005643FB"/>
    <w:rsid w:val="0056587F"/>
    <w:rsid w:val="00566BF1"/>
    <w:rsid w:val="00571F66"/>
    <w:rsid w:val="00572D21"/>
    <w:rsid w:val="00572D30"/>
    <w:rsid w:val="00573EA3"/>
    <w:rsid w:val="00575F0E"/>
    <w:rsid w:val="005769B9"/>
    <w:rsid w:val="00576CF9"/>
    <w:rsid w:val="0058057D"/>
    <w:rsid w:val="00583486"/>
    <w:rsid w:val="005861B0"/>
    <w:rsid w:val="00594D63"/>
    <w:rsid w:val="005A2D4E"/>
    <w:rsid w:val="005A3A16"/>
    <w:rsid w:val="005A4CF8"/>
    <w:rsid w:val="005A5350"/>
    <w:rsid w:val="005A55B1"/>
    <w:rsid w:val="005A5E70"/>
    <w:rsid w:val="005A659E"/>
    <w:rsid w:val="005A6BD3"/>
    <w:rsid w:val="005A6E34"/>
    <w:rsid w:val="005B0687"/>
    <w:rsid w:val="005B1013"/>
    <w:rsid w:val="005B11EA"/>
    <w:rsid w:val="005B19D5"/>
    <w:rsid w:val="005B1FC3"/>
    <w:rsid w:val="005B2259"/>
    <w:rsid w:val="005B2A54"/>
    <w:rsid w:val="005B30C4"/>
    <w:rsid w:val="005B3A7B"/>
    <w:rsid w:val="005B4FC5"/>
    <w:rsid w:val="005C009E"/>
    <w:rsid w:val="005C490E"/>
    <w:rsid w:val="005C7A9B"/>
    <w:rsid w:val="005D052D"/>
    <w:rsid w:val="005D1D49"/>
    <w:rsid w:val="005D1F7B"/>
    <w:rsid w:val="005D4D2D"/>
    <w:rsid w:val="005D6134"/>
    <w:rsid w:val="005D6672"/>
    <w:rsid w:val="005E0202"/>
    <w:rsid w:val="005E0658"/>
    <w:rsid w:val="005E116D"/>
    <w:rsid w:val="005E21F5"/>
    <w:rsid w:val="005E647A"/>
    <w:rsid w:val="005E6493"/>
    <w:rsid w:val="005F2E40"/>
    <w:rsid w:val="005F4615"/>
    <w:rsid w:val="005F47DC"/>
    <w:rsid w:val="005F4BF5"/>
    <w:rsid w:val="005F5B92"/>
    <w:rsid w:val="005F6166"/>
    <w:rsid w:val="00600503"/>
    <w:rsid w:val="006006FF"/>
    <w:rsid w:val="006029F3"/>
    <w:rsid w:val="00602D6E"/>
    <w:rsid w:val="00603059"/>
    <w:rsid w:val="006047FD"/>
    <w:rsid w:val="00610C87"/>
    <w:rsid w:val="00612AE0"/>
    <w:rsid w:val="00614B6F"/>
    <w:rsid w:val="00615599"/>
    <w:rsid w:val="00615B0B"/>
    <w:rsid w:val="00617244"/>
    <w:rsid w:val="006209B0"/>
    <w:rsid w:val="00621570"/>
    <w:rsid w:val="00622C01"/>
    <w:rsid w:val="00623531"/>
    <w:rsid w:val="00623BFB"/>
    <w:rsid w:val="00626203"/>
    <w:rsid w:val="00627CE2"/>
    <w:rsid w:val="00627FF4"/>
    <w:rsid w:val="00631C50"/>
    <w:rsid w:val="00632B2F"/>
    <w:rsid w:val="00634E47"/>
    <w:rsid w:val="00637F63"/>
    <w:rsid w:val="00640FB9"/>
    <w:rsid w:val="00641BDD"/>
    <w:rsid w:val="0064227F"/>
    <w:rsid w:val="006429CE"/>
    <w:rsid w:val="00645032"/>
    <w:rsid w:val="00646626"/>
    <w:rsid w:val="00647488"/>
    <w:rsid w:val="00647CD3"/>
    <w:rsid w:val="00651899"/>
    <w:rsid w:val="006527E6"/>
    <w:rsid w:val="00655795"/>
    <w:rsid w:val="00655DF3"/>
    <w:rsid w:val="00655FF9"/>
    <w:rsid w:val="006565FC"/>
    <w:rsid w:val="006569FF"/>
    <w:rsid w:val="0065707C"/>
    <w:rsid w:val="00663AC8"/>
    <w:rsid w:val="00663ED2"/>
    <w:rsid w:val="006647B3"/>
    <w:rsid w:val="00664E81"/>
    <w:rsid w:val="006652C8"/>
    <w:rsid w:val="00666531"/>
    <w:rsid w:val="00666842"/>
    <w:rsid w:val="0067381A"/>
    <w:rsid w:val="006777B4"/>
    <w:rsid w:val="00677C19"/>
    <w:rsid w:val="00681120"/>
    <w:rsid w:val="00683A2D"/>
    <w:rsid w:val="0068598E"/>
    <w:rsid w:val="006859F2"/>
    <w:rsid w:val="00686C92"/>
    <w:rsid w:val="00687CE2"/>
    <w:rsid w:val="00691151"/>
    <w:rsid w:val="00691FC3"/>
    <w:rsid w:val="00692DA8"/>
    <w:rsid w:val="006934DF"/>
    <w:rsid w:val="006938F4"/>
    <w:rsid w:val="00694166"/>
    <w:rsid w:val="006970ED"/>
    <w:rsid w:val="00697ABB"/>
    <w:rsid w:val="006A0A04"/>
    <w:rsid w:val="006A154B"/>
    <w:rsid w:val="006A214D"/>
    <w:rsid w:val="006A569A"/>
    <w:rsid w:val="006A641C"/>
    <w:rsid w:val="006A7C89"/>
    <w:rsid w:val="006B51C1"/>
    <w:rsid w:val="006B5292"/>
    <w:rsid w:val="006B5DE6"/>
    <w:rsid w:val="006B79D7"/>
    <w:rsid w:val="006C0A4A"/>
    <w:rsid w:val="006C1E50"/>
    <w:rsid w:val="006C663C"/>
    <w:rsid w:val="006D0170"/>
    <w:rsid w:val="006D0732"/>
    <w:rsid w:val="006D47F1"/>
    <w:rsid w:val="006E3F1F"/>
    <w:rsid w:val="006E43FE"/>
    <w:rsid w:val="006F1939"/>
    <w:rsid w:val="006F1B6A"/>
    <w:rsid w:val="006F23F0"/>
    <w:rsid w:val="006F2F98"/>
    <w:rsid w:val="00701191"/>
    <w:rsid w:val="00701793"/>
    <w:rsid w:val="007076F4"/>
    <w:rsid w:val="007126D1"/>
    <w:rsid w:val="0071737C"/>
    <w:rsid w:val="007207B0"/>
    <w:rsid w:val="00720FA1"/>
    <w:rsid w:val="00722E8A"/>
    <w:rsid w:val="00723F12"/>
    <w:rsid w:val="007249EF"/>
    <w:rsid w:val="00727BCE"/>
    <w:rsid w:val="00727F61"/>
    <w:rsid w:val="00730984"/>
    <w:rsid w:val="007329F9"/>
    <w:rsid w:val="00733D83"/>
    <w:rsid w:val="00734804"/>
    <w:rsid w:val="007352F8"/>
    <w:rsid w:val="00736C7D"/>
    <w:rsid w:val="00737107"/>
    <w:rsid w:val="007371E9"/>
    <w:rsid w:val="007400CE"/>
    <w:rsid w:val="007400EF"/>
    <w:rsid w:val="00741747"/>
    <w:rsid w:val="00745644"/>
    <w:rsid w:val="00745D29"/>
    <w:rsid w:val="00745E33"/>
    <w:rsid w:val="00746133"/>
    <w:rsid w:val="00746445"/>
    <w:rsid w:val="007468C8"/>
    <w:rsid w:val="00746949"/>
    <w:rsid w:val="00746B0D"/>
    <w:rsid w:val="0074754E"/>
    <w:rsid w:val="007476B0"/>
    <w:rsid w:val="00747B28"/>
    <w:rsid w:val="00750683"/>
    <w:rsid w:val="00752DCE"/>
    <w:rsid w:val="00753C66"/>
    <w:rsid w:val="00754CFC"/>
    <w:rsid w:val="00756763"/>
    <w:rsid w:val="0076147A"/>
    <w:rsid w:val="00767B98"/>
    <w:rsid w:val="007717DA"/>
    <w:rsid w:val="00772C45"/>
    <w:rsid w:val="00772DCE"/>
    <w:rsid w:val="007736E5"/>
    <w:rsid w:val="0077414D"/>
    <w:rsid w:val="00774A04"/>
    <w:rsid w:val="007772C0"/>
    <w:rsid w:val="00783B26"/>
    <w:rsid w:val="007845E9"/>
    <w:rsid w:val="00785B40"/>
    <w:rsid w:val="0079068D"/>
    <w:rsid w:val="00793D92"/>
    <w:rsid w:val="00794C0D"/>
    <w:rsid w:val="007954BD"/>
    <w:rsid w:val="0079590F"/>
    <w:rsid w:val="0079601D"/>
    <w:rsid w:val="007A210E"/>
    <w:rsid w:val="007A4112"/>
    <w:rsid w:val="007A5022"/>
    <w:rsid w:val="007A5F13"/>
    <w:rsid w:val="007A66CA"/>
    <w:rsid w:val="007A6D20"/>
    <w:rsid w:val="007B43F2"/>
    <w:rsid w:val="007B54F9"/>
    <w:rsid w:val="007B7C20"/>
    <w:rsid w:val="007B7CCB"/>
    <w:rsid w:val="007C02D1"/>
    <w:rsid w:val="007C1C3E"/>
    <w:rsid w:val="007C1FBB"/>
    <w:rsid w:val="007C22B5"/>
    <w:rsid w:val="007C3549"/>
    <w:rsid w:val="007C5988"/>
    <w:rsid w:val="007D0802"/>
    <w:rsid w:val="007D0ABF"/>
    <w:rsid w:val="007D1416"/>
    <w:rsid w:val="007D6BED"/>
    <w:rsid w:val="007D76C2"/>
    <w:rsid w:val="007E0679"/>
    <w:rsid w:val="007E28AC"/>
    <w:rsid w:val="007E3580"/>
    <w:rsid w:val="007E4DF6"/>
    <w:rsid w:val="007E65A7"/>
    <w:rsid w:val="007F01F7"/>
    <w:rsid w:val="007F0A22"/>
    <w:rsid w:val="007F3600"/>
    <w:rsid w:val="007F52F5"/>
    <w:rsid w:val="0080159A"/>
    <w:rsid w:val="00801B3A"/>
    <w:rsid w:val="00801CC3"/>
    <w:rsid w:val="00803450"/>
    <w:rsid w:val="00804D7A"/>
    <w:rsid w:val="00805E8D"/>
    <w:rsid w:val="00810E2E"/>
    <w:rsid w:val="00811446"/>
    <w:rsid w:val="00811BA4"/>
    <w:rsid w:val="00811D5C"/>
    <w:rsid w:val="008125EF"/>
    <w:rsid w:val="008141FE"/>
    <w:rsid w:val="0081445B"/>
    <w:rsid w:val="0081660B"/>
    <w:rsid w:val="00816924"/>
    <w:rsid w:val="00822142"/>
    <w:rsid w:val="00822207"/>
    <w:rsid w:val="00822D6D"/>
    <w:rsid w:val="008232F5"/>
    <w:rsid w:val="00824A50"/>
    <w:rsid w:val="0083027F"/>
    <w:rsid w:val="00831347"/>
    <w:rsid w:val="00831A39"/>
    <w:rsid w:val="00834021"/>
    <w:rsid w:val="00834746"/>
    <w:rsid w:val="0083537E"/>
    <w:rsid w:val="008364DD"/>
    <w:rsid w:val="00837AAE"/>
    <w:rsid w:val="00837FA7"/>
    <w:rsid w:val="0084091D"/>
    <w:rsid w:val="00840FB8"/>
    <w:rsid w:val="00847577"/>
    <w:rsid w:val="0085363C"/>
    <w:rsid w:val="00853F1D"/>
    <w:rsid w:val="008544A4"/>
    <w:rsid w:val="0085552D"/>
    <w:rsid w:val="00856040"/>
    <w:rsid w:val="00856252"/>
    <w:rsid w:val="0085691E"/>
    <w:rsid w:val="00861B8F"/>
    <w:rsid w:val="0086236B"/>
    <w:rsid w:val="0086238C"/>
    <w:rsid w:val="008633B9"/>
    <w:rsid w:val="0086359E"/>
    <w:rsid w:val="008667B7"/>
    <w:rsid w:val="008708A9"/>
    <w:rsid w:val="00872653"/>
    <w:rsid w:val="00875BDB"/>
    <w:rsid w:val="0087639A"/>
    <w:rsid w:val="00876687"/>
    <w:rsid w:val="00876BEC"/>
    <w:rsid w:val="0088277C"/>
    <w:rsid w:val="00884E01"/>
    <w:rsid w:val="008860FB"/>
    <w:rsid w:val="00886D01"/>
    <w:rsid w:val="00887FE3"/>
    <w:rsid w:val="008913A3"/>
    <w:rsid w:val="00891A8F"/>
    <w:rsid w:val="00891CDE"/>
    <w:rsid w:val="008922B6"/>
    <w:rsid w:val="00896925"/>
    <w:rsid w:val="008A0149"/>
    <w:rsid w:val="008A015B"/>
    <w:rsid w:val="008A11F9"/>
    <w:rsid w:val="008A3F77"/>
    <w:rsid w:val="008A4D00"/>
    <w:rsid w:val="008A5537"/>
    <w:rsid w:val="008A62D5"/>
    <w:rsid w:val="008A7908"/>
    <w:rsid w:val="008B024C"/>
    <w:rsid w:val="008B6224"/>
    <w:rsid w:val="008B6387"/>
    <w:rsid w:val="008B6504"/>
    <w:rsid w:val="008C1265"/>
    <w:rsid w:val="008C1F83"/>
    <w:rsid w:val="008C25A2"/>
    <w:rsid w:val="008C377C"/>
    <w:rsid w:val="008D3522"/>
    <w:rsid w:val="008D409B"/>
    <w:rsid w:val="008D54B8"/>
    <w:rsid w:val="008D5632"/>
    <w:rsid w:val="008D5FBB"/>
    <w:rsid w:val="008D662D"/>
    <w:rsid w:val="008D6EE5"/>
    <w:rsid w:val="008E00E6"/>
    <w:rsid w:val="008E1463"/>
    <w:rsid w:val="008E4DDC"/>
    <w:rsid w:val="008E532B"/>
    <w:rsid w:val="008E540C"/>
    <w:rsid w:val="008E57FB"/>
    <w:rsid w:val="008E6A4C"/>
    <w:rsid w:val="008F19CD"/>
    <w:rsid w:val="008F384A"/>
    <w:rsid w:val="008F522B"/>
    <w:rsid w:val="008F59A1"/>
    <w:rsid w:val="008F5BC6"/>
    <w:rsid w:val="008F65E6"/>
    <w:rsid w:val="008F66B0"/>
    <w:rsid w:val="008F7A75"/>
    <w:rsid w:val="00900E49"/>
    <w:rsid w:val="00900EF4"/>
    <w:rsid w:val="009011B6"/>
    <w:rsid w:val="009033E2"/>
    <w:rsid w:val="0090354F"/>
    <w:rsid w:val="0090419C"/>
    <w:rsid w:val="0090428B"/>
    <w:rsid w:val="009053CE"/>
    <w:rsid w:val="00907E31"/>
    <w:rsid w:val="009142D6"/>
    <w:rsid w:val="009156DB"/>
    <w:rsid w:val="00916252"/>
    <w:rsid w:val="009214F2"/>
    <w:rsid w:val="00924B70"/>
    <w:rsid w:val="00924EA5"/>
    <w:rsid w:val="009307AE"/>
    <w:rsid w:val="00930885"/>
    <w:rsid w:val="00931DBF"/>
    <w:rsid w:val="00934BC9"/>
    <w:rsid w:val="00935D28"/>
    <w:rsid w:val="00937E45"/>
    <w:rsid w:val="00940D74"/>
    <w:rsid w:val="00942CA5"/>
    <w:rsid w:val="0094419D"/>
    <w:rsid w:val="00946C49"/>
    <w:rsid w:val="00950A01"/>
    <w:rsid w:val="009554F3"/>
    <w:rsid w:val="00955BFA"/>
    <w:rsid w:val="0095761E"/>
    <w:rsid w:val="00960BD6"/>
    <w:rsid w:val="009626EE"/>
    <w:rsid w:val="009641ED"/>
    <w:rsid w:val="00966CAD"/>
    <w:rsid w:val="00967712"/>
    <w:rsid w:val="00970489"/>
    <w:rsid w:val="00971EB4"/>
    <w:rsid w:val="00975D4E"/>
    <w:rsid w:val="00975F8C"/>
    <w:rsid w:val="00981039"/>
    <w:rsid w:val="00982D44"/>
    <w:rsid w:val="00982DD1"/>
    <w:rsid w:val="0098370E"/>
    <w:rsid w:val="00983C9B"/>
    <w:rsid w:val="00983D5B"/>
    <w:rsid w:val="00985895"/>
    <w:rsid w:val="0098681A"/>
    <w:rsid w:val="0098728A"/>
    <w:rsid w:val="009917A1"/>
    <w:rsid w:val="00992B82"/>
    <w:rsid w:val="0099460E"/>
    <w:rsid w:val="00996DDA"/>
    <w:rsid w:val="009A2891"/>
    <w:rsid w:val="009A310E"/>
    <w:rsid w:val="009A368A"/>
    <w:rsid w:val="009A4D83"/>
    <w:rsid w:val="009A6CF5"/>
    <w:rsid w:val="009A7751"/>
    <w:rsid w:val="009B0E68"/>
    <w:rsid w:val="009B324E"/>
    <w:rsid w:val="009B37BC"/>
    <w:rsid w:val="009B4099"/>
    <w:rsid w:val="009B4858"/>
    <w:rsid w:val="009B49F7"/>
    <w:rsid w:val="009B4FF8"/>
    <w:rsid w:val="009B5681"/>
    <w:rsid w:val="009B69D9"/>
    <w:rsid w:val="009C0571"/>
    <w:rsid w:val="009C0682"/>
    <w:rsid w:val="009C0721"/>
    <w:rsid w:val="009C1245"/>
    <w:rsid w:val="009C6BE0"/>
    <w:rsid w:val="009D0BA7"/>
    <w:rsid w:val="009D4393"/>
    <w:rsid w:val="009D4B0B"/>
    <w:rsid w:val="009D58F7"/>
    <w:rsid w:val="009D6621"/>
    <w:rsid w:val="009E64B5"/>
    <w:rsid w:val="009F0098"/>
    <w:rsid w:val="009F0C3D"/>
    <w:rsid w:val="009F1485"/>
    <w:rsid w:val="009F2D2C"/>
    <w:rsid w:val="009F3ED2"/>
    <w:rsid w:val="009F46DB"/>
    <w:rsid w:val="009F5B7D"/>
    <w:rsid w:val="009F6680"/>
    <w:rsid w:val="009F6EC5"/>
    <w:rsid w:val="00A00956"/>
    <w:rsid w:val="00A03D7D"/>
    <w:rsid w:val="00A070E2"/>
    <w:rsid w:val="00A0773D"/>
    <w:rsid w:val="00A078DF"/>
    <w:rsid w:val="00A10AE9"/>
    <w:rsid w:val="00A11A52"/>
    <w:rsid w:val="00A13272"/>
    <w:rsid w:val="00A17BAB"/>
    <w:rsid w:val="00A17D6E"/>
    <w:rsid w:val="00A20ADD"/>
    <w:rsid w:val="00A20FFA"/>
    <w:rsid w:val="00A222A0"/>
    <w:rsid w:val="00A25065"/>
    <w:rsid w:val="00A2596B"/>
    <w:rsid w:val="00A30805"/>
    <w:rsid w:val="00A31D62"/>
    <w:rsid w:val="00A3203B"/>
    <w:rsid w:val="00A3241F"/>
    <w:rsid w:val="00A33F72"/>
    <w:rsid w:val="00A35B87"/>
    <w:rsid w:val="00A363CD"/>
    <w:rsid w:val="00A36A10"/>
    <w:rsid w:val="00A36AB1"/>
    <w:rsid w:val="00A37846"/>
    <w:rsid w:val="00A37C29"/>
    <w:rsid w:val="00A43441"/>
    <w:rsid w:val="00A43442"/>
    <w:rsid w:val="00A446FF"/>
    <w:rsid w:val="00A44BE1"/>
    <w:rsid w:val="00A45DA2"/>
    <w:rsid w:val="00A467D9"/>
    <w:rsid w:val="00A46CAF"/>
    <w:rsid w:val="00A46DED"/>
    <w:rsid w:val="00A47CC1"/>
    <w:rsid w:val="00A502BE"/>
    <w:rsid w:val="00A52588"/>
    <w:rsid w:val="00A53A84"/>
    <w:rsid w:val="00A542AE"/>
    <w:rsid w:val="00A5593F"/>
    <w:rsid w:val="00A5788C"/>
    <w:rsid w:val="00A57DD1"/>
    <w:rsid w:val="00A650F7"/>
    <w:rsid w:val="00A66819"/>
    <w:rsid w:val="00A710C3"/>
    <w:rsid w:val="00A7207F"/>
    <w:rsid w:val="00A74F1E"/>
    <w:rsid w:val="00A754C3"/>
    <w:rsid w:val="00A760C5"/>
    <w:rsid w:val="00A769AE"/>
    <w:rsid w:val="00A811AB"/>
    <w:rsid w:val="00A856CD"/>
    <w:rsid w:val="00A87883"/>
    <w:rsid w:val="00A902AD"/>
    <w:rsid w:val="00A9115B"/>
    <w:rsid w:val="00A92EA2"/>
    <w:rsid w:val="00A93A35"/>
    <w:rsid w:val="00A977D1"/>
    <w:rsid w:val="00AA0187"/>
    <w:rsid w:val="00AA334F"/>
    <w:rsid w:val="00AA356F"/>
    <w:rsid w:val="00AA58E9"/>
    <w:rsid w:val="00AA5C4F"/>
    <w:rsid w:val="00AA618A"/>
    <w:rsid w:val="00AA6221"/>
    <w:rsid w:val="00AB11D9"/>
    <w:rsid w:val="00AB24D4"/>
    <w:rsid w:val="00AC0A41"/>
    <w:rsid w:val="00AC0FCC"/>
    <w:rsid w:val="00AC4D4E"/>
    <w:rsid w:val="00AC5CBD"/>
    <w:rsid w:val="00AC613C"/>
    <w:rsid w:val="00AC63DB"/>
    <w:rsid w:val="00AD08F9"/>
    <w:rsid w:val="00AD0F3F"/>
    <w:rsid w:val="00AD19E4"/>
    <w:rsid w:val="00AD231F"/>
    <w:rsid w:val="00AD3154"/>
    <w:rsid w:val="00AD5AB1"/>
    <w:rsid w:val="00AD6437"/>
    <w:rsid w:val="00AE1478"/>
    <w:rsid w:val="00AE3F36"/>
    <w:rsid w:val="00AE5324"/>
    <w:rsid w:val="00AF0837"/>
    <w:rsid w:val="00AF1F69"/>
    <w:rsid w:val="00AF5357"/>
    <w:rsid w:val="00AF5DA6"/>
    <w:rsid w:val="00AF7A57"/>
    <w:rsid w:val="00B00893"/>
    <w:rsid w:val="00B022E5"/>
    <w:rsid w:val="00B022F3"/>
    <w:rsid w:val="00B044D1"/>
    <w:rsid w:val="00B07899"/>
    <w:rsid w:val="00B10F02"/>
    <w:rsid w:val="00B1357C"/>
    <w:rsid w:val="00B13F20"/>
    <w:rsid w:val="00B14015"/>
    <w:rsid w:val="00B1549A"/>
    <w:rsid w:val="00B224E6"/>
    <w:rsid w:val="00B22DCC"/>
    <w:rsid w:val="00B24154"/>
    <w:rsid w:val="00B25D31"/>
    <w:rsid w:val="00B272BF"/>
    <w:rsid w:val="00B32F6B"/>
    <w:rsid w:val="00B3589D"/>
    <w:rsid w:val="00B3712F"/>
    <w:rsid w:val="00B409BB"/>
    <w:rsid w:val="00B4296D"/>
    <w:rsid w:val="00B44FAC"/>
    <w:rsid w:val="00B54571"/>
    <w:rsid w:val="00B54B39"/>
    <w:rsid w:val="00B57870"/>
    <w:rsid w:val="00B65282"/>
    <w:rsid w:val="00B7173A"/>
    <w:rsid w:val="00B74A40"/>
    <w:rsid w:val="00B75371"/>
    <w:rsid w:val="00B8096F"/>
    <w:rsid w:val="00B85804"/>
    <w:rsid w:val="00B8584A"/>
    <w:rsid w:val="00B85AA5"/>
    <w:rsid w:val="00B85F07"/>
    <w:rsid w:val="00B874AF"/>
    <w:rsid w:val="00B90C3C"/>
    <w:rsid w:val="00B90FEB"/>
    <w:rsid w:val="00B92321"/>
    <w:rsid w:val="00B938D1"/>
    <w:rsid w:val="00B93BBC"/>
    <w:rsid w:val="00B93D31"/>
    <w:rsid w:val="00B93E7F"/>
    <w:rsid w:val="00B94D31"/>
    <w:rsid w:val="00B9571A"/>
    <w:rsid w:val="00BA0AD6"/>
    <w:rsid w:val="00BA2A47"/>
    <w:rsid w:val="00BA4043"/>
    <w:rsid w:val="00BA4522"/>
    <w:rsid w:val="00BA4D0B"/>
    <w:rsid w:val="00BA4F08"/>
    <w:rsid w:val="00BA5678"/>
    <w:rsid w:val="00BA69E2"/>
    <w:rsid w:val="00BA762F"/>
    <w:rsid w:val="00BB1187"/>
    <w:rsid w:val="00BB2052"/>
    <w:rsid w:val="00BB2F6A"/>
    <w:rsid w:val="00BB39C2"/>
    <w:rsid w:val="00BB6437"/>
    <w:rsid w:val="00BB7D1E"/>
    <w:rsid w:val="00BC148A"/>
    <w:rsid w:val="00BC5914"/>
    <w:rsid w:val="00BC68E6"/>
    <w:rsid w:val="00BC6F66"/>
    <w:rsid w:val="00BC72AB"/>
    <w:rsid w:val="00BC7338"/>
    <w:rsid w:val="00BD1C9D"/>
    <w:rsid w:val="00BD753E"/>
    <w:rsid w:val="00BD7E7A"/>
    <w:rsid w:val="00BE0CFC"/>
    <w:rsid w:val="00BE1541"/>
    <w:rsid w:val="00BE370F"/>
    <w:rsid w:val="00BF11E8"/>
    <w:rsid w:val="00BF3448"/>
    <w:rsid w:val="00BF4F2F"/>
    <w:rsid w:val="00BF6C0A"/>
    <w:rsid w:val="00BF7B87"/>
    <w:rsid w:val="00C00464"/>
    <w:rsid w:val="00C02F5A"/>
    <w:rsid w:val="00C0302C"/>
    <w:rsid w:val="00C0512D"/>
    <w:rsid w:val="00C063CA"/>
    <w:rsid w:val="00C06EC4"/>
    <w:rsid w:val="00C07E85"/>
    <w:rsid w:val="00C1027D"/>
    <w:rsid w:val="00C111BD"/>
    <w:rsid w:val="00C120A8"/>
    <w:rsid w:val="00C126EF"/>
    <w:rsid w:val="00C12E76"/>
    <w:rsid w:val="00C17149"/>
    <w:rsid w:val="00C21C6E"/>
    <w:rsid w:val="00C2289A"/>
    <w:rsid w:val="00C24EE1"/>
    <w:rsid w:val="00C31904"/>
    <w:rsid w:val="00C32276"/>
    <w:rsid w:val="00C33821"/>
    <w:rsid w:val="00C35955"/>
    <w:rsid w:val="00C37DC0"/>
    <w:rsid w:val="00C413B4"/>
    <w:rsid w:val="00C421C5"/>
    <w:rsid w:val="00C43BA9"/>
    <w:rsid w:val="00C501BF"/>
    <w:rsid w:val="00C5270E"/>
    <w:rsid w:val="00C5308B"/>
    <w:rsid w:val="00C550C3"/>
    <w:rsid w:val="00C558CC"/>
    <w:rsid w:val="00C55A21"/>
    <w:rsid w:val="00C566E4"/>
    <w:rsid w:val="00C57C2F"/>
    <w:rsid w:val="00C60CDF"/>
    <w:rsid w:val="00C62233"/>
    <w:rsid w:val="00C63681"/>
    <w:rsid w:val="00C668EA"/>
    <w:rsid w:val="00C679F6"/>
    <w:rsid w:val="00C705C0"/>
    <w:rsid w:val="00C7275B"/>
    <w:rsid w:val="00C72F5A"/>
    <w:rsid w:val="00C746E0"/>
    <w:rsid w:val="00C75D1A"/>
    <w:rsid w:val="00C75FB9"/>
    <w:rsid w:val="00C768CA"/>
    <w:rsid w:val="00C77015"/>
    <w:rsid w:val="00C80264"/>
    <w:rsid w:val="00C82354"/>
    <w:rsid w:val="00C83A45"/>
    <w:rsid w:val="00C877D7"/>
    <w:rsid w:val="00C95DD1"/>
    <w:rsid w:val="00CA0832"/>
    <w:rsid w:val="00CA087C"/>
    <w:rsid w:val="00CA1FC7"/>
    <w:rsid w:val="00CA3DAA"/>
    <w:rsid w:val="00CA3F30"/>
    <w:rsid w:val="00CA4CCB"/>
    <w:rsid w:val="00CA65CA"/>
    <w:rsid w:val="00CA6CEC"/>
    <w:rsid w:val="00CA6E3A"/>
    <w:rsid w:val="00CA779C"/>
    <w:rsid w:val="00CA7F76"/>
    <w:rsid w:val="00CB04C8"/>
    <w:rsid w:val="00CB237F"/>
    <w:rsid w:val="00CB5DF7"/>
    <w:rsid w:val="00CC01A3"/>
    <w:rsid w:val="00CC1F30"/>
    <w:rsid w:val="00CC3964"/>
    <w:rsid w:val="00CC471D"/>
    <w:rsid w:val="00CC72F5"/>
    <w:rsid w:val="00CD0755"/>
    <w:rsid w:val="00CD1996"/>
    <w:rsid w:val="00CD2027"/>
    <w:rsid w:val="00CD25D5"/>
    <w:rsid w:val="00CD5879"/>
    <w:rsid w:val="00CD6838"/>
    <w:rsid w:val="00CE133B"/>
    <w:rsid w:val="00CE25CF"/>
    <w:rsid w:val="00CE4AFF"/>
    <w:rsid w:val="00CE6537"/>
    <w:rsid w:val="00CE73F2"/>
    <w:rsid w:val="00CE7A76"/>
    <w:rsid w:val="00CF05B8"/>
    <w:rsid w:val="00CF1ED7"/>
    <w:rsid w:val="00CF1FD7"/>
    <w:rsid w:val="00CF3380"/>
    <w:rsid w:val="00CF3526"/>
    <w:rsid w:val="00CF4186"/>
    <w:rsid w:val="00CF56B9"/>
    <w:rsid w:val="00D0103F"/>
    <w:rsid w:val="00D010A3"/>
    <w:rsid w:val="00D03187"/>
    <w:rsid w:val="00D05D77"/>
    <w:rsid w:val="00D06874"/>
    <w:rsid w:val="00D10147"/>
    <w:rsid w:val="00D10F06"/>
    <w:rsid w:val="00D119BF"/>
    <w:rsid w:val="00D1528C"/>
    <w:rsid w:val="00D15B3E"/>
    <w:rsid w:val="00D16699"/>
    <w:rsid w:val="00D16B72"/>
    <w:rsid w:val="00D2240C"/>
    <w:rsid w:val="00D23790"/>
    <w:rsid w:val="00D25D64"/>
    <w:rsid w:val="00D26E38"/>
    <w:rsid w:val="00D276AD"/>
    <w:rsid w:val="00D31D5E"/>
    <w:rsid w:val="00D325F9"/>
    <w:rsid w:val="00D33104"/>
    <w:rsid w:val="00D33F7F"/>
    <w:rsid w:val="00D34533"/>
    <w:rsid w:val="00D346EE"/>
    <w:rsid w:val="00D34846"/>
    <w:rsid w:val="00D35B63"/>
    <w:rsid w:val="00D36B9E"/>
    <w:rsid w:val="00D4105E"/>
    <w:rsid w:val="00D424BA"/>
    <w:rsid w:val="00D43385"/>
    <w:rsid w:val="00D454DC"/>
    <w:rsid w:val="00D45778"/>
    <w:rsid w:val="00D5093C"/>
    <w:rsid w:val="00D50944"/>
    <w:rsid w:val="00D5187D"/>
    <w:rsid w:val="00D51AC7"/>
    <w:rsid w:val="00D52EAD"/>
    <w:rsid w:val="00D53AD7"/>
    <w:rsid w:val="00D54329"/>
    <w:rsid w:val="00D54D89"/>
    <w:rsid w:val="00D54DC1"/>
    <w:rsid w:val="00D557E9"/>
    <w:rsid w:val="00D568BF"/>
    <w:rsid w:val="00D57D0E"/>
    <w:rsid w:val="00D62E96"/>
    <w:rsid w:val="00D654A1"/>
    <w:rsid w:val="00D7032D"/>
    <w:rsid w:val="00D715B1"/>
    <w:rsid w:val="00D73A21"/>
    <w:rsid w:val="00D7499B"/>
    <w:rsid w:val="00D74EA2"/>
    <w:rsid w:val="00D764C6"/>
    <w:rsid w:val="00D76B4C"/>
    <w:rsid w:val="00D80193"/>
    <w:rsid w:val="00D811FE"/>
    <w:rsid w:val="00D813C8"/>
    <w:rsid w:val="00D84D3E"/>
    <w:rsid w:val="00D85485"/>
    <w:rsid w:val="00D867FB"/>
    <w:rsid w:val="00D8699E"/>
    <w:rsid w:val="00D90FB3"/>
    <w:rsid w:val="00D91CF0"/>
    <w:rsid w:val="00D91D0F"/>
    <w:rsid w:val="00D97EA9"/>
    <w:rsid w:val="00DA0876"/>
    <w:rsid w:val="00DA26F2"/>
    <w:rsid w:val="00DA4353"/>
    <w:rsid w:val="00DA4E2A"/>
    <w:rsid w:val="00DA5BD2"/>
    <w:rsid w:val="00DB075B"/>
    <w:rsid w:val="00DB15D0"/>
    <w:rsid w:val="00DB3536"/>
    <w:rsid w:val="00DB4533"/>
    <w:rsid w:val="00DB7948"/>
    <w:rsid w:val="00DC09A0"/>
    <w:rsid w:val="00DC0CD6"/>
    <w:rsid w:val="00DC0F56"/>
    <w:rsid w:val="00DC6466"/>
    <w:rsid w:val="00DD0A55"/>
    <w:rsid w:val="00DD1A9E"/>
    <w:rsid w:val="00DD44C5"/>
    <w:rsid w:val="00DD519E"/>
    <w:rsid w:val="00DE05D0"/>
    <w:rsid w:val="00DE0D79"/>
    <w:rsid w:val="00DE17D7"/>
    <w:rsid w:val="00DE48EC"/>
    <w:rsid w:val="00DE4941"/>
    <w:rsid w:val="00DE5168"/>
    <w:rsid w:val="00DE6C86"/>
    <w:rsid w:val="00DF1F36"/>
    <w:rsid w:val="00DF300E"/>
    <w:rsid w:val="00DF56BD"/>
    <w:rsid w:val="00DF7805"/>
    <w:rsid w:val="00DF7964"/>
    <w:rsid w:val="00E01897"/>
    <w:rsid w:val="00E02F2F"/>
    <w:rsid w:val="00E03372"/>
    <w:rsid w:val="00E05E72"/>
    <w:rsid w:val="00E10E24"/>
    <w:rsid w:val="00E114A0"/>
    <w:rsid w:val="00E11D63"/>
    <w:rsid w:val="00E13402"/>
    <w:rsid w:val="00E13B41"/>
    <w:rsid w:val="00E14621"/>
    <w:rsid w:val="00E208A3"/>
    <w:rsid w:val="00E24E0A"/>
    <w:rsid w:val="00E25B1D"/>
    <w:rsid w:val="00E262C0"/>
    <w:rsid w:val="00E26A34"/>
    <w:rsid w:val="00E26AF4"/>
    <w:rsid w:val="00E274DE"/>
    <w:rsid w:val="00E278D9"/>
    <w:rsid w:val="00E27D02"/>
    <w:rsid w:val="00E320D7"/>
    <w:rsid w:val="00E32927"/>
    <w:rsid w:val="00E405A6"/>
    <w:rsid w:val="00E40602"/>
    <w:rsid w:val="00E41042"/>
    <w:rsid w:val="00E43DD2"/>
    <w:rsid w:val="00E44A3F"/>
    <w:rsid w:val="00E45C73"/>
    <w:rsid w:val="00E50EAD"/>
    <w:rsid w:val="00E524B0"/>
    <w:rsid w:val="00E544BC"/>
    <w:rsid w:val="00E55B02"/>
    <w:rsid w:val="00E55BAF"/>
    <w:rsid w:val="00E6200F"/>
    <w:rsid w:val="00E62101"/>
    <w:rsid w:val="00E6241E"/>
    <w:rsid w:val="00E67FE8"/>
    <w:rsid w:val="00E7114A"/>
    <w:rsid w:val="00E71B18"/>
    <w:rsid w:val="00E72A6C"/>
    <w:rsid w:val="00E75F7A"/>
    <w:rsid w:val="00E80472"/>
    <w:rsid w:val="00E8058E"/>
    <w:rsid w:val="00E809F7"/>
    <w:rsid w:val="00E81D4E"/>
    <w:rsid w:val="00E82291"/>
    <w:rsid w:val="00E84600"/>
    <w:rsid w:val="00E84A40"/>
    <w:rsid w:val="00E84AFC"/>
    <w:rsid w:val="00E8756D"/>
    <w:rsid w:val="00E90C8D"/>
    <w:rsid w:val="00E90CCE"/>
    <w:rsid w:val="00E922B7"/>
    <w:rsid w:val="00E928BB"/>
    <w:rsid w:val="00E94160"/>
    <w:rsid w:val="00E94CDE"/>
    <w:rsid w:val="00E960D6"/>
    <w:rsid w:val="00EA071B"/>
    <w:rsid w:val="00EA087D"/>
    <w:rsid w:val="00EA1B2E"/>
    <w:rsid w:val="00EA4EE5"/>
    <w:rsid w:val="00EA6AA4"/>
    <w:rsid w:val="00EA6F55"/>
    <w:rsid w:val="00EA7E06"/>
    <w:rsid w:val="00EB1F83"/>
    <w:rsid w:val="00EB4372"/>
    <w:rsid w:val="00EB57F5"/>
    <w:rsid w:val="00EB65C5"/>
    <w:rsid w:val="00EB7053"/>
    <w:rsid w:val="00EC2C7E"/>
    <w:rsid w:val="00EC31CD"/>
    <w:rsid w:val="00EC4882"/>
    <w:rsid w:val="00EC4A5A"/>
    <w:rsid w:val="00EC5271"/>
    <w:rsid w:val="00EC5979"/>
    <w:rsid w:val="00EC63C2"/>
    <w:rsid w:val="00EC6417"/>
    <w:rsid w:val="00EC6A9F"/>
    <w:rsid w:val="00EC7243"/>
    <w:rsid w:val="00ED1A97"/>
    <w:rsid w:val="00ED1AB2"/>
    <w:rsid w:val="00ED33BE"/>
    <w:rsid w:val="00ED3EB1"/>
    <w:rsid w:val="00ED5E36"/>
    <w:rsid w:val="00ED6C3C"/>
    <w:rsid w:val="00EE1A78"/>
    <w:rsid w:val="00EE1C26"/>
    <w:rsid w:val="00EE1FC7"/>
    <w:rsid w:val="00EE293B"/>
    <w:rsid w:val="00EE475F"/>
    <w:rsid w:val="00EE7875"/>
    <w:rsid w:val="00EE7BC5"/>
    <w:rsid w:val="00EF17CA"/>
    <w:rsid w:val="00EF1AFB"/>
    <w:rsid w:val="00EF1EAD"/>
    <w:rsid w:val="00EF3CA7"/>
    <w:rsid w:val="00EF4514"/>
    <w:rsid w:val="00EF4D42"/>
    <w:rsid w:val="00F03C13"/>
    <w:rsid w:val="00F05AEB"/>
    <w:rsid w:val="00F05B2F"/>
    <w:rsid w:val="00F06194"/>
    <w:rsid w:val="00F0667F"/>
    <w:rsid w:val="00F07907"/>
    <w:rsid w:val="00F07DDE"/>
    <w:rsid w:val="00F1052F"/>
    <w:rsid w:val="00F12A92"/>
    <w:rsid w:val="00F13A85"/>
    <w:rsid w:val="00F14EAA"/>
    <w:rsid w:val="00F15655"/>
    <w:rsid w:val="00F15CB9"/>
    <w:rsid w:val="00F169DA"/>
    <w:rsid w:val="00F17F73"/>
    <w:rsid w:val="00F20F34"/>
    <w:rsid w:val="00F21947"/>
    <w:rsid w:val="00F232E0"/>
    <w:rsid w:val="00F247D6"/>
    <w:rsid w:val="00F30ADF"/>
    <w:rsid w:val="00F33616"/>
    <w:rsid w:val="00F33E81"/>
    <w:rsid w:val="00F35DA4"/>
    <w:rsid w:val="00F41FD8"/>
    <w:rsid w:val="00F42650"/>
    <w:rsid w:val="00F43E28"/>
    <w:rsid w:val="00F43E4B"/>
    <w:rsid w:val="00F4484E"/>
    <w:rsid w:val="00F44AE1"/>
    <w:rsid w:val="00F46986"/>
    <w:rsid w:val="00F4750C"/>
    <w:rsid w:val="00F518EB"/>
    <w:rsid w:val="00F536B8"/>
    <w:rsid w:val="00F55D32"/>
    <w:rsid w:val="00F56240"/>
    <w:rsid w:val="00F56DC9"/>
    <w:rsid w:val="00F61F62"/>
    <w:rsid w:val="00F62563"/>
    <w:rsid w:val="00F62BEF"/>
    <w:rsid w:val="00F638A6"/>
    <w:rsid w:val="00F6522C"/>
    <w:rsid w:val="00F70831"/>
    <w:rsid w:val="00F70B2B"/>
    <w:rsid w:val="00F711B8"/>
    <w:rsid w:val="00F77EAB"/>
    <w:rsid w:val="00F81A9D"/>
    <w:rsid w:val="00F84F82"/>
    <w:rsid w:val="00F8503D"/>
    <w:rsid w:val="00F856B9"/>
    <w:rsid w:val="00F861DB"/>
    <w:rsid w:val="00F90B12"/>
    <w:rsid w:val="00F921B9"/>
    <w:rsid w:val="00F924FF"/>
    <w:rsid w:val="00F94A5E"/>
    <w:rsid w:val="00F9565B"/>
    <w:rsid w:val="00F9790C"/>
    <w:rsid w:val="00F97CCA"/>
    <w:rsid w:val="00FA2148"/>
    <w:rsid w:val="00FA4978"/>
    <w:rsid w:val="00FA59E9"/>
    <w:rsid w:val="00FA60C4"/>
    <w:rsid w:val="00FB2AE3"/>
    <w:rsid w:val="00FB2F34"/>
    <w:rsid w:val="00FB48C4"/>
    <w:rsid w:val="00FB543D"/>
    <w:rsid w:val="00FB5525"/>
    <w:rsid w:val="00FC10B0"/>
    <w:rsid w:val="00FC224A"/>
    <w:rsid w:val="00FC55E1"/>
    <w:rsid w:val="00FC5955"/>
    <w:rsid w:val="00FC7B87"/>
    <w:rsid w:val="00FD0439"/>
    <w:rsid w:val="00FD2027"/>
    <w:rsid w:val="00FD4DD7"/>
    <w:rsid w:val="00FD4EA4"/>
    <w:rsid w:val="00FD70EA"/>
    <w:rsid w:val="00FE23D3"/>
    <w:rsid w:val="00FE4F65"/>
    <w:rsid w:val="00FE6166"/>
    <w:rsid w:val="00FE68FE"/>
    <w:rsid w:val="00FE6AB2"/>
    <w:rsid w:val="00FF5767"/>
    <w:rsid w:val="00FF58B3"/>
    <w:rsid w:val="00FF774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EA19FC"/>
  <w15:chartTrackingRefBased/>
  <w15:docId w15:val="{55293BD1-43C7-445F-AF12-B0B8BEB57E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5CC"/>
    <w:rPr>
      <w:rFonts w:ascii="Times New Roman" w:eastAsia="Batang" w:hAnsi="Times New Roman"/>
      <w:sz w:val="24"/>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1055CC"/>
    <w:pPr>
      <w:pBdr>
        <w:top w:val="nil"/>
        <w:left w:val="nil"/>
        <w:bottom w:val="nil"/>
        <w:right w:val="nil"/>
        <w:between w:val="nil"/>
        <w:bar w:val="nil"/>
      </w:pBdr>
    </w:pPr>
    <w:rPr>
      <w:rFonts w:ascii="Helvetica Neue" w:eastAsia="Arial Unicode MS" w:hAnsi="Helvetica Neue" w:cs="Arial Unicode MS"/>
      <w:color w:val="000000"/>
      <w:sz w:val="22"/>
      <w:szCs w:val="22"/>
      <w:bdr w:val="nil"/>
      <w:lang w:eastAsia="es-PR"/>
    </w:rPr>
  </w:style>
  <w:style w:type="paragraph" w:customStyle="1" w:styleId="ColorfulList-Accent11">
    <w:name w:val="Colorful List - Accent 11"/>
    <w:basedOn w:val="Normal"/>
    <w:uiPriority w:val="34"/>
    <w:qFormat/>
    <w:rsid w:val="001055CC"/>
    <w:pPr>
      <w:ind w:left="720"/>
      <w:contextualSpacing/>
    </w:pPr>
  </w:style>
  <w:style w:type="paragraph" w:styleId="Header">
    <w:name w:val="header"/>
    <w:basedOn w:val="Normal"/>
    <w:link w:val="HeaderChar"/>
    <w:uiPriority w:val="99"/>
    <w:unhideWhenUsed/>
    <w:rsid w:val="001055CC"/>
    <w:pPr>
      <w:tabs>
        <w:tab w:val="center" w:pos="4680"/>
        <w:tab w:val="right" w:pos="9360"/>
      </w:tabs>
    </w:pPr>
  </w:style>
  <w:style w:type="character" w:customStyle="1" w:styleId="HeaderChar">
    <w:name w:val="Header Char"/>
    <w:link w:val="Header"/>
    <w:uiPriority w:val="99"/>
    <w:rsid w:val="001055CC"/>
    <w:rPr>
      <w:rFonts w:ascii="Times New Roman" w:eastAsia="Batang" w:hAnsi="Times New Roman" w:cs="Times New Roman"/>
      <w:szCs w:val="20"/>
    </w:rPr>
  </w:style>
  <w:style w:type="paragraph" w:styleId="Footer">
    <w:name w:val="footer"/>
    <w:basedOn w:val="Normal"/>
    <w:link w:val="FooterChar"/>
    <w:uiPriority w:val="99"/>
    <w:unhideWhenUsed/>
    <w:rsid w:val="00F46986"/>
    <w:pPr>
      <w:tabs>
        <w:tab w:val="center" w:pos="4680"/>
        <w:tab w:val="right" w:pos="9360"/>
      </w:tabs>
    </w:pPr>
  </w:style>
  <w:style w:type="character" w:customStyle="1" w:styleId="FooterChar">
    <w:name w:val="Footer Char"/>
    <w:link w:val="Footer"/>
    <w:uiPriority w:val="99"/>
    <w:rsid w:val="00F46986"/>
    <w:rPr>
      <w:rFonts w:ascii="Times New Roman" w:eastAsia="Batang" w:hAnsi="Times New Roman" w:cs="Times New Roman"/>
      <w:szCs w:val="20"/>
    </w:rPr>
  </w:style>
  <w:style w:type="paragraph" w:styleId="BalloonText">
    <w:name w:val="Balloon Text"/>
    <w:basedOn w:val="Normal"/>
    <w:link w:val="BalloonTextChar"/>
    <w:uiPriority w:val="99"/>
    <w:semiHidden/>
    <w:unhideWhenUsed/>
    <w:rsid w:val="00133808"/>
    <w:rPr>
      <w:rFonts w:ascii="Segoe UI" w:hAnsi="Segoe UI" w:cs="Segoe UI"/>
      <w:sz w:val="18"/>
      <w:szCs w:val="18"/>
    </w:rPr>
  </w:style>
  <w:style w:type="character" w:customStyle="1" w:styleId="BalloonTextChar">
    <w:name w:val="Balloon Text Char"/>
    <w:link w:val="BalloonText"/>
    <w:uiPriority w:val="99"/>
    <w:semiHidden/>
    <w:rsid w:val="00133808"/>
    <w:rPr>
      <w:rFonts w:ascii="Segoe UI" w:eastAsia="Batang" w:hAnsi="Segoe UI" w:cs="Segoe UI"/>
      <w:sz w:val="18"/>
      <w:szCs w:val="18"/>
    </w:rPr>
  </w:style>
  <w:style w:type="paragraph" w:styleId="FootnoteText">
    <w:name w:val="footnote text"/>
    <w:basedOn w:val="Normal"/>
    <w:link w:val="FootnoteTextChar"/>
    <w:unhideWhenUsed/>
    <w:rsid w:val="00D654A1"/>
    <w:rPr>
      <w:sz w:val="20"/>
    </w:rPr>
  </w:style>
  <w:style w:type="character" w:customStyle="1" w:styleId="FootnoteTextChar">
    <w:name w:val="Footnote Text Char"/>
    <w:link w:val="FootnoteText"/>
    <w:rsid w:val="00D654A1"/>
    <w:rPr>
      <w:rFonts w:ascii="Times New Roman" w:eastAsia="Batang" w:hAnsi="Times New Roman"/>
    </w:rPr>
  </w:style>
  <w:style w:type="character" w:styleId="FootnoteReference">
    <w:name w:val="footnote reference"/>
    <w:unhideWhenUsed/>
    <w:rsid w:val="00D654A1"/>
    <w:rPr>
      <w:vertAlign w:val="superscript"/>
    </w:rPr>
  </w:style>
  <w:style w:type="paragraph" w:styleId="NormalWeb">
    <w:name w:val="Normal (Web)"/>
    <w:basedOn w:val="Normal"/>
    <w:uiPriority w:val="99"/>
    <w:unhideWhenUsed/>
    <w:rsid w:val="005B2A54"/>
    <w:rPr>
      <w:szCs w:val="24"/>
    </w:rPr>
  </w:style>
  <w:style w:type="paragraph" w:styleId="NoSpacing">
    <w:name w:val="No Spacing"/>
    <w:link w:val="NoSpacingChar"/>
    <w:uiPriority w:val="1"/>
    <w:qFormat/>
    <w:rsid w:val="008913A3"/>
    <w:rPr>
      <w:rFonts w:ascii="Times New Roman" w:eastAsia="Batang" w:hAnsi="Times New Roman"/>
      <w:sz w:val="24"/>
    </w:rPr>
  </w:style>
  <w:style w:type="paragraph" w:styleId="EndnoteText">
    <w:name w:val="endnote text"/>
    <w:basedOn w:val="Normal"/>
    <w:link w:val="EndnoteTextChar"/>
    <w:uiPriority w:val="99"/>
    <w:semiHidden/>
    <w:unhideWhenUsed/>
    <w:rsid w:val="00942CA5"/>
    <w:rPr>
      <w:sz w:val="20"/>
    </w:rPr>
  </w:style>
  <w:style w:type="character" w:customStyle="1" w:styleId="EndnoteTextChar">
    <w:name w:val="Endnote Text Char"/>
    <w:link w:val="EndnoteText"/>
    <w:uiPriority w:val="99"/>
    <w:semiHidden/>
    <w:rsid w:val="00942CA5"/>
    <w:rPr>
      <w:rFonts w:ascii="Times New Roman" w:eastAsia="Batang" w:hAnsi="Times New Roman"/>
    </w:rPr>
  </w:style>
  <w:style w:type="character" w:styleId="EndnoteReference">
    <w:name w:val="endnote reference"/>
    <w:uiPriority w:val="99"/>
    <w:semiHidden/>
    <w:unhideWhenUsed/>
    <w:rsid w:val="00942CA5"/>
    <w:rPr>
      <w:vertAlign w:val="superscript"/>
    </w:rPr>
  </w:style>
  <w:style w:type="character" w:styleId="CommentReference">
    <w:name w:val="annotation reference"/>
    <w:rsid w:val="00FC55E1"/>
    <w:rPr>
      <w:sz w:val="16"/>
      <w:szCs w:val="16"/>
    </w:rPr>
  </w:style>
  <w:style w:type="paragraph" w:styleId="ListParagraph">
    <w:name w:val="List Paragraph"/>
    <w:basedOn w:val="Normal"/>
    <w:uiPriority w:val="34"/>
    <w:qFormat/>
    <w:rsid w:val="00E24E0A"/>
    <w:pPr>
      <w:spacing w:after="160" w:line="259" w:lineRule="auto"/>
      <w:ind w:left="720"/>
      <w:contextualSpacing/>
    </w:pPr>
    <w:rPr>
      <w:rFonts w:ascii="Calibri" w:eastAsia="Times New Roman"/>
      <w:sz w:val="22"/>
      <w:szCs w:val="22"/>
      <w:lang w:val="es-US" w:eastAsia="es-US"/>
    </w:rPr>
  </w:style>
  <w:style w:type="paragraph" w:customStyle="1" w:styleId="normal-p">
    <w:name w:val="normal-p"/>
    <w:basedOn w:val="Normal"/>
    <w:rsid w:val="0031744A"/>
    <w:pPr>
      <w:spacing w:before="100" w:beforeAutospacing="1" w:after="100" w:afterAutospacing="1"/>
    </w:pPr>
    <w:rPr>
      <w:rFonts w:eastAsia="Times New Roman"/>
      <w:szCs w:val="24"/>
    </w:rPr>
  </w:style>
  <w:style w:type="character" w:customStyle="1" w:styleId="normal-h">
    <w:name w:val="normal-h"/>
    <w:basedOn w:val="DefaultParagraphFont"/>
    <w:rsid w:val="0031744A"/>
  </w:style>
  <w:style w:type="paragraph" w:customStyle="1" w:styleId="Default">
    <w:name w:val="Default"/>
    <w:rsid w:val="003F17DE"/>
    <w:pPr>
      <w:autoSpaceDE w:val="0"/>
      <w:autoSpaceDN w:val="0"/>
      <w:adjustRightInd w:val="0"/>
    </w:pPr>
    <w:rPr>
      <w:rFonts w:ascii="Book Antiqua" w:hAnsi="Book Antiqua" w:cs="Book Antiqua"/>
      <w:color w:val="000000"/>
      <w:sz w:val="24"/>
      <w:szCs w:val="24"/>
    </w:rPr>
  </w:style>
  <w:style w:type="character" w:styleId="Hyperlink">
    <w:name w:val="Hyperlink"/>
    <w:uiPriority w:val="99"/>
    <w:unhideWhenUsed/>
    <w:rsid w:val="00A650F7"/>
    <w:rPr>
      <w:color w:val="0563C1"/>
      <w:u w:val="single"/>
    </w:rPr>
  </w:style>
  <w:style w:type="character" w:customStyle="1" w:styleId="NoSpacingChar">
    <w:name w:val="No Spacing Char"/>
    <w:link w:val="NoSpacing"/>
    <w:uiPriority w:val="1"/>
    <w:rsid w:val="00A10AE9"/>
    <w:rPr>
      <w:rFonts w:ascii="Times New Roman" w:eastAsia="Batang" w:hAnsi="Times New Roman"/>
      <w:sz w:val="24"/>
    </w:rPr>
  </w:style>
  <w:style w:type="character" w:styleId="Strong">
    <w:name w:val="Strong"/>
    <w:uiPriority w:val="22"/>
    <w:qFormat/>
    <w:rsid w:val="005B19D5"/>
    <w:rPr>
      <w:b/>
      <w:bCs/>
    </w:rPr>
  </w:style>
  <w:style w:type="character" w:customStyle="1" w:styleId="apple-converted-space">
    <w:name w:val="apple-converted-space"/>
    <w:basedOn w:val="DefaultParagraphFont"/>
    <w:rsid w:val="008B6224"/>
  </w:style>
  <w:style w:type="character" w:customStyle="1" w:styleId="hps">
    <w:name w:val="hps"/>
    <w:basedOn w:val="DefaultParagraphFont"/>
    <w:rsid w:val="005209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629520">
      <w:bodyDiv w:val="1"/>
      <w:marLeft w:val="0"/>
      <w:marRight w:val="0"/>
      <w:marTop w:val="0"/>
      <w:marBottom w:val="0"/>
      <w:divBdr>
        <w:top w:val="none" w:sz="0" w:space="0" w:color="auto"/>
        <w:left w:val="none" w:sz="0" w:space="0" w:color="auto"/>
        <w:bottom w:val="none" w:sz="0" w:space="0" w:color="auto"/>
        <w:right w:val="none" w:sz="0" w:space="0" w:color="auto"/>
      </w:divBdr>
    </w:div>
    <w:div w:id="109863448">
      <w:bodyDiv w:val="1"/>
      <w:marLeft w:val="0"/>
      <w:marRight w:val="0"/>
      <w:marTop w:val="0"/>
      <w:marBottom w:val="0"/>
      <w:divBdr>
        <w:top w:val="none" w:sz="0" w:space="0" w:color="auto"/>
        <w:left w:val="none" w:sz="0" w:space="0" w:color="auto"/>
        <w:bottom w:val="none" w:sz="0" w:space="0" w:color="auto"/>
        <w:right w:val="none" w:sz="0" w:space="0" w:color="auto"/>
      </w:divBdr>
    </w:div>
    <w:div w:id="414058114">
      <w:bodyDiv w:val="1"/>
      <w:marLeft w:val="0"/>
      <w:marRight w:val="0"/>
      <w:marTop w:val="0"/>
      <w:marBottom w:val="0"/>
      <w:divBdr>
        <w:top w:val="none" w:sz="0" w:space="0" w:color="auto"/>
        <w:left w:val="none" w:sz="0" w:space="0" w:color="auto"/>
        <w:bottom w:val="none" w:sz="0" w:space="0" w:color="auto"/>
        <w:right w:val="none" w:sz="0" w:space="0" w:color="auto"/>
      </w:divBdr>
      <w:divsChild>
        <w:div w:id="1559585776">
          <w:marLeft w:val="0"/>
          <w:marRight w:val="0"/>
          <w:marTop w:val="0"/>
          <w:marBottom w:val="0"/>
          <w:divBdr>
            <w:top w:val="none" w:sz="0" w:space="0" w:color="auto"/>
            <w:left w:val="none" w:sz="0" w:space="0" w:color="auto"/>
            <w:bottom w:val="none" w:sz="0" w:space="0" w:color="auto"/>
            <w:right w:val="none" w:sz="0" w:space="0" w:color="auto"/>
          </w:divBdr>
          <w:divsChild>
            <w:div w:id="284044403">
              <w:marLeft w:val="0"/>
              <w:marRight w:val="0"/>
              <w:marTop w:val="0"/>
              <w:marBottom w:val="0"/>
              <w:divBdr>
                <w:top w:val="none" w:sz="0" w:space="0" w:color="auto"/>
                <w:left w:val="none" w:sz="0" w:space="0" w:color="auto"/>
                <w:bottom w:val="none" w:sz="0" w:space="0" w:color="auto"/>
                <w:right w:val="none" w:sz="0" w:space="0" w:color="auto"/>
              </w:divBdr>
              <w:divsChild>
                <w:div w:id="1537156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9024123">
      <w:bodyDiv w:val="1"/>
      <w:marLeft w:val="0"/>
      <w:marRight w:val="0"/>
      <w:marTop w:val="0"/>
      <w:marBottom w:val="0"/>
      <w:divBdr>
        <w:top w:val="none" w:sz="0" w:space="0" w:color="auto"/>
        <w:left w:val="none" w:sz="0" w:space="0" w:color="auto"/>
        <w:bottom w:val="none" w:sz="0" w:space="0" w:color="auto"/>
        <w:right w:val="none" w:sz="0" w:space="0" w:color="auto"/>
      </w:divBdr>
      <w:divsChild>
        <w:div w:id="418719457">
          <w:marLeft w:val="0"/>
          <w:marRight w:val="0"/>
          <w:marTop w:val="0"/>
          <w:marBottom w:val="0"/>
          <w:divBdr>
            <w:top w:val="none" w:sz="0" w:space="0" w:color="auto"/>
            <w:left w:val="none" w:sz="0" w:space="0" w:color="auto"/>
            <w:bottom w:val="none" w:sz="0" w:space="0" w:color="auto"/>
            <w:right w:val="none" w:sz="0" w:space="0" w:color="auto"/>
          </w:divBdr>
          <w:divsChild>
            <w:div w:id="698706125">
              <w:marLeft w:val="0"/>
              <w:marRight w:val="0"/>
              <w:marTop w:val="0"/>
              <w:marBottom w:val="0"/>
              <w:divBdr>
                <w:top w:val="none" w:sz="0" w:space="0" w:color="auto"/>
                <w:left w:val="none" w:sz="0" w:space="0" w:color="auto"/>
                <w:bottom w:val="none" w:sz="0" w:space="0" w:color="auto"/>
                <w:right w:val="none" w:sz="0" w:space="0" w:color="auto"/>
              </w:divBdr>
              <w:divsChild>
                <w:div w:id="1122263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4191063">
      <w:bodyDiv w:val="1"/>
      <w:marLeft w:val="0"/>
      <w:marRight w:val="0"/>
      <w:marTop w:val="0"/>
      <w:marBottom w:val="0"/>
      <w:divBdr>
        <w:top w:val="none" w:sz="0" w:space="0" w:color="auto"/>
        <w:left w:val="none" w:sz="0" w:space="0" w:color="auto"/>
        <w:bottom w:val="none" w:sz="0" w:space="0" w:color="auto"/>
        <w:right w:val="none" w:sz="0" w:space="0" w:color="auto"/>
      </w:divBdr>
    </w:div>
    <w:div w:id="971594016">
      <w:bodyDiv w:val="1"/>
      <w:marLeft w:val="0"/>
      <w:marRight w:val="0"/>
      <w:marTop w:val="0"/>
      <w:marBottom w:val="0"/>
      <w:divBdr>
        <w:top w:val="none" w:sz="0" w:space="0" w:color="auto"/>
        <w:left w:val="none" w:sz="0" w:space="0" w:color="auto"/>
        <w:bottom w:val="none" w:sz="0" w:space="0" w:color="auto"/>
        <w:right w:val="none" w:sz="0" w:space="0" w:color="auto"/>
      </w:divBdr>
    </w:div>
    <w:div w:id="1192956112">
      <w:bodyDiv w:val="1"/>
      <w:marLeft w:val="0"/>
      <w:marRight w:val="0"/>
      <w:marTop w:val="0"/>
      <w:marBottom w:val="0"/>
      <w:divBdr>
        <w:top w:val="none" w:sz="0" w:space="0" w:color="auto"/>
        <w:left w:val="none" w:sz="0" w:space="0" w:color="auto"/>
        <w:bottom w:val="none" w:sz="0" w:space="0" w:color="auto"/>
        <w:right w:val="none" w:sz="0" w:space="0" w:color="auto"/>
      </w:divBdr>
      <w:divsChild>
        <w:div w:id="48038040">
          <w:marLeft w:val="0"/>
          <w:marRight w:val="0"/>
          <w:marTop w:val="0"/>
          <w:marBottom w:val="0"/>
          <w:divBdr>
            <w:top w:val="none" w:sz="0" w:space="0" w:color="auto"/>
            <w:left w:val="none" w:sz="0" w:space="0" w:color="auto"/>
            <w:bottom w:val="none" w:sz="0" w:space="0" w:color="auto"/>
            <w:right w:val="none" w:sz="0" w:space="0" w:color="auto"/>
          </w:divBdr>
          <w:divsChild>
            <w:div w:id="1482310013">
              <w:marLeft w:val="0"/>
              <w:marRight w:val="0"/>
              <w:marTop w:val="0"/>
              <w:marBottom w:val="0"/>
              <w:divBdr>
                <w:top w:val="none" w:sz="0" w:space="0" w:color="auto"/>
                <w:left w:val="none" w:sz="0" w:space="0" w:color="auto"/>
                <w:bottom w:val="none" w:sz="0" w:space="0" w:color="auto"/>
                <w:right w:val="none" w:sz="0" w:space="0" w:color="auto"/>
              </w:divBdr>
              <w:divsChild>
                <w:div w:id="1477070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7586286">
      <w:bodyDiv w:val="1"/>
      <w:marLeft w:val="0"/>
      <w:marRight w:val="0"/>
      <w:marTop w:val="0"/>
      <w:marBottom w:val="0"/>
      <w:divBdr>
        <w:top w:val="none" w:sz="0" w:space="0" w:color="auto"/>
        <w:left w:val="none" w:sz="0" w:space="0" w:color="auto"/>
        <w:bottom w:val="none" w:sz="0" w:space="0" w:color="auto"/>
        <w:right w:val="none" w:sz="0" w:space="0" w:color="auto"/>
      </w:divBdr>
      <w:divsChild>
        <w:div w:id="1500075163">
          <w:marLeft w:val="0"/>
          <w:marRight w:val="0"/>
          <w:marTop w:val="0"/>
          <w:marBottom w:val="0"/>
          <w:divBdr>
            <w:top w:val="none" w:sz="0" w:space="0" w:color="auto"/>
            <w:left w:val="none" w:sz="0" w:space="0" w:color="auto"/>
            <w:bottom w:val="none" w:sz="0" w:space="0" w:color="auto"/>
            <w:right w:val="none" w:sz="0" w:space="0" w:color="auto"/>
          </w:divBdr>
          <w:divsChild>
            <w:div w:id="1696808636">
              <w:marLeft w:val="0"/>
              <w:marRight w:val="0"/>
              <w:marTop w:val="0"/>
              <w:marBottom w:val="0"/>
              <w:divBdr>
                <w:top w:val="none" w:sz="0" w:space="0" w:color="auto"/>
                <w:left w:val="none" w:sz="0" w:space="0" w:color="auto"/>
                <w:bottom w:val="none" w:sz="0" w:space="0" w:color="auto"/>
                <w:right w:val="none" w:sz="0" w:space="0" w:color="auto"/>
              </w:divBdr>
              <w:divsChild>
                <w:div w:id="2029332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3181564">
      <w:bodyDiv w:val="1"/>
      <w:marLeft w:val="0"/>
      <w:marRight w:val="0"/>
      <w:marTop w:val="0"/>
      <w:marBottom w:val="0"/>
      <w:divBdr>
        <w:top w:val="none" w:sz="0" w:space="0" w:color="auto"/>
        <w:left w:val="none" w:sz="0" w:space="0" w:color="auto"/>
        <w:bottom w:val="none" w:sz="0" w:space="0" w:color="auto"/>
        <w:right w:val="none" w:sz="0" w:space="0" w:color="auto"/>
      </w:divBdr>
      <w:divsChild>
        <w:div w:id="716471998">
          <w:marLeft w:val="0"/>
          <w:marRight w:val="0"/>
          <w:marTop w:val="0"/>
          <w:marBottom w:val="0"/>
          <w:divBdr>
            <w:top w:val="none" w:sz="0" w:space="0" w:color="auto"/>
            <w:left w:val="none" w:sz="0" w:space="0" w:color="auto"/>
            <w:bottom w:val="none" w:sz="0" w:space="0" w:color="auto"/>
            <w:right w:val="none" w:sz="0" w:space="0" w:color="auto"/>
          </w:divBdr>
          <w:divsChild>
            <w:div w:id="769274271">
              <w:marLeft w:val="0"/>
              <w:marRight w:val="0"/>
              <w:marTop w:val="0"/>
              <w:marBottom w:val="0"/>
              <w:divBdr>
                <w:top w:val="none" w:sz="0" w:space="0" w:color="auto"/>
                <w:left w:val="none" w:sz="0" w:space="0" w:color="auto"/>
                <w:bottom w:val="none" w:sz="0" w:space="0" w:color="auto"/>
                <w:right w:val="none" w:sz="0" w:space="0" w:color="auto"/>
              </w:divBdr>
              <w:divsChild>
                <w:div w:id="1039236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3727627">
      <w:bodyDiv w:val="1"/>
      <w:marLeft w:val="0"/>
      <w:marRight w:val="0"/>
      <w:marTop w:val="0"/>
      <w:marBottom w:val="0"/>
      <w:divBdr>
        <w:top w:val="none" w:sz="0" w:space="0" w:color="auto"/>
        <w:left w:val="none" w:sz="0" w:space="0" w:color="auto"/>
        <w:bottom w:val="none" w:sz="0" w:space="0" w:color="auto"/>
        <w:right w:val="none" w:sz="0" w:space="0" w:color="auto"/>
      </w:divBdr>
      <w:divsChild>
        <w:div w:id="665939091">
          <w:marLeft w:val="0"/>
          <w:marRight w:val="0"/>
          <w:marTop w:val="0"/>
          <w:marBottom w:val="0"/>
          <w:divBdr>
            <w:top w:val="none" w:sz="0" w:space="0" w:color="auto"/>
            <w:left w:val="none" w:sz="0" w:space="0" w:color="auto"/>
            <w:bottom w:val="none" w:sz="0" w:space="0" w:color="auto"/>
            <w:right w:val="none" w:sz="0" w:space="0" w:color="auto"/>
          </w:divBdr>
          <w:divsChild>
            <w:div w:id="673191952">
              <w:marLeft w:val="0"/>
              <w:marRight w:val="0"/>
              <w:marTop w:val="0"/>
              <w:marBottom w:val="0"/>
              <w:divBdr>
                <w:top w:val="none" w:sz="0" w:space="0" w:color="auto"/>
                <w:left w:val="none" w:sz="0" w:space="0" w:color="auto"/>
                <w:bottom w:val="none" w:sz="0" w:space="0" w:color="auto"/>
                <w:right w:val="none" w:sz="0" w:space="0" w:color="auto"/>
              </w:divBdr>
              <w:divsChild>
                <w:div w:id="793329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5956936">
      <w:bodyDiv w:val="1"/>
      <w:marLeft w:val="0"/>
      <w:marRight w:val="0"/>
      <w:marTop w:val="0"/>
      <w:marBottom w:val="0"/>
      <w:divBdr>
        <w:top w:val="none" w:sz="0" w:space="0" w:color="auto"/>
        <w:left w:val="none" w:sz="0" w:space="0" w:color="auto"/>
        <w:bottom w:val="none" w:sz="0" w:space="0" w:color="auto"/>
        <w:right w:val="none" w:sz="0" w:space="0" w:color="auto"/>
      </w:divBdr>
      <w:divsChild>
        <w:div w:id="698969091">
          <w:marLeft w:val="0"/>
          <w:marRight w:val="0"/>
          <w:marTop w:val="0"/>
          <w:marBottom w:val="0"/>
          <w:divBdr>
            <w:top w:val="none" w:sz="0" w:space="0" w:color="auto"/>
            <w:left w:val="none" w:sz="0" w:space="0" w:color="auto"/>
            <w:bottom w:val="none" w:sz="0" w:space="0" w:color="auto"/>
            <w:right w:val="none" w:sz="0" w:space="0" w:color="auto"/>
          </w:divBdr>
          <w:divsChild>
            <w:div w:id="1835532549">
              <w:marLeft w:val="0"/>
              <w:marRight w:val="0"/>
              <w:marTop w:val="0"/>
              <w:marBottom w:val="0"/>
              <w:divBdr>
                <w:top w:val="none" w:sz="0" w:space="0" w:color="auto"/>
                <w:left w:val="none" w:sz="0" w:space="0" w:color="auto"/>
                <w:bottom w:val="none" w:sz="0" w:space="0" w:color="auto"/>
                <w:right w:val="none" w:sz="0" w:space="0" w:color="auto"/>
              </w:divBdr>
              <w:divsChild>
                <w:div w:id="1274828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7929465">
      <w:bodyDiv w:val="1"/>
      <w:marLeft w:val="0"/>
      <w:marRight w:val="0"/>
      <w:marTop w:val="0"/>
      <w:marBottom w:val="0"/>
      <w:divBdr>
        <w:top w:val="none" w:sz="0" w:space="0" w:color="auto"/>
        <w:left w:val="none" w:sz="0" w:space="0" w:color="auto"/>
        <w:bottom w:val="none" w:sz="0" w:space="0" w:color="auto"/>
        <w:right w:val="none" w:sz="0" w:space="0" w:color="auto"/>
      </w:divBdr>
      <w:divsChild>
        <w:div w:id="555706601">
          <w:marLeft w:val="0"/>
          <w:marRight w:val="0"/>
          <w:marTop w:val="0"/>
          <w:marBottom w:val="0"/>
          <w:divBdr>
            <w:top w:val="none" w:sz="0" w:space="0" w:color="auto"/>
            <w:left w:val="none" w:sz="0" w:space="0" w:color="auto"/>
            <w:bottom w:val="none" w:sz="0" w:space="0" w:color="auto"/>
            <w:right w:val="none" w:sz="0" w:space="0" w:color="auto"/>
          </w:divBdr>
          <w:divsChild>
            <w:div w:id="1839886144">
              <w:marLeft w:val="0"/>
              <w:marRight w:val="0"/>
              <w:marTop w:val="0"/>
              <w:marBottom w:val="0"/>
              <w:divBdr>
                <w:top w:val="none" w:sz="0" w:space="0" w:color="auto"/>
                <w:left w:val="none" w:sz="0" w:space="0" w:color="auto"/>
                <w:bottom w:val="none" w:sz="0" w:space="0" w:color="auto"/>
                <w:right w:val="none" w:sz="0" w:space="0" w:color="auto"/>
              </w:divBdr>
              <w:divsChild>
                <w:div w:id="373314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9988743">
      <w:bodyDiv w:val="1"/>
      <w:marLeft w:val="0"/>
      <w:marRight w:val="0"/>
      <w:marTop w:val="0"/>
      <w:marBottom w:val="0"/>
      <w:divBdr>
        <w:top w:val="none" w:sz="0" w:space="0" w:color="auto"/>
        <w:left w:val="none" w:sz="0" w:space="0" w:color="auto"/>
        <w:bottom w:val="none" w:sz="0" w:space="0" w:color="auto"/>
        <w:right w:val="none" w:sz="0" w:space="0" w:color="auto"/>
      </w:divBdr>
      <w:divsChild>
        <w:div w:id="1490436947">
          <w:marLeft w:val="0"/>
          <w:marRight w:val="0"/>
          <w:marTop w:val="0"/>
          <w:marBottom w:val="0"/>
          <w:divBdr>
            <w:top w:val="none" w:sz="0" w:space="0" w:color="auto"/>
            <w:left w:val="none" w:sz="0" w:space="0" w:color="auto"/>
            <w:bottom w:val="none" w:sz="0" w:space="0" w:color="auto"/>
            <w:right w:val="none" w:sz="0" w:space="0" w:color="auto"/>
          </w:divBdr>
          <w:divsChild>
            <w:div w:id="61493546">
              <w:marLeft w:val="0"/>
              <w:marRight w:val="0"/>
              <w:marTop w:val="0"/>
              <w:marBottom w:val="0"/>
              <w:divBdr>
                <w:top w:val="none" w:sz="0" w:space="0" w:color="auto"/>
                <w:left w:val="none" w:sz="0" w:space="0" w:color="auto"/>
                <w:bottom w:val="none" w:sz="0" w:space="0" w:color="auto"/>
                <w:right w:val="none" w:sz="0" w:space="0" w:color="auto"/>
              </w:divBdr>
              <w:divsChild>
                <w:div w:id="2009675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2067730">
      <w:bodyDiv w:val="1"/>
      <w:marLeft w:val="0"/>
      <w:marRight w:val="0"/>
      <w:marTop w:val="0"/>
      <w:marBottom w:val="0"/>
      <w:divBdr>
        <w:top w:val="none" w:sz="0" w:space="0" w:color="auto"/>
        <w:left w:val="none" w:sz="0" w:space="0" w:color="auto"/>
        <w:bottom w:val="none" w:sz="0" w:space="0" w:color="auto"/>
        <w:right w:val="none" w:sz="0" w:space="0" w:color="auto"/>
      </w:divBdr>
    </w:div>
    <w:div w:id="1959023997">
      <w:bodyDiv w:val="1"/>
      <w:marLeft w:val="0"/>
      <w:marRight w:val="0"/>
      <w:marTop w:val="0"/>
      <w:marBottom w:val="0"/>
      <w:divBdr>
        <w:top w:val="none" w:sz="0" w:space="0" w:color="auto"/>
        <w:left w:val="none" w:sz="0" w:space="0" w:color="auto"/>
        <w:bottom w:val="none" w:sz="0" w:space="0" w:color="auto"/>
        <w:right w:val="none" w:sz="0" w:space="0" w:color="auto"/>
      </w:divBdr>
    </w:div>
    <w:div w:id="2114006577">
      <w:bodyDiv w:val="1"/>
      <w:marLeft w:val="0"/>
      <w:marRight w:val="0"/>
      <w:marTop w:val="0"/>
      <w:marBottom w:val="0"/>
      <w:divBdr>
        <w:top w:val="none" w:sz="0" w:space="0" w:color="auto"/>
        <w:left w:val="none" w:sz="0" w:space="0" w:color="auto"/>
        <w:bottom w:val="none" w:sz="0" w:space="0" w:color="auto"/>
        <w:right w:val="none" w:sz="0" w:space="0" w:color="auto"/>
      </w:divBdr>
      <w:divsChild>
        <w:div w:id="276451727">
          <w:marLeft w:val="0"/>
          <w:marRight w:val="0"/>
          <w:marTop w:val="0"/>
          <w:marBottom w:val="0"/>
          <w:divBdr>
            <w:top w:val="none" w:sz="0" w:space="0" w:color="auto"/>
            <w:left w:val="none" w:sz="0" w:space="0" w:color="auto"/>
            <w:bottom w:val="none" w:sz="0" w:space="0" w:color="auto"/>
            <w:right w:val="none" w:sz="0" w:space="0" w:color="auto"/>
          </w:divBdr>
          <w:divsChild>
            <w:div w:id="728922244">
              <w:marLeft w:val="0"/>
              <w:marRight w:val="0"/>
              <w:marTop w:val="0"/>
              <w:marBottom w:val="0"/>
              <w:divBdr>
                <w:top w:val="none" w:sz="0" w:space="0" w:color="auto"/>
                <w:left w:val="none" w:sz="0" w:space="0" w:color="auto"/>
                <w:bottom w:val="none" w:sz="0" w:space="0" w:color="auto"/>
                <w:right w:val="none" w:sz="0" w:space="0" w:color="auto"/>
              </w:divBdr>
              <w:divsChild>
                <w:div w:id="210118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3726815">
          <w:marLeft w:val="0"/>
          <w:marRight w:val="0"/>
          <w:marTop w:val="0"/>
          <w:marBottom w:val="0"/>
          <w:divBdr>
            <w:top w:val="none" w:sz="0" w:space="0" w:color="auto"/>
            <w:left w:val="none" w:sz="0" w:space="0" w:color="auto"/>
            <w:bottom w:val="none" w:sz="0" w:space="0" w:color="auto"/>
            <w:right w:val="none" w:sz="0" w:space="0" w:color="auto"/>
          </w:divBdr>
          <w:divsChild>
            <w:div w:id="1438016872">
              <w:marLeft w:val="0"/>
              <w:marRight w:val="0"/>
              <w:marTop w:val="0"/>
              <w:marBottom w:val="0"/>
              <w:divBdr>
                <w:top w:val="none" w:sz="0" w:space="0" w:color="auto"/>
                <w:left w:val="none" w:sz="0" w:space="0" w:color="auto"/>
                <w:bottom w:val="none" w:sz="0" w:space="0" w:color="auto"/>
                <w:right w:val="none" w:sz="0" w:space="0" w:color="auto"/>
              </w:divBdr>
              <w:divsChild>
                <w:div w:id="14618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ustomXml" Target="../customXml/item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4SQX5P7U7WPY-958212181-816989</_dlc_DocId>
    <_dlc_DocIdUrl xmlns="c890fddd-4e87-4e08-8b51-545f2a3f7b06">
      <Url>https://senpr.sharepoint.com/sites/obralegislativa/_layouts/15/DocIdRedir.aspx?ID=4SQX5P7U7WPY-958212181-816989</Url>
      <Description>4SQX5P7U7WPY-958212181-816989</Description>
    </_dlc_DocIdUrl>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D5A9922-5AE4-44F1-9C85-C9BEB59D178B}"/>
</file>

<file path=customXml/itemProps2.xml><?xml version="1.0" encoding="utf-8"?>
<ds:datastoreItem xmlns:ds="http://schemas.openxmlformats.org/officeDocument/2006/customXml" ds:itemID="{54F68284-6A79-4E91-B0F5-3E68E8ED36C0}">
  <ds:schemaRefs>
    <ds:schemaRef ds:uri="http://schemas.microsoft.com/sharepoint/v3/contenttype/forms"/>
  </ds:schemaRefs>
</ds:datastoreItem>
</file>

<file path=customXml/itemProps3.xml><?xml version="1.0" encoding="utf-8"?>
<ds:datastoreItem xmlns:ds="http://schemas.openxmlformats.org/officeDocument/2006/customXml" ds:itemID="{B348A010-937C-4148-A93D-F12585F8C7C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5188FDA-9F3E-4697-B675-1F2FE91CE453}">
  <ds:schemaRefs>
    <ds:schemaRef ds:uri="http://schemas.openxmlformats.org/officeDocument/2006/bibliography"/>
  </ds:schemaRefs>
</ds:datastoreItem>
</file>

<file path=customXml/itemProps5.xml><?xml version="1.0" encoding="utf-8"?>
<ds:datastoreItem xmlns:ds="http://schemas.openxmlformats.org/officeDocument/2006/customXml" ds:itemID="{3C508B42-44C5-42D2-9089-1E387C550D71}"/>
</file>

<file path=docProps/app.xml><?xml version="1.0" encoding="utf-8"?>
<Properties xmlns="http://schemas.openxmlformats.org/officeDocument/2006/extended-properties" xmlns:vt="http://schemas.openxmlformats.org/officeDocument/2006/docPropsVTypes">
  <Template>Normal</Template>
  <TotalTime>3</TotalTime>
  <Pages>6</Pages>
  <Words>1582</Words>
  <Characters>9024</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Zaritza</dc:creator>
  <cp:keywords/>
  <dc:description/>
  <cp:lastModifiedBy>Monica Maldonado Gonzalez (Secretaria)</cp:lastModifiedBy>
  <cp:revision>2</cp:revision>
  <cp:lastPrinted>2025-06-23T13:29:00Z</cp:lastPrinted>
  <dcterms:created xsi:type="dcterms:W3CDTF">2025-07-01T18:13:00Z</dcterms:created>
  <dcterms:modified xsi:type="dcterms:W3CDTF">2025-07-01T18:13:00Z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78200fa2-e7eb-41b8-b70f-cbe2ef8a5778</vt:lpwstr>
  </property>
  <property fmtid="{D5CDD505-2E9C-101B-9397-08002B2CF9AE}" pid="4" name="MediaServiceImageTags">
    <vt:lpwstr/>
  </property>
</Properties>
</file>