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197A4D"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197A4D">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197A4D"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197A4D"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3DFED68F" w:rsidR="00A54AF0" w:rsidRPr="00197A4D"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197A4D">
        <w:rPr>
          <w:rFonts w:ascii="Book Antiqua" w:eastAsia="Times New Roman" w:hAnsi="Book Antiqua" w:cs="Times New Roman"/>
          <w:color w:val="000000"/>
          <w:kern w:val="0"/>
          <w:lang w:val="es-ES"/>
          <w14:ligatures w14:val="none"/>
        </w:rPr>
        <w:t>20</w:t>
      </w:r>
      <w:proofErr w:type="spellStart"/>
      <w:r w:rsidRPr="00197A4D">
        <w:rPr>
          <w:rFonts w:ascii="Book Antiqua" w:eastAsia="Times New Roman" w:hAnsi="Book Antiqua" w:cs="Times New Roman"/>
          <w:color w:val="000000"/>
          <w:kern w:val="0"/>
          <w:position w:val="10"/>
          <w:vertAlign w:val="superscript"/>
          <w:lang w:val="es-ES"/>
          <w14:ligatures w14:val="none"/>
        </w:rPr>
        <w:t>ma</w:t>
      </w:r>
      <w:proofErr w:type="spellEnd"/>
      <w:r w:rsidRPr="00197A4D">
        <w:rPr>
          <w:rFonts w:ascii="Book Antiqua" w:eastAsia="Times New Roman" w:hAnsi="Book Antiqua" w:cs="Times New Roman"/>
          <w:color w:val="000000"/>
          <w:kern w:val="0"/>
          <w:position w:val="10"/>
          <w:vertAlign w:val="superscript"/>
          <w:lang w:val="es-ES"/>
          <w14:ligatures w14:val="none"/>
        </w:rPr>
        <w:t xml:space="preserve"> </w:t>
      </w:r>
      <w:r w:rsidRPr="00197A4D">
        <w:rPr>
          <w:rFonts w:ascii="Book Antiqua" w:eastAsia="Times New Roman" w:hAnsi="Book Antiqua" w:cs="Times New Roman"/>
          <w:color w:val="000000"/>
          <w:kern w:val="0"/>
          <w:lang w:val="es-ES"/>
          <w14:ligatures w14:val="none"/>
        </w:rPr>
        <w:t>Asamblea</w:t>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t xml:space="preserve">                  </w:t>
      </w:r>
      <w:r w:rsidR="003E3331" w:rsidRPr="00197A4D">
        <w:rPr>
          <w:rFonts w:ascii="Book Antiqua" w:eastAsia="Times New Roman" w:hAnsi="Book Antiqua" w:cs="Times New Roman"/>
          <w:color w:val="000000"/>
          <w:kern w:val="0"/>
          <w:lang w:val="es-ES"/>
          <w14:ligatures w14:val="none"/>
        </w:rPr>
        <w:t>2</w:t>
      </w:r>
      <w:r w:rsidR="003E3331" w:rsidRPr="00197A4D">
        <w:rPr>
          <w:rFonts w:ascii="Book Antiqua" w:eastAsia="Times New Roman" w:hAnsi="Book Antiqua" w:cs="Times New Roman"/>
          <w:color w:val="000000"/>
          <w:kern w:val="0"/>
          <w:vertAlign w:val="superscript"/>
          <w:lang w:val="es-ES"/>
          <w14:ligatures w14:val="none"/>
        </w:rPr>
        <w:t>d</w:t>
      </w:r>
      <w:r w:rsidRPr="00197A4D">
        <w:rPr>
          <w:rFonts w:ascii="Book Antiqua" w:eastAsia="Times New Roman" w:hAnsi="Book Antiqua" w:cs="Times New Roman"/>
          <w:color w:val="000000"/>
          <w:kern w:val="0"/>
          <w:vertAlign w:val="superscript"/>
          <w:lang w:val="es-ES"/>
          <w14:ligatures w14:val="none"/>
        </w:rPr>
        <w:t>a.</w:t>
      </w:r>
      <w:r w:rsidRPr="00197A4D">
        <w:rPr>
          <w:rFonts w:ascii="Book Antiqua" w:eastAsia="Times New Roman" w:hAnsi="Book Antiqua" w:cs="Times New Roman"/>
          <w:color w:val="000000"/>
          <w:kern w:val="0"/>
          <w:position w:val="10"/>
          <w:vertAlign w:val="superscript"/>
          <w:lang w:val="es-ES"/>
          <w14:ligatures w14:val="none"/>
        </w:rPr>
        <w:t xml:space="preserve"> </w:t>
      </w:r>
      <w:r w:rsidRPr="00197A4D">
        <w:rPr>
          <w:rFonts w:ascii="Book Antiqua" w:eastAsia="Times New Roman" w:hAnsi="Book Antiqua" w:cs="Times New Roman"/>
          <w:color w:val="000000"/>
          <w:kern w:val="0"/>
          <w:lang w:val="es-ES"/>
          <w14:ligatures w14:val="none"/>
        </w:rPr>
        <w:t xml:space="preserve">Sesión </w:t>
      </w:r>
    </w:p>
    <w:p w14:paraId="4C99236B" w14:textId="15E116D3" w:rsidR="00A54AF0" w:rsidRPr="00197A4D"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197A4D">
        <w:rPr>
          <w:rFonts w:ascii="Book Antiqua" w:eastAsia="Times New Roman" w:hAnsi="Book Antiqua" w:cs="Times New Roman"/>
          <w:color w:val="000000"/>
          <w:kern w:val="0"/>
          <w:lang w:val="es-ES"/>
          <w14:ligatures w14:val="none"/>
        </w:rPr>
        <w:t xml:space="preserve">        </w:t>
      </w:r>
      <w:r w:rsidR="000C5343" w:rsidRPr="00197A4D">
        <w:rPr>
          <w:rFonts w:ascii="Book Antiqua" w:eastAsia="Times New Roman" w:hAnsi="Book Antiqua" w:cs="Times New Roman"/>
          <w:color w:val="000000"/>
          <w:kern w:val="0"/>
          <w:lang w:val="es-ES"/>
          <w14:ligatures w14:val="none"/>
        </w:rPr>
        <w:t xml:space="preserve"> </w:t>
      </w:r>
      <w:r w:rsidRPr="00197A4D">
        <w:rPr>
          <w:rFonts w:ascii="Book Antiqua" w:eastAsia="Times New Roman" w:hAnsi="Book Antiqua" w:cs="Times New Roman"/>
          <w:color w:val="000000"/>
          <w:kern w:val="0"/>
          <w:lang w:val="es-ES"/>
          <w14:ligatures w14:val="none"/>
        </w:rPr>
        <w:t>Legislativa</w:t>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r>
      <w:r w:rsidRPr="00197A4D">
        <w:rPr>
          <w:rFonts w:ascii="Book Antiqua" w:eastAsia="Times New Roman" w:hAnsi="Book Antiqua" w:cs="Times New Roman"/>
          <w:color w:val="000000"/>
          <w:kern w:val="0"/>
          <w:lang w:val="es-ES"/>
          <w14:ligatures w14:val="none"/>
        </w:rPr>
        <w:tab/>
        <w:t xml:space="preserve"> </w:t>
      </w:r>
      <w:r w:rsidR="000C5343" w:rsidRPr="00197A4D">
        <w:rPr>
          <w:rFonts w:ascii="Book Antiqua" w:eastAsia="Times New Roman" w:hAnsi="Book Antiqua" w:cs="Times New Roman"/>
          <w:color w:val="000000"/>
          <w:kern w:val="0"/>
          <w:lang w:val="es-ES"/>
          <w14:ligatures w14:val="none"/>
        </w:rPr>
        <w:t xml:space="preserve">           </w:t>
      </w:r>
      <w:r w:rsidRPr="00197A4D">
        <w:rPr>
          <w:rFonts w:ascii="Book Antiqua" w:eastAsia="Times New Roman" w:hAnsi="Book Antiqua" w:cs="Times New Roman"/>
          <w:color w:val="000000"/>
          <w:kern w:val="0"/>
          <w:lang w:val="es-ES"/>
          <w14:ligatures w14:val="none"/>
        </w:rPr>
        <w:t xml:space="preserve">Ordinaria </w:t>
      </w:r>
    </w:p>
    <w:p w14:paraId="29F090CC" w14:textId="77777777" w:rsidR="00A54AF0" w:rsidRPr="00197A4D"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0CEF9C2F" w14:textId="77777777" w:rsidR="00A54AF0" w:rsidRPr="00197A4D"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5033B42C" w14:textId="77777777" w:rsidR="00A217F4" w:rsidRPr="00197A4D" w:rsidRDefault="00A217F4" w:rsidP="00A54AF0">
      <w:pPr>
        <w:spacing w:after="0" w:line="240" w:lineRule="auto"/>
        <w:jc w:val="center"/>
        <w:rPr>
          <w:rFonts w:ascii="Book Antiqua" w:eastAsia="Times New Roman" w:hAnsi="Book Antiqua" w:cs="Times New Roman"/>
          <w:b/>
          <w:bCs/>
          <w:color w:val="000000"/>
          <w:kern w:val="0"/>
          <w14:ligatures w14:val="none"/>
        </w:rPr>
      </w:pPr>
    </w:p>
    <w:p w14:paraId="5F4761C8" w14:textId="77777777" w:rsidR="00A54AF0" w:rsidRPr="00197A4D"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197A4D">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197A4D" w:rsidRDefault="00A54AF0" w:rsidP="00A54AF0">
      <w:pPr>
        <w:spacing w:after="0" w:line="240" w:lineRule="auto"/>
        <w:jc w:val="center"/>
        <w:rPr>
          <w:rFonts w:ascii="Book Antiqua" w:eastAsia="Times New Roman" w:hAnsi="Book Antiqua" w:cs="Times New Roman"/>
          <w:kern w:val="0"/>
          <w14:ligatures w14:val="none"/>
        </w:rPr>
      </w:pPr>
    </w:p>
    <w:p w14:paraId="234018B6" w14:textId="77777777" w:rsidR="00A217F4" w:rsidRPr="00197A4D" w:rsidRDefault="00A217F4" w:rsidP="00A54AF0">
      <w:pPr>
        <w:spacing w:after="0" w:line="240" w:lineRule="auto"/>
        <w:jc w:val="center"/>
        <w:rPr>
          <w:rFonts w:ascii="Book Antiqua" w:eastAsia="Times New Roman" w:hAnsi="Book Antiqua" w:cs="Times New Roman"/>
          <w:b/>
          <w:kern w:val="0"/>
          <w:sz w:val="52"/>
          <w:szCs w:val="52"/>
          <w14:ligatures w14:val="none"/>
        </w:rPr>
      </w:pPr>
    </w:p>
    <w:p w14:paraId="3895E960" w14:textId="1BBC561B" w:rsidR="00A54AF0" w:rsidRPr="00197A4D" w:rsidRDefault="00A54AF0" w:rsidP="00A54AF0">
      <w:pPr>
        <w:spacing w:after="0" w:line="240" w:lineRule="auto"/>
        <w:jc w:val="center"/>
        <w:rPr>
          <w:rFonts w:ascii="Book Antiqua" w:eastAsia="Times New Roman" w:hAnsi="Book Antiqua" w:cs="Times New Roman"/>
          <w:b/>
          <w:kern w:val="0"/>
          <w:sz w:val="52"/>
          <w:szCs w:val="52"/>
          <w14:ligatures w14:val="none"/>
        </w:rPr>
      </w:pPr>
      <w:r w:rsidRPr="00197A4D">
        <w:rPr>
          <w:rFonts w:ascii="Book Antiqua" w:eastAsia="Times New Roman" w:hAnsi="Book Antiqua" w:cs="Times New Roman"/>
          <w:b/>
          <w:kern w:val="0"/>
          <w:sz w:val="52"/>
          <w:szCs w:val="52"/>
          <w14:ligatures w14:val="none"/>
        </w:rPr>
        <w:t xml:space="preserve">P. de la C. </w:t>
      </w:r>
      <w:r w:rsidR="00845D3C" w:rsidRPr="00197A4D">
        <w:rPr>
          <w:rFonts w:ascii="Book Antiqua" w:eastAsia="Times New Roman" w:hAnsi="Book Antiqua" w:cs="Times New Roman"/>
          <w:b/>
          <w:kern w:val="0"/>
          <w:sz w:val="52"/>
          <w:szCs w:val="52"/>
          <w14:ligatures w14:val="none"/>
        </w:rPr>
        <w:t>142</w:t>
      </w:r>
    </w:p>
    <w:p w14:paraId="03B56273" w14:textId="77777777" w:rsidR="00A217F4" w:rsidRPr="00197A4D" w:rsidRDefault="00A217F4"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p>
    <w:p w14:paraId="6A26D0A1" w14:textId="0F0D1398" w:rsidR="00A54AF0" w:rsidRPr="00197A4D"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197A4D">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197A4D"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1D2DBF37" w:rsidR="00A54AF0" w:rsidRPr="00197A4D" w:rsidRDefault="00B816C8"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 xml:space="preserve">16 </w:t>
      </w:r>
      <w:r w:rsidR="00A54AF0" w:rsidRPr="00197A4D">
        <w:rPr>
          <w:rFonts w:ascii="Book Antiqua" w:eastAsia="Times New Roman" w:hAnsi="Book Antiqua" w:cs="Times New Roman"/>
          <w:bCs/>
          <w:color w:val="000000"/>
          <w:kern w:val="0"/>
          <w14:ligatures w14:val="none"/>
        </w:rPr>
        <w:t xml:space="preserve">DE </w:t>
      </w:r>
      <w:r w:rsidR="003E3331" w:rsidRPr="00197A4D">
        <w:rPr>
          <w:rFonts w:ascii="Book Antiqua" w:eastAsia="Times New Roman" w:hAnsi="Book Antiqua" w:cs="Times New Roman"/>
          <w:bCs/>
          <w:color w:val="000000"/>
          <w:kern w:val="0"/>
          <w14:ligatures w14:val="none"/>
        </w:rPr>
        <w:t>SEPTIEMBRE</w:t>
      </w:r>
      <w:r w:rsidR="00A54AF0" w:rsidRPr="00197A4D">
        <w:rPr>
          <w:rFonts w:ascii="Book Antiqua" w:eastAsia="Times New Roman" w:hAnsi="Book Antiqua" w:cs="Times New Roman"/>
          <w:bCs/>
          <w:color w:val="000000"/>
          <w:kern w:val="0"/>
          <w14:ligatures w14:val="none"/>
        </w:rPr>
        <w:t xml:space="preserve"> DE 2025</w:t>
      </w:r>
    </w:p>
    <w:p w14:paraId="420645D7" w14:textId="77777777" w:rsidR="00A54AF0" w:rsidRPr="00197A4D" w:rsidRDefault="00A54AF0" w:rsidP="00A54AF0">
      <w:pPr>
        <w:spacing w:after="0" w:line="240" w:lineRule="auto"/>
        <w:rPr>
          <w:rFonts w:ascii="Book Antiqua" w:eastAsia="Times New Roman" w:hAnsi="Book Antiqua" w:cs="Times New Roman"/>
          <w:color w:val="000000"/>
          <w:kern w:val="0"/>
          <w14:ligatures w14:val="none"/>
        </w:rPr>
      </w:pPr>
    </w:p>
    <w:p w14:paraId="54ECCE8A" w14:textId="77777777" w:rsidR="00A217F4" w:rsidRPr="00197A4D" w:rsidRDefault="00A217F4" w:rsidP="00BF413B">
      <w:pPr>
        <w:spacing w:after="0" w:line="240" w:lineRule="auto"/>
        <w:rPr>
          <w:rFonts w:ascii="Book Antiqua" w:eastAsia="Times New Roman" w:hAnsi="Book Antiqua" w:cs="Times New Roman"/>
          <w:b/>
          <w:bCs/>
          <w:kern w:val="0"/>
          <w14:ligatures w14:val="none"/>
        </w:rPr>
      </w:pPr>
    </w:p>
    <w:p w14:paraId="05B222A6" w14:textId="608E7A0A" w:rsidR="00A54AF0" w:rsidRPr="00197A4D" w:rsidRDefault="00A54AF0" w:rsidP="00BF413B">
      <w:pPr>
        <w:spacing w:after="0" w:line="240" w:lineRule="auto"/>
        <w:rPr>
          <w:rFonts w:ascii="Book Antiqua" w:eastAsia="Times New Roman" w:hAnsi="Book Antiqua" w:cs="Times New Roman"/>
          <w:b/>
          <w:bCs/>
          <w:kern w:val="0"/>
          <w14:ligatures w14:val="none"/>
        </w:rPr>
      </w:pPr>
      <w:r w:rsidRPr="00197A4D">
        <w:rPr>
          <w:rFonts w:ascii="Book Antiqua" w:eastAsia="Times New Roman" w:hAnsi="Book Antiqua" w:cs="Times New Roman"/>
          <w:b/>
          <w:bCs/>
          <w:kern w:val="0"/>
          <w14:ligatures w14:val="none"/>
        </w:rPr>
        <w:t>A LA CÁMARA DE REPRESENTANTES DE PUERTO RICO:</w:t>
      </w:r>
    </w:p>
    <w:p w14:paraId="1DE7F01B" w14:textId="77777777" w:rsidR="00A54AF0" w:rsidRPr="00197A4D" w:rsidRDefault="00A54AF0" w:rsidP="00A54AF0">
      <w:pPr>
        <w:spacing w:after="0" w:line="240" w:lineRule="auto"/>
        <w:rPr>
          <w:rFonts w:ascii="Book Antiqua" w:eastAsia="Times New Roman" w:hAnsi="Book Antiqua" w:cs="Times New Roman"/>
          <w:b/>
          <w:bCs/>
          <w:kern w:val="0"/>
          <w14:ligatures w14:val="none"/>
        </w:rPr>
      </w:pPr>
    </w:p>
    <w:p w14:paraId="7165F401" w14:textId="24595DF6" w:rsidR="00DE628A" w:rsidRPr="00197A4D" w:rsidRDefault="00DE628A" w:rsidP="003E3331">
      <w:pPr>
        <w:spacing w:after="0" w:line="360" w:lineRule="auto"/>
        <w:ind w:firstLine="706"/>
        <w:jc w:val="both"/>
        <w:rPr>
          <w:rFonts w:ascii="Book Antiqua" w:eastAsia="Calibri" w:hAnsi="Book Antiqua" w:cs="Times New Roman"/>
          <w:kern w:val="0"/>
          <w14:ligatures w14:val="none"/>
        </w:rPr>
      </w:pPr>
      <w:r w:rsidRPr="00197A4D">
        <w:rPr>
          <w:rFonts w:ascii="Book Antiqua" w:eastAsia="Calibri" w:hAnsi="Book Antiqua" w:cs="Times New Roman"/>
          <w:kern w:val="0"/>
          <w14:ligatures w14:val="none"/>
        </w:rPr>
        <w:t xml:space="preserve">Previa consideración y evaluación del Proyecto de la Cámara 142 (P. de la C. 142), la </w:t>
      </w:r>
      <w:r w:rsidR="00B60104" w:rsidRPr="00197A4D">
        <w:rPr>
          <w:rFonts w:ascii="Book Antiqua" w:eastAsia="Calibri" w:hAnsi="Book Antiqua" w:cs="Times New Roman"/>
          <w:i/>
          <w:iCs/>
          <w:kern w:val="0"/>
          <w:lang w:val="es-ES"/>
          <w14:ligatures w14:val="none"/>
        </w:rPr>
        <w:t>Comisión de Reorganización, Eficiencia y Diligencia</w:t>
      </w:r>
      <w:r w:rsidR="00B60104" w:rsidRPr="00197A4D">
        <w:rPr>
          <w:rFonts w:ascii="Book Antiqua" w:eastAsia="Calibri" w:hAnsi="Book Antiqua" w:cs="Times New Roman"/>
          <w:i/>
          <w:iCs/>
          <w:kern w:val="0"/>
          <w14:ligatures w14:val="none"/>
        </w:rPr>
        <w:t xml:space="preserve"> </w:t>
      </w:r>
      <w:r w:rsidRPr="00197A4D">
        <w:rPr>
          <w:rFonts w:ascii="Book Antiqua" w:eastAsia="Calibri" w:hAnsi="Book Antiqua" w:cs="Times New Roman"/>
          <w:i/>
          <w:iCs/>
          <w:kern w:val="0"/>
          <w14:ligatures w14:val="none"/>
        </w:rPr>
        <w:t>de la Cámara</w:t>
      </w:r>
      <w:r w:rsidR="003E3331" w:rsidRPr="00197A4D">
        <w:rPr>
          <w:rFonts w:ascii="Book Antiqua" w:eastAsia="Calibri" w:hAnsi="Book Antiqua" w:cs="Times New Roman"/>
          <w:i/>
          <w:iCs/>
          <w:kern w:val="0"/>
          <w14:ligatures w14:val="none"/>
        </w:rPr>
        <w:t xml:space="preserve"> (CRED)</w:t>
      </w:r>
      <w:r w:rsidRPr="00197A4D">
        <w:rPr>
          <w:rFonts w:ascii="Book Antiqua" w:eastAsia="Calibri" w:hAnsi="Book Antiqua" w:cs="Times New Roman"/>
          <w:kern w:val="0"/>
          <w14:ligatures w14:val="none"/>
        </w:rPr>
        <w:t xml:space="preserve"> de Representantes de Puerto Rico recomienda su aprobación</w:t>
      </w:r>
      <w:r w:rsidRPr="00197A4D">
        <w:rPr>
          <w:rFonts w:ascii="Book Antiqua" w:eastAsia="Calibri" w:hAnsi="Book Antiqua" w:cs="Times New Roman"/>
          <w:b/>
          <w:bCs/>
          <w:i/>
          <w:iCs/>
          <w:kern w:val="0"/>
          <w14:ligatures w14:val="none"/>
        </w:rPr>
        <w:t xml:space="preserve"> </w:t>
      </w:r>
      <w:r w:rsidR="00F81425" w:rsidRPr="00197A4D">
        <w:rPr>
          <w:rFonts w:ascii="Book Antiqua" w:eastAsia="Calibri" w:hAnsi="Book Antiqua" w:cs="Times New Roman"/>
          <w:kern w:val="0"/>
          <w14:ligatures w14:val="none"/>
        </w:rPr>
        <w:t>sin enmiendas</w:t>
      </w:r>
      <w:r w:rsidRPr="00197A4D">
        <w:rPr>
          <w:rFonts w:ascii="Book Antiqua" w:eastAsia="Calibri" w:hAnsi="Book Antiqua" w:cs="Times New Roman"/>
          <w:kern w:val="0"/>
          <w14:ligatures w14:val="none"/>
        </w:rPr>
        <w:t>.</w:t>
      </w:r>
    </w:p>
    <w:p w14:paraId="3639B984" w14:textId="77777777" w:rsidR="00A54AF0" w:rsidRPr="00197A4D" w:rsidRDefault="00A54AF0" w:rsidP="00D15F9A">
      <w:pPr>
        <w:spacing w:after="0" w:line="240" w:lineRule="auto"/>
        <w:jc w:val="both"/>
        <w:rPr>
          <w:rFonts w:ascii="Book Antiqua" w:eastAsia="Times New Roman" w:hAnsi="Book Antiqua" w:cs="Times New Roman"/>
          <w:kern w:val="0"/>
          <w14:ligatures w14:val="none"/>
        </w:rPr>
      </w:pPr>
    </w:p>
    <w:p w14:paraId="3290E6F9" w14:textId="77777777" w:rsidR="00D15F9A" w:rsidRPr="00197A4D" w:rsidRDefault="00D15F9A" w:rsidP="00D15F9A">
      <w:pPr>
        <w:spacing w:after="0" w:line="240" w:lineRule="auto"/>
        <w:jc w:val="both"/>
        <w:rPr>
          <w:rFonts w:ascii="Book Antiqua" w:eastAsia="Times New Roman" w:hAnsi="Book Antiqua" w:cs="Times New Roman"/>
          <w:kern w:val="0"/>
          <w14:ligatures w14:val="none"/>
        </w:rPr>
      </w:pPr>
    </w:p>
    <w:p w14:paraId="5F8ED6CA" w14:textId="77777777" w:rsidR="00A54AF0" w:rsidRPr="00197A4D" w:rsidRDefault="00A54AF0" w:rsidP="00D15F9A">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197A4D">
        <w:rPr>
          <w:rFonts w:ascii="Book Antiqua" w:eastAsia="Times New Roman" w:hAnsi="Book Antiqua" w:cs="Times New Roman"/>
          <w:b/>
          <w:bCs/>
          <w:kern w:val="0"/>
          <w:lang w:eastAsia="x-none"/>
          <w14:ligatures w14:val="none"/>
        </w:rPr>
        <w:t>ALCANCE DE LA MEDIDA</w:t>
      </w:r>
    </w:p>
    <w:p w14:paraId="05D2FB6C" w14:textId="77777777" w:rsidR="00A54AF0" w:rsidRPr="00197A4D" w:rsidRDefault="00A54AF0" w:rsidP="00D15F9A">
      <w:pPr>
        <w:spacing w:after="0" w:line="240" w:lineRule="auto"/>
        <w:rPr>
          <w:rFonts w:ascii="Book Antiqua" w:eastAsia="Times New Roman" w:hAnsi="Book Antiqua" w:cs="Times New Roman"/>
          <w:kern w:val="0"/>
          <w:lang w:eastAsia="x-none"/>
          <w14:ligatures w14:val="none"/>
        </w:rPr>
      </w:pPr>
    </w:p>
    <w:p w14:paraId="3EF3D504" w14:textId="77777777" w:rsidR="00845D3C" w:rsidRPr="00197A4D" w:rsidRDefault="00845D3C" w:rsidP="00D15F9A">
      <w:pPr>
        <w:spacing w:line="240" w:lineRule="auto"/>
        <w:ind w:left="540" w:hanging="540"/>
        <w:jc w:val="both"/>
        <w:rPr>
          <w:rFonts w:ascii="Book Antiqua" w:hAnsi="Book Antiqua"/>
          <w:lang w:val="es-ES"/>
        </w:rPr>
      </w:pPr>
      <w:r w:rsidRPr="00197A4D">
        <w:rPr>
          <w:rFonts w:ascii="Book Antiqua" w:hAnsi="Book Antiqua"/>
          <w:lang w:val="es-ES_tradnl"/>
        </w:rPr>
        <w:t xml:space="preserve">Para </w:t>
      </w:r>
      <w:bookmarkStart w:id="0" w:name="_Hlk10281649"/>
      <w:r w:rsidRPr="00197A4D">
        <w:rPr>
          <w:rFonts w:ascii="Book Antiqua" w:hAnsi="Book Antiqua"/>
          <w:lang w:val="es-ES_tradnl"/>
        </w:rPr>
        <w:t xml:space="preserve">enmendar el Artículo 7 de la Ley 151-2004, según enmendada, conocida como “Ley de Gobierno Electrónico”, a los fines de consolidar dentro de dicha Ley, las disposiciones relativas a la aplicación de la política pública que establece que las agencias y corporaciones públicas que rinden servicios básicos a la ciudadanía, deben instituir programas de información y educación sobre los planes y proyectos de mejoras que lleven a cabo; derogar la Ley 98-2002, conocida como “Ley de Información de Educación e Información al Usuario de Servicios Gubernamentales”; </w:t>
      </w:r>
      <w:r w:rsidRPr="00197A4D">
        <w:rPr>
          <w:rFonts w:ascii="Book Antiqua" w:hAnsi="Book Antiqua"/>
          <w:lang w:val="es-ES"/>
        </w:rPr>
        <w:t>y para otros fines relacionados</w:t>
      </w:r>
      <w:bookmarkEnd w:id="0"/>
      <w:r w:rsidRPr="00197A4D">
        <w:rPr>
          <w:rFonts w:ascii="Book Antiqua" w:hAnsi="Book Antiqua"/>
          <w:lang w:val="es-ES"/>
        </w:rPr>
        <w:t>.</w:t>
      </w:r>
    </w:p>
    <w:p w14:paraId="46113F38" w14:textId="77777777" w:rsidR="00A217F4" w:rsidRPr="00197A4D" w:rsidRDefault="00A217F4" w:rsidP="00D15F9A">
      <w:pPr>
        <w:spacing w:line="240" w:lineRule="auto"/>
        <w:ind w:left="540" w:hanging="540"/>
        <w:jc w:val="both"/>
        <w:rPr>
          <w:rFonts w:ascii="Book Antiqua" w:hAnsi="Book Antiqua"/>
          <w:lang w:val="es-ES"/>
        </w:rPr>
      </w:pPr>
    </w:p>
    <w:p w14:paraId="59170590" w14:textId="77777777" w:rsidR="00A54AF0" w:rsidRPr="00197A4D" w:rsidRDefault="00A54AF0" w:rsidP="00A54AF0">
      <w:pPr>
        <w:spacing w:after="0" w:line="240" w:lineRule="auto"/>
        <w:jc w:val="center"/>
        <w:rPr>
          <w:rFonts w:ascii="Book Antiqua" w:eastAsia="Times New Roman" w:hAnsi="Book Antiqua" w:cs="Times New Roman"/>
          <w:b/>
          <w:bCs/>
          <w:kern w:val="0"/>
          <w:lang w:val="es-ES_tradnl"/>
          <w14:ligatures w14:val="none"/>
        </w:rPr>
      </w:pPr>
    </w:p>
    <w:p w14:paraId="633D576D" w14:textId="77777777" w:rsidR="00A54AF0" w:rsidRPr="00197A4D" w:rsidRDefault="00A54AF0" w:rsidP="00A54AF0">
      <w:pPr>
        <w:spacing w:after="0" w:line="240" w:lineRule="auto"/>
        <w:jc w:val="center"/>
        <w:rPr>
          <w:rFonts w:ascii="Book Antiqua" w:eastAsia="Times New Roman" w:hAnsi="Book Antiqua" w:cs="Times New Roman"/>
          <w:b/>
          <w:bCs/>
          <w:kern w:val="0"/>
          <w14:ligatures w14:val="none"/>
        </w:rPr>
      </w:pPr>
      <w:r w:rsidRPr="00197A4D">
        <w:rPr>
          <w:rFonts w:ascii="Book Antiqua" w:eastAsia="Times New Roman" w:hAnsi="Book Antiqua" w:cs="Times New Roman"/>
          <w:b/>
          <w:bCs/>
          <w:kern w:val="0"/>
          <w14:ligatures w14:val="none"/>
        </w:rPr>
        <w:t>INTRODUCCIÓN</w:t>
      </w:r>
    </w:p>
    <w:p w14:paraId="7F734173" w14:textId="77777777" w:rsidR="000F0ECA" w:rsidRPr="00197A4D" w:rsidRDefault="000F0ECA" w:rsidP="00A54AF0">
      <w:pPr>
        <w:spacing w:after="0" w:line="240" w:lineRule="auto"/>
        <w:jc w:val="center"/>
        <w:rPr>
          <w:rFonts w:ascii="Book Antiqua" w:eastAsia="Times New Roman" w:hAnsi="Book Antiqua" w:cs="Times New Roman"/>
          <w:b/>
          <w:bCs/>
          <w:kern w:val="0"/>
          <w14:ligatures w14:val="none"/>
        </w:rPr>
      </w:pPr>
    </w:p>
    <w:p w14:paraId="754A6053" w14:textId="7561191E" w:rsidR="00C37770" w:rsidRPr="00197A4D" w:rsidRDefault="00C37770" w:rsidP="003E3331">
      <w:pPr>
        <w:spacing w:after="0" w:line="360" w:lineRule="auto"/>
        <w:ind w:firstLine="360"/>
        <w:jc w:val="both"/>
        <w:rPr>
          <w:rFonts w:ascii="Book Antiqua" w:eastAsia="Times New Roman" w:hAnsi="Book Antiqua" w:cs="Times New Roman"/>
          <w:kern w:val="0"/>
          <w14:ligatures w14:val="none"/>
        </w:rPr>
      </w:pPr>
      <w:r w:rsidRPr="00197A4D">
        <w:rPr>
          <w:rFonts w:ascii="Book Antiqua" w:eastAsia="Times New Roman" w:hAnsi="Book Antiqua" w:cs="Times New Roman"/>
          <w:kern w:val="0"/>
          <w14:ligatures w14:val="none"/>
        </w:rPr>
        <w:t>Con la aprobación de la Ley</w:t>
      </w:r>
      <w:r w:rsidR="003E3331" w:rsidRPr="00197A4D">
        <w:rPr>
          <w:rFonts w:ascii="Book Antiqua" w:eastAsia="Times New Roman" w:hAnsi="Book Antiqua" w:cs="Times New Roman"/>
          <w:kern w:val="0"/>
          <w14:ligatures w14:val="none"/>
        </w:rPr>
        <w:t xml:space="preserve"> Núm.</w:t>
      </w:r>
      <w:r w:rsidRPr="00197A4D">
        <w:rPr>
          <w:rFonts w:ascii="Book Antiqua" w:eastAsia="Times New Roman" w:hAnsi="Book Antiqua" w:cs="Times New Roman"/>
          <w:kern w:val="0"/>
          <w14:ligatures w14:val="none"/>
        </w:rPr>
        <w:t xml:space="preserve"> 98-2002, </w:t>
      </w:r>
      <w:r w:rsidR="003E3331" w:rsidRPr="00197A4D">
        <w:rPr>
          <w:rFonts w:ascii="Book Antiqua" w:hAnsi="Book Antiqua"/>
          <w:lang w:val="es-ES_tradnl"/>
        </w:rPr>
        <w:t xml:space="preserve">conocida como </w:t>
      </w:r>
      <w:r w:rsidR="003E3331" w:rsidRPr="00197A4D">
        <w:rPr>
          <w:rFonts w:ascii="Book Antiqua" w:hAnsi="Book Antiqua"/>
          <w:i/>
          <w:iCs/>
          <w:lang w:val="es-ES_tradnl"/>
        </w:rPr>
        <w:t>Ley de Información de Educación e Información al Usuario de Servicios Gubernamentales</w:t>
      </w:r>
      <w:r w:rsidR="003E3331" w:rsidRPr="00197A4D">
        <w:rPr>
          <w:rFonts w:ascii="Book Antiqua" w:hAnsi="Book Antiqua"/>
          <w:lang w:val="es-ES_tradnl"/>
        </w:rPr>
        <w:t>,</w:t>
      </w:r>
      <w:r w:rsidR="003E3331" w:rsidRPr="00197A4D">
        <w:rPr>
          <w:rStyle w:val="FootnoteReference"/>
          <w:rFonts w:ascii="Book Antiqua" w:hAnsi="Book Antiqua"/>
          <w:lang w:val="es-ES_tradnl"/>
        </w:rPr>
        <w:footnoteReference w:id="1"/>
      </w:r>
      <w:r w:rsidR="003E3331" w:rsidRPr="00197A4D">
        <w:rPr>
          <w:rFonts w:ascii="Book Antiqua" w:hAnsi="Book Antiqua"/>
          <w:lang w:val="es-ES_tradnl"/>
        </w:rPr>
        <w:t xml:space="preserve"> </w:t>
      </w:r>
      <w:r w:rsidRPr="00197A4D">
        <w:rPr>
          <w:rFonts w:ascii="Book Antiqua" w:eastAsia="Times New Roman" w:hAnsi="Book Antiqua" w:cs="Times New Roman"/>
          <w:kern w:val="0"/>
          <w14:ligatures w14:val="none"/>
        </w:rPr>
        <w:t>se estableció un denominado programa de educación e información a los efectos de que las agencias y corporaciones públicas divulguen sus proyectos de mejoras que afecten la prestación de servicios básicos a la ciudadanía.</w:t>
      </w:r>
      <w:r w:rsidR="003E3331" w:rsidRPr="00197A4D">
        <w:rPr>
          <w:rStyle w:val="FootnoteReference"/>
          <w:rFonts w:ascii="Book Antiqua" w:eastAsia="Times New Roman" w:hAnsi="Book Antiqua"/>
          <w:kern w:val="0"/>
          <w14:ligatures w14:val="none"/>
        </w:rPr>
        <w:footnoteReference w:id="2"/>
      </w:r>
      <w:r w:rsidRPr="00197A4D">
        <w:rPr>
          <w:rFonts w:ascii="Book Antiqua" w:eastAsia="Times New Roman" w:hAnsi="Book Antiqua" w:cs="Times New Roman"/>
          <w:kern w:val="0"/>
          <w14:ligatures w14:val="none"/>
        </w:rPr>
        <w:t xml:space="preserve"> En síntesis, esta Ley se aprobó bajo la premisa de que, en una sociedad moderna como la nuestra, la disponibilidad de las utilidades básicas como el agua, la electricidad, la transportación, la telefonía y el Internet son fundamentales para garantizar la calidad de vida de los ciudadanos. La calidad y estabilidad en la prestación de los servicios básicos son un indicador del nivel de modernidad y de progreso de un país, dice la Exposición de Motivos de la Ley 98</w:t>
      </w:r>
      <w:r w:rsidR="00942C56" w:rsidRPr="00197A4D">
        <w:rPr>
          <w:rFonts w:ascii="Book Antiqua" w:eastAsia="Times New Roman" w:hAnsi="Book Antiqua" w:cs="Times New Roman"/>
          <w:kern w:val="0"/>
          <w14:ligatures w14:val="none"/>
        </w:rPr>
        <w:t>-2002</w:t>
      </w:r>
      <w:r w:rsidRPr="00197A4D">
        <w:rPr>
          <w:rFonts w:ascii="Book Antiqua" w:eastAsia="Times New Roman" w:hAnsi="Book Antiqua" w:cs="Times New Roman"/>
          <w:kern w:val="0"/>
          <w14:ligatures w14:val="none"/>
        </w:rPr>
        <w:t>.</w:t>
      </w:r>
    </w:p>
    <w:p w14:paraId="415E4797" w14:textId="77777777" w:rsidR="00C37770" w:rsidRPr="00197A4D" w:rsidRDefault="00C37770" w:rsidP="004746E9">
      <w:pPr>
        <w:spacing w:after="0" w:line="240" w:lineRule="auto"/>
        <w:ind w:firstLine="360"/>
        <w:jc w:val="both"/>
        <w:rPr>
          <w:rFonts w:ascii="Book Antiqua" w:eastAsia="Times New Roman" w:hAnsi="Book Antiqua" w:cs="Times New Roman"/>
          <w:kern w:val="0"/>
          <w14:ligatures w14:val="none"/>
        </w:rPr>
      </w:pPr>
    </w:p>
    <w:p w14:paraId="58ED3403" w14:textId="77777777" w:rsidR="00C37770" w:rsidRPr="00197A4D" w:rsidRDefault="00C37770" w:rsidP="003E3331">
      <w:pPr>
        <w:spacing w:after="0" w:line="360" w:lineRule="auto"/>
        <w:ind w:firstLine="360"/>
        <w:jc w:val="both"/>
        <w:rPr>
          <w:rFonts w:ascii="Book Antiqua" w:eastAsia="Times New Roman" w:hAnsi="Book Antiqua" w:cs="Times New Roman"/>
          <w:kern w:val="0"/>
          <w14:ligatures w14:val="none"/>
        </w:rPr>
      </w:pPr>
      <w:r w:rsidRPr="00197A4D">
        <w:rPr>
          <w:rFonts w:ascii="Book Antiqua" w:eastAsia="Times New Roman" w:hAnsi="Book Antiqua" w:cs="Times New Roman"/>
          <w:kern w:val="0"/>
          <w14:ligatures w14:val="none"/>
        </w:rPr>
        <w:t>Por otra parte, se planteó que esta infraestructura, además de ser un factor importante para el desarrollo económico de Puerto Rico, requiere que los ciudadanos y los clientes de estos servicios conozcan la forma en que se llevan a cabo las operaciones de estas agencias y cómo las mejoras a estos servicios les afectan. Periódicamente, las agencias gubernamentales llevan a cabo mejoras en su infraestructura, sin que medie una campaña de educación e información a los ciudadanos. Dicho esto, y considerando que la ausencia de uniformidad en los criterios de programas de educación e información para la ciudadanía, aumenta el riesgo de que algunos sectores de la población se vean afectados adversamente por estos procesos, causando problemas económicos y sociales, se entendió adecuado crear este programa de información sobre los servicios gubernamentales.</w:t>
      </w:r>
    </w:p>
    <w:p w14:paraId="1EF12DDC" w14:textId="77777777" w:rsidR="00C37770" w:rsidRPr="00197A4D" w:rsidRDefault="00C37770" w:rsidP="00696229">
      <w:pPr>
        <w:spacing w:after="0" w:line="240" w:lineRule="auto"/>
        <w:ind w:firstLine="360"/>
        <w:jc w:val="both"/>
        <w:rPr>
          <w:rFonts w:ascii="Book Antiqua" w:eastAsia="Times New Roman" w:hAnsi="Book Antiqua" w:cs="Times New Roman"/>
          <w:kern w:val="0"/>
          <w14:ligatures w14:val="none"/>
        </w:rPr>
      </w:pPr>
    </w:p>
    <w:p w14:paraId="23E05BB4" w14:textId="6C2E6464" w:rsidR="00FC1844" w:rsidRPr="00197A4D" w:rsidRDefault="00F95366" w:rsidP="00197A4D">
      <w:pPr>
        <w:spacing w:after="0" w:line="360" w:lineRule="auto"/>
        <w:ind w:firstLine="360"/>
        <w:jc w:val="both"/>
        <w:rPr>
          <w:rFonts w:ascii="Book Antiqua" w:eastAsia="Times New Roman" w:hAnsi="Book Antiqua" w:cs="Times New Roman"/>
          <w:kern w:val="0"/>
          <w14:ligatures w14:val="none"/>
        </w:rPr>
      </w:pPr>
      <w:r w:rsidRPr="00197A4D">
        <w:rPr>
          <w:rFonts w:ascii="Book Antiqua" w:eastAsia="Times New Roman" w:hAnsi="Book Antiqua" w:cs="Times New Roman"/>
          <w:kern w:val="0"/>
          <w14:ligatures w14:val="none"/>
        </w:rPr>
        <w:t xml:space="preserve">Dado que la Ley 98-2002 no contempla los adelantos tecnológicos actuales, se propone derogar dicha ley y consolidar sus disposiciones en la </w:t>
      </w:r>
      <w:r w:rsidRPr="00197A4D">
        <w:rPr>
          <w:rFonts w:ascii="Book Antiqua" w:eastAsia="Times New Roman" w:hAnsi="Book Antiqua" w:cs="Times New Roman"/>
          <w:i/>
          <w:iCs/>
          <w:kern w:val="0"/>
          <w14:ligatures w14:val="none"/>
        </w:rPr>
        <w:t>Ley de Gobierno Electrónico</w:t>
      </w:r>
      <w:r w:rsidRPr="00197A4D">
        <w:rPr>
          <w:rFonts w:ascii="Book Antiqua" w:eastAsia="Times New Roman" w:hAnsi="Book Antiqua" w:cs="Times New Roman"/>
          <w:kern w:val="0"/>
          <w14:ligatures w14:val="none"/>
        </w:rPr>
        <w:t xml:space="preserve">, </w:t>
      </w:r>
      <w:r w:rsidRPr="00197A4D">
        <w:rPr>
          <w:rFonts w:ascii="Book Antiqua" w:eastAsia="Times New Roman" w:hAnsi="Book Antiqua" w:cs="Times New Roman"/>
          <w:kern w:val="0"/>
          <w14:ligatures w14:val="none"/>
        </w:rPr>
        <w:lastRenderedPageBreak/>
        <w:t xml:space="preserve">asignando a la </w:t>
      </w:r>
      <w:r w:rsidRPr="00197A4D">
        <w:rPr>
          <w:rFonts w:ascii="Book Antiqua" w:eastAsia="Times New Roman" w:hAnsi="Book Antiqua" w:cs="Times New Roman"/>
          <w:i/>
          <w:iCs/>
          <w:kern w:val="0"/>
          <w14:ligatures w14:val="none"/>
        </w:rPr>
        <w:t>Puerto Rico Innovation and Technology Service (PRITS)</w:t>
      </w:r>
      <w:r w:rsidRPr="00197A4D">
        <w:rPr>
          <w:rFonts w:ascii="Book Antiqua" w:eastAsia="Times New Roman" w:hAnsi="Book Antiqua" w:cs="Times New Roman"/>
          <w:kern w:val="0"/>
          <w14:ligatures w14:val="none"/>
        </w:rPr>
        <w:t xml:space="preserve"> la responsabilidad de velar por su cumplimiento. Esta integración permitirá un enfoque más coordinado, efectivo y transparente en la divulgación de información sobre proyectos de infraestructura que impactan los servicios básicos a la ciudadanía.</w:t>
      </w:r>
    </w:p>
    <w:p w14:paraId="54377D71" w14:textId="5407CF3F" w:rsidR="00696229" w:rsidRPr="00197A4D" w:rsidRDefault="00675DC7" w:rsidP="00EF232F">
      <w:pPr>
        <w:spacing w:line="360" w:lineRule="auto"/>
        <w:ind w:firstLine="360"/>
        <w:jc w:val="both"/>
        <w:rPr>
          <w:rFonts w:ascii="Book Antiqua" w:eastAsia="Times New Roman" w:hAnsi="Book Antiqua" w:cs="Times New Roman"/>
          <w:kern w:val="0"/>
          <w:lang w:val="es-ES_tradnl"/>
          <w14:ligatures w14:val="none"/>
        </w:rPr>
      </w:pPr>
      <w:r w:rsidRPr="00197A4D">
        <w:rPr>
          <w:rFonts w:ascii="Book Antiqua" w:eastAsia="Times New Roman" w:hAnsi="Book Antiqua" w:cs="Times New Roman"/>
          <w:i/>
          <w:iCs/>
          <w:kern w:val="0"/>
          <w:lang w:val="es-ES_tradnl"/>
          <w14:ligatures w14:val="none"/>
        </w:rPr>
        <w:t xml:space="preserve"> </w:t>
      </w:r>
      <w:r w:rsidR="00A54AF0" w:rsidRPr="00197A4D">
        <w:rPr>
          <w:rFonts w:ascii="Book Antiqua" w:eastAsia="Times New Roman" w:hAnsi="Book Antiqua" w:cs="Times New Roman"/>
          <w:kern w:val="0"/>
          <w:lang w:val="es-ES_tradnl"/>
          <w14:ligatures w14:val="none"/>
        </w:rPr>
        <w:t>Habiéndose presentado ante nuestra consideración</w:t>
      </w:r>
      <w:r w:rsidR="00961C38" w:rsidRPr="00197A4D">
        <w:rPr>
          <w:rFonts w:ascii="Book Antiqua" w:eastAsia="Times New Roman" w:hAnsi="Book Antiqua" w:cs="Times New Roman"/>
          <w:kern w:val="0"/>
          <w:lang w:val="es-ES_tradnl"/>
          <w14:ligatures w14:val="none"/>
        </w:rPr>
        <w:t xml:space="preserve"> </w:t>
      </w:r>
      <w:r w:rsidR="00D65B74" w:rsidRPr="00197A4D">
        <w:rPr>
          <w:rFonts w:ascii="Book Antiqua" w:eastAsia="Times New Roman" w:hAnsi="Book Antiqua" w:cs="Times New Roman"/>
          <w:kern w:val="0"/>
          <w:lang w:val="es-ES_tradnl"/>
          <w14:ligatures w14:val="none"/>
        </w:rPr>
        <w:t>el Informe de la OPAL</w:t>
      </w:r>
      <w:r w:rsidR="00A217F4" w:rsidRPr="00197A4D">
        <w:rPr>
          <w:rFonts w:ascii="Book Antiqua" w:eastAsia="Times New Roman" w:hAnsi="Book Antiqua" w:cs="Times New Roman"/>
          <w:kern w:val="0"/>
          <w:lang w:val="es-ES_tradnl"/>
          <w14:ligatures w14:val="none"/>
        </w:rPr>
        <w:t>, y el Memorial Explicativo del PRITS</w:t>
      </w:r>
      <w:r w:rsidR="005C38F7" w:rsidRPr="00197A4D">
        <w:rPr>
          <w:rFonts w:ascii="Book Antiqua" w:eastAsia="Times New Roman" w:hAnsi="Book Antiqua" w:cs="Times New Roman"/>
          <w:kern w:val="0"/>
          <w:lang w:val="es-ES_tradnl"/>
          <w14:ligatures w14:val="none"/>
        </w:rPr>
        <w:t xml:space="preserve"> </w:t>
      </w:r>
      <w:r w:rsidR="00A54AF0" w:rsidRPr="00197A4D">
        <w:rPr>
          <w:rFonts w:ascii="Book Antiqua" w:eastAsia="Times New Roman" w:hAnsi="Book Antiqua" w:cs="Times New Roman"/>
          <w:kern w:val="0"/>
          <w:lang w:val="es-ES_tradnl"/>
          <w14:ligatures w14:val="none"/>
        </w:rPr>
        <w:t xml:space="preserve">procedemos al análisis. </w:t>
      </w:r>
    </w:p>
    <w:p w14:paraId="6D3F4264" w14:textId="305360F4" w:rsidR="00A54AF0" w:rsidRPr="00197A4D" w:rsidRDefault="00647DED" w:rsidP="00696229">
      <w:pPr>
        <w:spacing w:after="0" w:line="240" w:lineRule="auto"/>
        <w:jc w:val="center"/>
        <w:rPr>
          <w:rFonts w:ascii="Book Antiqua" w:eastAsia="Times New Roman" w:hAnsi="Book Antiqua" w:cs="Times New Roman"/>
          <w:b/>
          <w:kern w:val="0"/>
          <w14:ligatures w14:val="none"/>
        </w:rPr>
      </w:pPr>
      <w:r w:rsidRPr="00197A4D">
        <w:rPr>
          <w:rFonts w:ascii="Book Antiqua" w:eastAsia="Times New Roman" w:hAnsi="Book Antiqua" w:cs="Times New Roman"/>
          <w:b/>
          <w:kern w:val="0"/>
          <w14:ligatures w14:val="none"/>
        </w:rPr>
        <w:t>PONENCIAS</w:t>
      </w:r>
      <w:r w:rsidR="00635391" w:rsidRPr="00197A4D">
        <w:rPr>
          <w:rFonts w:ascii="Book Antiqua" w:eastAsia="Times New Roman" w:hAnsi="Book Antiqua" w:cs="Times New Roman"/>
          <w:b/>
          <w:kern w:val="0"/>
          <w14:ligatures w14:val="none"/>
        </w:rPr>
        <w:t>, INFORMES</w:t>
      </w:r>
      <w:r w:rsidRPr="00197A4D">
        <w:rPr>
          <w:rFonts w:ascii="Book Antiqua" w:eastAsia="Times New Roman" w:hAnsi="Book Antiqua" w:cs="Times New Roman"/>
          <w:b/>
          <w:kern w:val="0"/>
          <w14:ligatures w14:val="none"/>
        </w:rPr>
        <w:t xml:space="preserve"> O </w:t>
      </w:r>
      <w:r w:rsidR="00A54AF0" w:rsidRPr="00197A4D">
        <w:rPr>
          <w:rFonts w:ascii="Book Antiqua" w:eastAsia="Times New Roman" w:hAnsi="Book Antiqua" w:cs="Times New Roman"/>
          <w:b/>
          <w:kern w:val="0"/>
          <w14:ligatures w14:val="none"/>
        </w:rPr>
        <w:t>MEMORIALES RECIBID</w:t>
      </w:r>
      <w:r w:rsidRPr="00197A4D">
        <w:rPr>
          <w:rFonts w:ascii="Book Antiqua" w:eastAsia="Times New Roman" w:hAnsi="Book Antiqua" w:cs="Times New Roman"/>
          <w:b/>
          <w:kern w:val="0"/>
          <w14:ligatures w14:val="none"/>
        </w:rPr>
        <w:t>O</w:t>
      </w:r>
      <w:r w:rsidR="00A54AF0" w:rsidRPr="00197A4D">
        <w:rPr>
          <w:rFonts w:ascii="Book Antiqua" w:eastAsia="Times New Roman" w:hAnsi="Book Antiqua" w:cs="Times New Roman"/>
          <w:b/>
          <w:kern w:val="0"/>
          <w14:ligatures w14:val="none"/>
        </w:rPr>
        <w:t>S</w:t>
      </w:r>
    </w:p>
    <w:p w14:paraId="6E5682AF" w14:textId="77777777" w:rsidR="00635391" w:rsidRPr="00197A4D" w:rsidRDefault="00635391" w:rsidP="00696229">
      <w:pPr>
        <w:spacing w:after="0" w:line="240" w:lineRule="auto"/>
        <w:jc w:val="center"/>
        <w:rPr>
          <w:rFonts w:ascii="Book Antiqua" w:eastAsia="Times New Roman" w:hAnsi="Book Antiqua" w:cs="Times New Roman"/>
          <w:b/>
          <w:kern w:val="0"/>
          <w14:ligatures w14:val="none"/>
        </w:rPr>
      </w:pPr>
    </w:p>
    <w:p w14:paraId="47E07563" w14:textId="309AD3BD" w:rsidR="00635391" w:rsidRPr="00197A4D" w:rsidRDefault="00635391" w:rsidP="00635391">
      <w:pPr>
        <w:pStyle w:val="ListParagraph"/>
        <w:numPr>
          <w:ilvl w:val="0"/>
          <w:numId w:val="6"/>
        </w:numPr>
        <w:spacing w:after="0" w:line="240" w:lineRule="auto"/>
        <w:jc w:val="center"/>
        <w:rPr>
          <w:rFonts w:ascii="Book Antiqua" w:eastAsia="Times New Roman" w:hAnsi="Book Antiqua" w:cs="Times New Roman"/>
          <w:b/>
          <w:i/>
          <w:iCs/>
          <w:kern w:val="0"/>
          <w14:ligatures w14:val="none"/>
        </w:rPr>
      </w:pPr>
      <w:r w:rsidRPr="00197A4D">
        <w:rPr>
          <w:rFonts w:ascii="Book Antiqua" w:eastAsia="Times New Roman" w:hAnsi="Book Antiqua" w:cs="Times New Roman"/>
          <w:b/>
          <w:i/>
          <w:iCs/>
          <w:kern w:val="0"/>
          <w14:ligatures w14:val="none"/>
        </w:rPr>
        <w:t>Memoriales</w:t>
      </w:r>
    </w:p>
    <w:p w14:paraId="5D27736B" w14:textId="77777777" w:rsidR="00635391" w:rsidRPr="00197A4D" w:rsidRDefault="00635391" w:rsidP="00635391">
      <w:pPr>
        <w:spacing w:after="0" w:line="240" w:lineRule="auto"/>
        <w:ind w:left="360"/>
        <w:rPr>
          <w:rFonts w:ascii="Book Antiqua" w:eastAsia="Times New Roman" w:hAnsi="Book Antiqua" w:cs="Times New Roman"/>
          <w:b/>
          <w:i/>
          <w:iCs/>
          <w:kern w:val="0"/>
          <w14:ligatures w14:val="none"/>
        </w:rPr>
      </w:pPr>
    </w:p>
    <w:p w14:paraId="3BF5F2F0" w14:textId="69ED7740" w:rsidR="00635391" w:rsidRPr="00C37C0F" w:rsidRDefault="00635391" w:rsidP="00635391">
      <w:pPr>
        <w:spacing w:after="0" w:line="240" w:lineRule="auto"/>
        <w:ind w:left="360"/>
        <w:jc w:val="center"/>
        <w:rPr>
          <w:rFonts w:ascii="Book Antiqua" w:eastAsia="Times New Roman" w:hAnsi="Book Antiqua" w:cs="Times New Roman"/>
          <w:bCs/>
          <w:kern w:val="0"/>
          <w:u w:val="single"/>
          <w:lang w:val="en-US"/>
          <w14:ligatures w14:val="none"/>
        </w:rPr>
      </w:pPr>
      <w:r w:rsidRPr="00C37C0F">
        <w:rPr>
          <w:rFonts w:ascii="Book Antiqua" w:eastAsia="Times New Roman" w:hAnsi="Book Antiqua" w:cs="Times New Roman"/>
          <w:bCs/>
          <w:kern w:val="0"/>
          <w:u w:val="single"/>
          <w:lang w:val="en-US"/>
          <w14:ligatures w14:val="none"/>
        </w:rPr>
        <w:t>Puerto Rico Innovation and Technology Services (PRITS)</w:t>
      </w:r>
    </w:p>
    <w:p w14:paraId="58EF1D11" w14:textId="2E95BE00" w:rsidR="00635391" w:rsidRPr="00C37C0F" w:rsidRDefault="00635391" w:rsidP="002F61EF">
      <w:pPr>
        <w:spacing w:after="0" w:line="240" w:lineRule="auto"/>
        <w:ind w:left="360"/>
        <w:rPr>
          <w:rFonts w:ascii="Book Antiqua" w:eastAsia="Times New Roman" w:hAnsi="Book Antiqua" w:cs="Times New Roman"/>
          <w:bCs/>
          <w:kern w:val="0"/>
          <w:u w:val="single"/>
          <w:lang w:val="en-US"/>
          <w14:ligatures w14:val="none"/>
        </w:rPr>
      </w:pPr>
    </w:p>
    <w:p w14:paraId="6B3D3A7F" w14:textId="641ECC89" w:rsidR="002F61EF" w:rsidRPr="00197A4D" w:rsidRDefault="002F61EF" w:rsidP="002F61EF">
      <w:pPr>
        <w:spacing w:after="0" w:line="240" w:lineRule="auto"/>
        <w:ind w:left="360"/>
        <w:rPr>
          <w:rFonts w:ascii="Book Antiqua" w:eastAsia="Times New Roman" w:hAnsi="Book Antiqua" w:cs="Times New Roman"/>
          <w:bCs/>
          <w:kern w:val="0"/>
          <w14:ligatures w14:val="none"/>
        </w:rPr>
      </w:pPr>
      <w:r w:rsidRPr="00197A4D">
        <w:rPr>
          <w:rFonts w:ascii="Book Antiqua" w:eastAsia="Times New Roman" w:hAnsi="Book Antiqua" w:cs="Times New Roman"/>
          <w:bCs/>
          <w:kern w:val="0"/>
          <w14:ligatures w14:val="none"/>
        </w:rPr>
        <w:t xml:space="preserve">PRITS comenzó estableciendo que el P. de la C. 142 </w:t>
      </w:r>
    </w:p>
    <w:p w14:paraId="54AB85DA" w14:textId="77777777" w:rsidR="002F61EF" w:rsidRPr="00197A4D" w:rsidRDefault="002F61EF" w:rsidP="002F61EF">
      <w:pPr>
        <w:spacing w:after="0" w:line="240" w:lineRule="auto"/>
        <w:ind w:left="360"/>
        <w:rPr>
          <w:rFonts w:ascii="Book Antiqua" w:eastAsia="Times New Roman" w:hAnsi="Book Antiqua" w:cs="Times New Roman"/>
          <w:bCs/>
          <w:kern w:val="0"/>
          <w14:ligatures w14:val="none"/>
        </w:rPr>
      </w:pPr>
    </w:p>
    <w:p w14:paraId="27ACDA62" w14:textId="21A4BC3E" w:rsidR="002F61EF" w:rsidRPr="00197A4D" w:rsidRDefault="002F61EF" w:rsidP="002F61EF">
      <w:pPr>
        <w:spacing w:after="0" w:line="240" w:lineRule="auto"/>
        <w:ind w:left="720" w:right="720"/>
        <w:jc w:val="both"/>
        <w:rPr>
          <w:rFonts w:ascii="Book Antiqua" w:eastAsia="Times New Roman" w:hAnsi="Book Antiqua" w:cs="Times New Roman"/>
          <w:bCs/>
          <w:kern w:val="0"/>
          <w14:ligatures w14:val="none"/>
        </w:rPr>
      </w:pPr>
      <w:r w:rsidRPr="00197A4D">
        <w:rPr>
          <w:rFonts w:ascii="Book Antiqua" w:eastAsia="Times New Roman" w:hAnsi="Book Antiqua" w:cs="Times New Roman"/>
          <w:bCs/>
          <w:kern w:val="0"/>
          <w14:ligatures w14:val="none"/>
        </w:rPr>
        <w:t xml:space="preserve"> […] propone una reforma estructural que persigue integrar, en un andamiaje legal más moderno y efectivo, las disposiciones de una legislación aprobada hace más de dos décadas, la Ley Núm. [98-2002] supra, cuya finalidad continúa siendo pertinente, pero cuyo contenido requiere ser armonizado con los sistemas y plataforma</w:t>
      </w:r>
      <w:r w:rsidR="00F215FC" w:rsidRPr="00197A4D">
        <w:rPr>
          <w:rFonts w:ascii="Book Antiqua" w:eastAsia="Times New Roman" w:hAnsi="Book Antiqua" w:cs="Times New Roman"/>
          <w:bCs/>
          <w:kern w:val="0"/>
          <w14:ligatures w14:val="none"/>
        </w:rPr>
        <w:t>s</w:t>
      </w:r>
      <w:r w:rsidRPr="00197A4D">
        <w:rPr>
          <w:rFonts w:ascii="Book Antiqua" w:eastAsia="Times New Roman" w:hAnsi="Book Antiqua" w:cs="Times New Roman"/>
          <w:bCs/>
          <w:kern w:val="0"/>
          <w14:ligatures w14:val="none"/>
        </w:rPr>
        <w:t xml:space="preserve"> tecnológicas que hoy conforman la administración pública digital.</w:t>
      </w:r>
      <w:r w:rsidRPr="00197A4D">
        <w:rPr>
          <w:rStyle w:val="FootnoteReference"/>
          <w:rFonts w:ascii="Book Antiqua" w:eastAsia="Times New Roman" w:hAnsi="Book Antiqua"/>
          <w:bCs/>
          <w:kern w:val="0"/>
          <w14:ligatures w14:val="none"/>
        </w:rPr>
        <w:footnoteReference w:id="3"/>
      </w:r>
      <w:r w:rsidRPr="00197A4D">
        <w:rPr>
          <w:rFonts w:ascii="Book Antiqua" w:eastAsia="Times New Roman" w:hAnsi="Book Antiqua" w:cs="Times New Roman"/>
          <w:bCs/>
          <w:kern w:val="0"/>
          <w14:ligatures w14:val="none"/>
        </w:rPr>
        <w:t xml:space="preserve"> </w:t>
      </w:r>
    </w:p>
    <w:p w14:paraId="4A1457BD" w14:textId="77777777" w:rsidR="00F215FC" w:rsidRPr="00197A4D" w:rsidRDefault="00F215FC" w:rsidP="00F215FC">
      <w:pPr>
        <w:spacing w:after="0" w:line="240" w:lineRule="auto"/>
        <w:ind w:right="720"/>
        <w:jc w:val="both"/>
        <w:rPr>
          <w:rFonts w:ascii="Book Antiqua" w:eastAsia="Times New Roman" w:hAnsi="Book Antiqua" w:cs="Times New Roman"/>
          <w:bCs/>
          <w:kern w:val="0"/>
          <w14:ligatures w14:val="none"/>
        </w:rPr>
      </w:pPr>
    </w:p>
    <w:p w14:paraId="446F6AA9" w14:textId="6FED6FCD" w:rsidR="00F215FC" w:rsidRDefault="00F215FC" w:rsidP="00C37C0F">
      <w:pPr>
        <w:spacing w:after="0" w:line="360" w:lineRule="auto"/>
        <w:ind w:firstLine="360"/>
        <w:jc w:val="both"/>
        <w:rPr>
          <w:rFonts w:ascii="Book Antiqua" w:eastAsia="Times New Roman" w:hAnsi="Book Antiqua" w:cs="Times New Roman"/>
          <w:bCs/>
          <w:kern w:val="0"/>
          <w14:ligatures w14:val="none"/>
        </w:rPr>
      </w:pPr>
      <w:r w:rsidRPr="00197A4D">
        <w:rPr>
          <w:rFonts w:ascii="Book Antiqua" w:eastAsia="Times New Roman" w:hAnsi="Book Antiqua" w:cs="Times New Roman"/>
          <w:bCs/>
          <w:kern w:val="0"/>
          <w14:ligatures w14:val="none"/>
        </w:rPr>
        <w:t>Además, expres</w:t>
      </w:r>
      <w:r w:rsidR="00C37C0F">
        <w:rPr>
          <w:rFonts w:ascii="Book Antiqua" w:eastAsia="Times New Roman" w:hAnsi="Book Antiqua" w:cs="Times New Roman"/>
          <w:bCs/>
          <w:kern w:val="0"/>
          <w14:ligatures w14:val="none"/>
        </w:rPr>
        <w:t>ó</w:t>
      </w:r>
      <w:r w:rsidRPr="00197A4D">
        <w:rPr>
          <w:rFonts w:ascii="Book Antiqua" w:eastAsia="Times New Roman" w:hAnsi="Book Antiqua" w:cs="Times New Roman"/>
          <w:bCs/>
          <w:kern w:val="0"/>
          <w14:ligatures w14:val="none"/>
        </w:rPr>
        <w:t xml:space="preserve"> que la propuesta “representa un avace al delegar dicha función a nuestra agencia que […] poseemos el andamiaje legal, técnico y organizacional para supervisar, coordinar y estandarizar las iniciativas tecnológias e informativas del Estado.”</w:t>
      </w:r>
      <w:r w:rsidRPr="00197A4D">
        <w:rPr>
          <w:rStyle w:val="FootnoteReference"/>
          <w:rFonts w:ascii="Book Antiqua" w:eastAsia="Times New Roman" w:hAnsi="Book Antiqua"/>
          <w:bCs/>
          <w:kern w:val="0"/>
          <w14:ligatures w14:val="none"/>
        </w:rPr>
        <w:footnoteReference w:id="4"/>
      </w:r>
      <w:r w:rsidRPr="00197A4D">
        <w:rPr>
          <w:rFonts w:ascii="Book Antiqua" w:eastAsia="Times New Roman" w:hAnsi="Book Antiqua" w:cs="Times New Roman"/>
          <w:bCs/>
          <w:kern w:val="0"/>
          <w14:ligatures w14:val="none"/>
        </w:rPr>
        <w:t xml:space="preserve"> De igual manera, consider</w:t>
      </w:r>
      <w:r w:rsidR="00C37C0F">
        <w:rPr>
          <w:rFonts w:ascii="Book Antiqua" w:eastAsia="Times New Roman" w:hAnsi="Book Antiqua" w:cs="Times New Roman"/>
          <w:bCs/>
          <w:kern w:val="0"/>
          <w14:ligatures w14:val="none"/>
        </w:rPr>
        <w:t>ó</w:t>
      </w:r>
      <w:r w:rsidRPr="00197A4D">
        <w:rPr>
          <w:rFonts w:ascii="Book Antiqua" w:eastAsia="Times New Roman" w:hAnsi="Book Antiqua" w:cs="Times New Roman"/>
          <w:bCs/>
          <w:kern w:val="0"/>
          <w14:ligatures w14:val="none"/>
        </w:rPr>
        <w:t xml:space="preserve"> que </w:t>
      </w:r>
      <w:r w:rsidR="00EF232F" w:rsidRPr="00197A4D">
        <w:rPr>
          <w:rFonts w:ascii="Book Antiqua" w:eastAsia="Times New Roman" w:hAnsi="Book Antiqua" w:cs="Times New Roman"/>
          <w:bCs/>
          <w:kern w:val="0"/>
          <w14:ligatures w14:val="none"/>
        </w:rPr>
        <w:t>“fortalece los principios de accesibilidad, transparencia y rendición de cuentas que oriental el modelo de gobernanza actual”</w:t>
      </w:r>
      <w:r w:rsidR="00EF232F" w:rsidRPr="00197A4D">
        <w:rPr>
          <w:rStyle w:val="FootnoteReference"/>
          <w:rFonts w:ascii="Book Antiqua" w:eastAsia="Times New Roman" w:hAnsi="Book Antiqua"/>
          <w:bCs/>
          <w:kern w:val="0"/>
          <w14:ligatures w14:val="none"/>
        </w:rPr>
        <w:footnoteReference w:id="5"/>
      </w:r>
      <w:r w:rsidR="00EF232F" w:rsidRPr="00197A4D">
        <w:rPr>
          <w:rFonts w:ascii="Book Antiqua" w:eastAsia="Times New Roman" w:hAnsi="Book Antiqua" w:cs="Times New Roman"/>
          <w:bCs/>
          <w:kern w:val="0"/>
          <w14:ligatures w14:val="none"/>
        </w:rPr>
        <w:t xml:space="preserve"> y refuera y reestructura el debr sustantivo de la Ley Núm. 98-2002, </w:t>
      </w:r>
      <w:r w:rsidR="00EF232F" w:rsidRPr="00197A4D">
        <w:rPr>
          <w:rFonts w:ascii="Book Antiqua" w:eastAsia="Times New Roman" w:hAnsi="Book Antiqua" w:cs="Times New Roman"/>
          <w:bCs/>
          <w:i/>
          <w:iCs/>
          <w:kern w:val="0"/>
          <w14:ligatures w14:val="none"/>
        </w:rPr>
        <w:t>supra</w:t>
      </w:r>
      <w:r w:rsidR="00EF232F" w:rsidRPr="00197A4D">
        <w:rPr>
          <w:rFonts w:ascii="Book Antiqua" w:eastAsia="Times New Roman" w:hAnsi="Book Antiqua" w:cs="Times New Roman"/>
          <w:bCs/>
          <w:kern w:val="0"/>
          <w14:ligatures w14:val="none"/>
        </w:rPr>
        <w:t>, dentro de un marco normativo más amplio y funcional</w:t>
      </w:r>
      <w:r w:rsidR="00EF232F" w:rsidRPr="00197A4D">
        <w:rPr>
          <w:rStyle w:val="FootnoteReference"/>
          <w:rFonts w:ascii="Book Antiqua" w:eastAsia="Times New Roman" w:hAnsi="Book Antiqua"/>
          <w:bCs/>
          <w:kern w:val="0"/>
          <w14:ligatures w14:val="none"/>
        </w:rPr>
        <w:footnoteReference w:id="6"/>
      </w:r>
      <w:r w:rsidR="00EF232F" w:rsidRPr="00197A4D">
        <w:rPr>
          <w:rFonts w:ascii="Book Antiqua" w:eastAsia="Times New Roman" w:hAnsi="Book Antiqua" w:cs="Times New Roman"/>
          <w:bCs/>
          <w:kern w:val="0"/>
          <w14:ligatures w14:val="none"/>
        </w:rPr>
        <w:t>. Por tales motivos, PRITS respald</w:t>
      </w:r>
      <w:r w:rsidR="00435BDA">
        <w:rPr>
          <w:rFonts w:ascii="Book Antiqua" w:eastAsia="Times New Roman" w:hAnsi="Book Antiqua" w:cs="Times New Roman"/>
          <w:bCs/>
          <w:kern w:val="0"/>
          <w14:ligatures w14:val="none"/>
        </w:rPr>
        <w:t>ó</w:t>
      </w:r>
      <w:r w:rsidR="00EF232F" w:rsidRPr="00197A4D">
        <w:rPr>
          <w:rFonts w:ascii="Book Antiqua" w:eastAsia="Times New Roman" w:hAnsi="Book Antiqua" w:cs="Times New Roman"/>
          <w:bCs/>
          <w:kern w:val="0"/>
          <w14:ligatures w14:val="none"/>
        </w:rPr>
        <w:t xml:space="preserve"> la aprobación del P. de la C. 142.</w:t>
      </w:r>
      <w:r w:rsidR="00EF232F" w:rsidRPr="00197A4D">
        <w:rPr>
          <w:rStyle w:val="FootnoteReference"/>
          <w:rFonts w:ascii="Book Antiqua" w:eastAsia="Times New Roman" w:hAnsi="Book Antiqua"/>
          <w:bCs/>
          <w:kern w:val="0"/>
          <w14:ligatures w14:val="none"/>
        </w:rPr>
        <w:footnoteReference w:id="7"/>
      </w:r>
    </w:p>
    <w:p w14:paraId="673F2B39" w14:textId="77777777" w:rsidR="00197A4D" w:rsidRDefault="00197A4D" w:rsidP="00F215FC">
      <w:pPr>
        <w:spacing w:after="0" w:line="360" w:lineRule="auto"/>
        <w:jc w:val="both"/>
        <w:rPr>
          <w:rFonts w:ascii="Book Antiqua" w:eastAsia="Times New Roman" w:hAnsi="Book Antiqua" w:cs="Times New Roman"/>
          <w:bCs/>
          <w:kern w:val="0"/>
          <w14:ligatures w14:val="none"/>
        </w:rPr>
      </w:pPr>
    </w:p>
    <w:p w14:paraId="6CC75D20" w14:textId="77777777" w:rsidR="00197A4D" w:rsidRPr="00197A4D" w:rsidRDefault="00197A4D" w:rsidP="00F215FC">
      <w:pPr>
        <w:spacing w:after="0" w:line="360" w:lineRule="auto"/>
        <w:jc w:val="both"/>
        <w:rPr>
          <w:rFonts w:ascii="Book Antiqua" w:eastAsia="Times New Roman" w:hAnsi="Book Antiqua" w:cs="Times New Roman"/>
          <w:bCs/>
          <w:kern w:val="0"/>
          <w14:ligatures w14:val="none"/>
        </w:rPr>
      </w:pPr>
    </w:p>
    <w:p w14:paraId="782A9BBB" w14:textId="77777777" w:rsidR="00635391" w:rsidRPr="00197A4D" w:rsidRDefault="00635391" w:rsidP="00696229">
      <w:pPr>
        <w:spacing w:after="0" w:line="240" w:lineRule="auto"/>
        <w:jc w:val="center"/>
        <w:rPr>
          <w:rFonts w:ascii="Book Antiqua" w:eastAsia="Times New Roman" w:hAnsi="Book Antiqua" w:cs="Times New Roman"/>
          <w:b/>
          <w:kern w:val="0"/>
          <w14:ligatures w14:val="none"/>
        </w:rPr>
      </w:pPr>
    </w:p>
    <w:p w14:paraId="03248CDD" w14:textId="601C4992" w:rsidR="00635391" w:rsidRPr="00197A4D" w:rsidRDefault="00635391" w:rsidP="00635391">
      <w:pPr>
        <w:pStyle w:val="ListParagraph"/>
        <w:numPr>
          <w:ilvl w:val="0"/>
          <w:numId w:val="6"/>
        </w:numPr>
        <w:spacing w:after="0" w:line="240" w:lineRule="auto"/>
        <w:jc w:val="center"/>
        <w:rPr>
          <w:rFonts w:ascii="Book Antiqua" w:eastAsia="Times New Roman" w:hAnsi="Book Antiqua" w:cs="Times New Roman"/>
          <w:b/>
          <w:i/>
          <w:iCs/>
          <w:kern w:val="0"/>
          <w14:ligatures w14:val="none"/>
        </w:rPr>
      </w:pPr>
      <w:r w:rsidRPr="00197A4D">
        <w:rPr>
          <w:rFonts w:ascii="Book Antiqua" w:eastAsia="Times New Roman" w:hAnsi="Book Antiqua" w:cs="Times New Roman"/>
          <w:b/>
          <w:i/>
          <w:iCs/>
          <w:kern w:val="0"/>
          <w14:ligatures w14:val="none"/>
        </w:rPr>
        <w:t>Informes</w:t>
      </w:r>
    </w:p>
    <w:p w14:paraId="367DC2FC" w14:textId="77777777" w:rsidR="00991866" w:rsidRPr="00197A4D" w:rsidRDefault="00991866" w:rsidP="00696229">
      <w:pPr>
        <w:spacing w:after="0" w:line="240" w:lineRule="auto"/>
        <w:contextualSpacing/>
        <w:rPr>
          <w:rFonts w:ascii="Book Antiqua" w:eastAsia="Times New Roman" w:hAnsi="Book Antiqua" w:cs="Times New Roman"/>
          <w:bCs/>
          <w:i/>
          <w:iCs/>
          <w:kern w:val="0"/>
          <w14:ligatures w14:val="none"/>
        </w:rPr>
      </w:pPr>
    </w:p>
    <w:p w14:paraId="43104103" w14:textId="0F5D266D" w:rsidR="00991866" w:rsidRPr="00197A4D" w:rsidRDefault="00991866" w:rsidP="00696229">
      <w:pPr>
        <w:spacing w:after="0" w:line="240" w:lineRule="auto"/>
        <w:ind w:left="360"/>
        <w:jc w:val="center"/>
        <w:rPr>
          <w:rFonts w:ascii="Book Antiqua" w:hAnsi="Book Antiqua" w:cs="Times New Roman"/>
          <w:u w:val="single"/>
        </w:rPr>
      </w:pPr>
      <w:r w:rsidRPr="00197A4D">
        <w:rPr>
          <w:rFonts w:ascii="Book Antiqua" w:hAnsi="Book Antiqua" w:cs="Times New Roman"/>
          <w:u w:val="single"/>
        </w:rPr>
        <w:t>Oficina de Presupuesto de la Asamblea Legislativa (OPAL)</w:t>
      </w:r>
    </w:p>
    <w:p w14:paraId="09684AE6" w14:textId="77777777" w:rsidR="007006E3" w:rsidRPr="00197A4D" w:rsidRDefault="007006E3" w:rsidP="00696229">
      <w:pPr>
        <w:spacing w:after="0" w:line="240" w:lineRule="auto"/>
        <w:ind w:left="360"/>
        <w:jc w:val="center"/>
        <w:rPr>
          <w:rFonts w:ascii="Book Antiqua" w:hAnsi="Book Antiqua" w:cs="Times New Roman"/>
          <w:u w:val="single"/>
        </w:rPr>
      </w:pPr>
    </w:p>
    <w:p w14:paraId="3DF4EF42" w14:textId="1AA1047B" w:rsidR="00EF232F" w:rsidRDefault="000F731B" w:rsidP="00EF232F">
      <w:pPr>
        <w:pStyle w:val="ListParagraph"/>
        <w:spacing w:after="0" w:line="360" w:lineRule="auto"/>
        <w:ind w:left="0" w:firstLine="360"/>
        <w:jc w:val="both"/>
        <w:rPr>
          <w:rFonts w:ascii="Book Antiqua" w:hAnsi="Book Antiqua" w:cs="Times New Roman"/>
        </w:rPr>
      </w:pPr>
      <w:r w:rsidRPr="00197A4D">
        <w:rPr>
          <w:rFonts w:ascii="Book Antiqua" w:hAnsi="Book Antiqua" w:cs="Times New Roman"/>
        </w:rPr>
        <w:t>La Oficina de Presupuesto de la Asamblea Legislativa (OPAL) evaluó el efecto fiscal del Proyecto de la Cámara 142, el cual propone derogar la Ley Núm. 98-2002</w:t>
      </w:r>
      <w:r w:rsidR="00635391" w:rsidRPr="00197A4D">
        <w:rPr>
          <w:rFonts w:ascii="Book Antiqua" w:hAnsi="Book Antiqua" w:cs="Times New Roman"/>
        </w:rPr>
        <w:t xml:space="preserve">, </w:t>
      </w:r>
      <w:r w:rsidR="00635391" w:rsidRPr="00197A4D">
        <w:rPr>
          <w:rFonts w:ascii="Book Antiqua" w:hAnsi="Book Antiqua" w:cs="Times New Roman"/>
          <w:i/>
          <w:iCs/>
        </w:rPr>
        <w:t>supra</w:t>
      </w:r>
      <w:r w:rsidR="00635391" w:rsidRPr="00197A4D">
        <w:rPr>
          <w:rFonts w:ascii="Book Antiqua" w:hAnsi="Book Antiqua" w:cs="Times New Roman"/>
        </w:rPr>
        <w:t>,</w:t>
      </w:r>
      <w:r w:rsidRPr="00197A4D">
        <w:rPr>
          <w:rFonts w:ascii="Book Antiqua" w:hAnsi="Book Antiqua" w:cs="Times New Roman"/>
        </w:rPr>
        <w:t xml:space="preserve"> para consolidar sus disposiciones en la Ley Núm. 151-2004</w:t>
      </w:r>
      <w:r w:rsidR="00635391" w:rsidRPr="00197A4D">
        <w:rPr>
          <w:rFonts w:ascii="Book Antiqua" w:hAnsi="Book Antiqua" w:cs="Times New Roman"/>
        </w:rPr>
        <w:t xml:space="preserve">, </w:t>
      </w:r>
      <w:r w:rsidR="00635391" w:rsidRPr="00197A4D">
        <w:rPr>
          <w:rFonts w:ascii="Book Antiqua" w:hAnsi="Book Antiqua" w:cs="Times New Roman"/>
          <w:i/>
          <w:iCs/>
        </w:rPr>
        <w:t>supra</w:t>
      </w:r>
      <w:r w:rsidRPr="00197A4D">
        <w:rPr>
          <w:rFonts w:ascii="Book Antiqua" w:hAnsi="Book Antiqua" w:cs="Times New Roman"/>
        </w:rPr>
        <w:t xml:space="preserve">. Tras analizar el contenido y alcance de la medida, </w:t>
      </w:r>
      <w:r w:rsidR="002C7239" w:rsidRPr="00197A4D">
        <w:rPr>
          <w:rFonts w:ascii="Book Antiqua" w:hAnsi="Book Antiqua" w:cs="Times New Roman"/>
        </w:rPr>
        <w:t xml:space="preserve">la </w:t>
      </w:r>
      <w:r w:rsidRPr="00197A4D">
        <w:rPr>
          <w:rFonts w:ascii="Book Antiqua" w:hAnsi="Book Antiqua" w:cs="Times New Roman"/>
        </w:rPr>
        <w:t>OPAL concluyó que la aprobación del P. de la C. 142 no tendría impacto fiscal sobre el Fondo General, ya que las obligaciones y deberes de las agencias se mantienen inalterados.</w:t>
      </w:r>
      <w:r w:rsidR="00635391" w:rsidRPr="00197A4D">
        <w:rPr>
          <w:rStyle w:val="FootnoteReference"/>
          <w:rFonts w:ascii="Book Antiqua" w:hAnsi="Book Antiqua"/>
        </w:rPr>
        <w:footnoteReference w:id="8"/>
      </w:r>
      <w:r w:rsidRPr="00197A4D">
        <w:rPr>
          <w:rFonts w:ascii="Book Antiqua" w:hAnsi="Book Antiqua" w:cs="Times New Roman"/>
        </w:rPr>
        <w:t xml:space="preserve"> </w:t>
      </w:r>
      <w:r w:rsidR="00EF232F" w:rsidRPr="00197A4D">
        <w:rPr>
          <w:rFonts w:ascii="Book Antiqua" w:hAnsi="Book Antiqua" w:cs="Times New Roman"/>
        </w:rPr>
        <w:t>Resume que el P. de la C. 142</w:t>
      </w:r>
      <w:r w:rsidRPr="00197A4D">
        <w:rPr>
          <w:rFonts w:ascii="Book Antiqua" w:hAnsi="Book Antiqua" w:cs="Times New Roman"/>
        </w:rPr>
        <w:t xml:space="preserve"> establece que las agencias deberán crear y divulgar programas de educación e información sobre sus proyectos de mejoras de infraestructura que afecten la prestación de servicios básicos, integrando estos requisitos en la Ley de Gobierno Electrónico.</w:t>
      </w:r>
      <w:r w:rsidR="00635391" w:rsidRPr="00197A4D">
        <w:rPr>
          <w:rStyle w:val="FootnoteReference"/>
          <w:rFonts w:ascii="Book Antiqua" w:hAnsi="Book Antiqua"/>
        </w:rPr>
        <w:footnoteReference w:id="9"/>
      </w:r>
      <w:r w:rsidRPr="00197A4D">
        <w:rPr>
          <w:rFonts w:ascii="Book Antiqua" w:hAnsi="Book Antiqua" w:cs="Times New Roman"/>
        </w:rPr>
        <w:t xml:space="preserve"> </w:t>
      </w:r>
      <w:r w:rsidR="00EF232F" w:rsidRPr="00197A4D">
        <w:rPr>
          <w:rFonts w:ascii="Book Antiqua" w:hAnsi="Book Antiqua" w:cs="Times New Roman"/>
        </w:rPr>
        <w:t>Por tanto, concluye que</w:t>
      </w:r>
      <w:r w:rsidRPr="00197A4D">
        <w:rPr>
          <w:rFonts w:ascii="Book Antiqua" w:hAnsi="Book Antiqua" w:cs="Times New Roman"/>
        </w:rPr>
        <w:t xml:space="preserve"> no genera nuevos gastos ni ingresos para el Estado, limitándose a consolidar y actualizar la normativa existente en materia de información y orientación ciudadana.</w:t>
      </w:r>
      <w:r w:rsidR="00635391" w:rsidRPr="00197A4D">
        <w:rPr>
          <w:rStyle w:val="FootnoteReference"/>
          <w:rFonts w:ascii="Book Antiqua" w:hAnsi="Book Antiqua"/>
        </w:rPr>
        <w:footnoteReference w:id="10"/>
      </w:r>
    </w:p>
    <w:p w14:paraId="0F98EEDB" w14:textId="77777777" w:rsidR="00197A4D" w:rsidRDefault="00197A4D" w:rsidP="00197A4D">
      <w:pPr>
        <w:spacing w:after="0" w:line="360" w:lineRule="auto"/>
        <w:jc w:val="both"/>
        <w:rPr>
          <w:rFonts w:ascii="Book Antiqua" w:hAnsi="Book Antiqua" w:cs="Times New Roman"/>
        </w:rPr>
      </w:pPr>
    </w:p>
    <w:p w14:paraId="26912965" w14:textId="6059AC46" w:rsidR="00197A4D" w:rsidRPr="00435BDA" w:rsidRDefault="00435BDA" w:rsidP="00435BDA">
      <w:pPr>
        <w:spacing w:after="0" w:line="360" w:lineRule="auto"/>
        <w:jc w:val="center"/>
        <w:rPr>
          <w:rFonts w:ascii="Book Antiqua" w:hAnsi="Book Antiqua" w:cs="Times New Roman"/>
          <w:b/>
          <w:bCs/>
        </w:rPr>
      </w:pPr>
      <w:r w:rsidRPr="00435BDA">
        <w:rPr>
          <w:rFonts w:ascii="Book Antiqua" w:hAnsi="Book Antiqua" w:cs="Times New Roman"/>
          <w:b/>
          <w:bCs/>
        </w:rPr>
        <w:t>VISTAS PÚBLICAS</w:t>
      </w:r>
    </w:p>
    <w:p w14:paraId="7F720FF3" w14:textId="29026070" w:rsidR="00197A4D" w:rsidRPr="00435BDA" w:rsidRDefault="00197A4D" w:rsidP="00435BDA">
      <w:pPr>
        <w:spacing w:after="0" w:line="360" w:lineRule="auto"/>
        <w:ind w:firstLine="720"/>
        <w:jc w:val="both"/>
        <w:rPr>
          <w:rFonts w:ascii="Book Antiqua" w:hAnsi="Book Antiqua" w:cs="Times New Roman"/>
        </w:rPr>
      </w:pPr>
      <w:r>
        <w:rPr>
          <w:rFonts w:ascii="Book Antiqua" w:hAnsi="Book Antiqua" w:cs="Times New Roman"/>
        </w:rPr>
        <w:t xml:space="preserve">El 11 de septiembre de 2025 se celebró una </w:t>
      </w:r>
      <w:r w:rsidRPr="00704E78">
        <w:rPr>
          <w:rFonts w:ascii="Book Antiqua" w:hAnsi="Book Antiqua" w:cs="Times New Roman"/>
          <w:i/>
          <w:iCs/>
        </w:rPr>
        <w:t>Vista Pública</w:t>
      </w:r>
      <w:r>
        <w:rPr>
          <w:rFonts w:ascii="Book Antiqua" w:hAnsi="Book Antiqua" w:cs="Times New Roman"/>
        </w:rPr>
        <w:t xml:space="preserve">, entre 10:15 a.m. y 10:26 a.m., en el Saló de Sesiones 3 del edifico Anexo de la Cámara de Representantes de Puerto Rico. Estuvieron presentes el Presidente de la Comisión, Hon. Ángel A. Morey Noble, el viepresidente de la Comisión, Hon. Víctor Parés Otero, y el Hon. Ramón Torres Cruz. En dicha Vista Pública se informó que PRITS entregó el </w:t>
      </w:r>
      <w:r w:rsidRPr="00CE7FFC">
        <w:rPr>
          <w:rFonts w:ascii="Book Antiqua" w:hAnsi="Book Antiqua" w:cs="Times New Roman"/>
          <w:i/>
          <w:iCs/>
        </w:rPr>
        <w:t>Memorial Explicativo</w:t>
      </w:r>
      <w:r>
        <w:rPr>
          <w:rFonts w:ascii="Book Antiqua" w:hAnsi="Book Antiqua" w:cs="Times New Roman"/>
        </w:rPr>
        <w:t xml:space="preserve"> el 10 de septiembre de 2025, y se excusó su comparecencia. Además, se dieron por leídas tanto el </w:t>
      </w:r>
      <w:r w:rsidRPr="001A6F78">
        <w:rPr>
          <w:rFonts w:ascii="Book Antiqua" w:hAnsi="Book Antiqua" w:cs="Times New Roman"/>
          <w:i/>
          <w:iCs/>
        </w:rPr>
        <w:t>Memorial Explicativo</w:t>
      </w:r>
      <w:r>
        <w:rPr>
          <w:rFonts w:ascii="Book Antiqua" w:hAnsi="Book Antiqua" w:cs="Times New Roman"/>
        </w:rPr>
        <w:t xml:space="preserve"> del PRITS como el Informe de la OPAL. </w:t>
      </w:r>
    </w:p>
    <w:p w14:paraId="115914DA" w14:textId="78C55A22" w:rsidR="006736F9" w:rsidRPr="00197A4D" w:rsidRDefault="00A54AF0" w:rsidP="00EF232F">
      <w:pPr>
        <w:spacing w:line="360" w:lineRule="auto"/>
        <w:jc w:val="center"/>
        <w:rPr>
          <w:rFonts w:ascii="Book Antiqua" w:eastAsia="Times New Roman" w:hAnsi="Book Antiqua" w:cs="Times New Roman"/>
          <w:b/>
          <w:kern w:val="0"/>
          <w14:ligatures w14:val="none"/>
        </w:rPr>
      </w:pPr>
      <w:r w:rsidRPr="00197A4D">
        <w:rPr>
          <w:rFonts w:ascii="Book Antiqua" w:eastAsia="Times New Roman" w:hAnsi="Book Antiqua" w:cs="Times New Roman"/>
          <w:b/>
          <w:kern w:val="0"/>
          <w14:ligatures w14:val="none"/>
        </w:rPr>
        <w:lastRenderedPageBreak/>
        <w:t>ANÁLISIS DE LA MEDIDA</w:t>
      </w:r>
    </w:p>
    <w:p w14:paraId="6D1E4117" w14:textId="2E7F8514" w:rsidR="00865FC4" w:rsidRPr="00197A4D" w:rsidRDefault="00865FC4" w:rsidP="00EF232F">
      <w:pPr>
        <w:spacing w:line="360" w:lineRule="auto"/>
        <w:ind w:firstLine="360"/>
        <w:jc w:val="both"/>
        <w:rPr>
          <w:rFonts w:ascii="Book Antiqua" w:hAnsi="Book Antiqua" w:cs="ArialMT"/>
        </w:rPr>
      </w:pPr>
      <w:r w:rsidRPr="00197A4D">
        <w:rPr>
          <w:rFonts w:ascii="Book Antiqua" w:hAnsi="Book Antiqua" w:cs="ArialMT"/>
        </w:rPr>
        <w:t>El Proyecto de la Cámara 142 representa una actualización y consolidación normativa en materia de transparencia y educación ciudadana respecto a los proyectos de mejoras de infraestructura que afectan servicios básicos en Puerto Rico. La medida propone enmendar el Artículo 7 de la Ley 151-2004</w:t>
      </w:r>
      <w:r w:rsidR="00635391" w:rsidRPr="00197A4D">
        <w:rPr>
          <w:rFonts w:ascii="Book Antiqua" w:hAnsi="Book Antiqua" w:cs="ArialMT"/>
        </w:rPr>
        <w:t xml:space="preserve">, </w:t>
      </w:r>
      <w:r w:rsidR="00635391" w:rsidRPr="00197A4D">
        <w:rPr>
          <w:rFonts w:ascii="Book Antiqua" w:hAnsi="Book Antiqua" w:cs="ArialMT"/>
          <w:i/>
          <w:iCs/>
        </w:rPr>
        <w:t>supra</w:t>
      </w:r>
      <w:r w:rsidR="00635391" w:rsidRPr="00197A4D">
        <w:rPr>
          <w:rFonts w:ascii="Book Antiqua" w:hAnsi="Book Antiqua" w:cs="ArialMT"/>
        </w:rPr>
        <w:t>,</w:t>
      </w:r>
      <w:r w:rsidR="002750B4" w:rsidRPr="00197A4D">
        <w:rPr>
          <w:rFonts w:ascii="Book Antiqua" w:hAnsi="Book Antiqua" w:cs="ArialMT"/>
        </w:rPr>
        <w:t xml:space="preserve"> </w:t>
      </w:r>
      <w:r w:rsidRPr="00197A4D">
        <w:rPr>
          <w:rFonts w:ascii="Book Antiqua" w:hAnsi="Book Antiqua" w:cs="ArialMT"/>
        </w:rPr>
        <w:t>para incorporar en ella las disposiciones de la derogada Ley 98-2002,</w:t>
      </w:r>
      <w:r w:rsidR="00635391" w:rsidRPr="00197A4D">
        <w:rPr>
          <w:rFonts w:ascii="Book Antiqua" w:hAnsi="Book Antiqua" w:cs="ArialMT"/>
        </w:rPr>
        <w:t xml:space="preserve"> </w:t>
      </w:r>
      <w:r w:rsidR="00635391" w:rsidRPr="00197A4D">
        <w:rPr>
          <w:rFonts w:ascii="Book Antiqua" w:hAnsi="Book Antiqua" w:cs="ArialMT"/>
          <w:i/>
          <w:iCs/>
        </w:rPr>
        <w:t>supra</w:t>
      </w:r>
      <w:r w:rsidR="00635391" w:rsidRPr="00197A4D">
        <w:rPr>
          <w:rFonts w:ascii="Book Antiqua" w:hAnsi="Book Antiqua" w:cs="ArialMT"/>
        </w:rPr>
        <w:t>,</w:t>
      </w:r>
      <w:r w:rsidRPr="00197A4D">
        <w:rPr>
          <w:rFonts w:ascii="Book Antiqua" w:hAnsi="Book Antiqua" w:cs="ArialMT"/>
        </w:rPr>
        <w:t xml:space="preserve"> </w:t>
      </w:r>
      <w:r w:rsidR="001446E2" w:rsidRPr="00197A4D">
        <w:rPr>
          <w:rFonts w:ascii="Book Antiqua" w:hAnsi="Book Antiqua" w:cs="ArialMT"/>
        </w:rPr>
        <w:t>consolidando así ambas disposicones legislativas.</w:t>
      </w:r>
      <w:r w:rsidR="001446E2" w:rsidRPr="00197A4D">
        <w:rPr>
          <w:rStyle w:val="FootnoteReference"/>
          <w:rFonts w:ascii="Book Antiqua" w:hAnsi="Book Antiqua"/>
        </w:rPr>
        <w:footnoteReference w:id="11"/>
      </w:r>
      <w:r w:rsidRPr="00197A4D">
        <w:rPr>
          <w:rFonts w:ascii="Book Antiqua" w:hAnsi="Book Antiqua" w:cs="ArialMT"/>
        </w:rPr>
        <w:t xml:space="preserve"> Este enfoque responde a la necesidad de uniformar los criterios y métodos de divulgación, aprovechando los adelantos tecnológicos disponibles actualmente para la comunicación gubernamental.</w:t>
      </w:r>
    </w:p>
    <w:p w14:paraId="1E12CEA2" w14:textId="789D2799" w:rsidR="00865FC4" w:rsidRPr="00197A4D" w:rsidRDefault="00865FC4" w:rsidP="003E3331">
      <w:pPr>
        <w:spacing w:line="360" w:lineRule="auto"/>
        <w:ind w:firstLine="360"/>
        <w:jc w:val="both"/>
        <w:rPr>
          <w:rFonts w:ascii="Book Antiqua" w:hAnsi="Book Antiqua" w:cs="ArialMT"/>
        </w:rPr>
      </w:pPr>
      <w:r w:rsidRPr="00197A4D">
        <w:rPr>
          <w:rFonts w:ascii="Book Antiqua" w:hAnsi="Book Antiqua" w:cs="ArialMT"/>
        </w:rPr>
        <w:t>Desde el punto de vista administrativo, el proyecto está alineado con la política pública actual de modernización, eficiencia y simplificación de procesos en el gobierno, como lo evidencian las órdenes ejecutivas recientes que buscan reducir la redundancia y agilizar los trámites gubernamentales.</w:t>
      </w:r>
      <w:r w:rsidR="00635391" w:rsidRPr="00197A4D">
        <w:rPr>
          <w:rStyle w:val="FootnoteReference"/>
          <w:rFonts w:ascii="Book Antiqua" w:hAnsi="Book Antiqua"/>
        </w:rPr>
        <w:footnoteReference w:id="12"/>
      </w:r>
      <w:r w:rsidRPr="00197A4D">
        <w:rPr>
          <w:rFonts w:ascii="Book Antiqua" w:hAnsi="Book Antiqua" w:cs="ArialMT"/>
        </w:rPr>
        <w:t xml:space="preserve"> Esta integración normativa facilita la gestión interna de las agencias y fortalece la rendición de cuentas, sin imponer nuevas cargas fiscales ni crear obligaciones adicionales, según concluyó la</w:t>
      </w:r>
      <w:r w:rsidR="00635391" w:rsidRPr="00197A4D">
        <w:rPr>
          <w:rFonts w:ascii="Book Antiqua" w:hAnsi="Book Antiqua" w:cs="ArialMT"/>
        </w:rPr>
        <w:t xml:space="preserve"> </w:t>
      </w:r>
      <w:r w:rsidRPr="00197A4D">
        <w:rPr>
          <w:rFonts w:ascii="Book Antiqua" w:hAnsi="Book Antiqua" w:cs="ArialMT"/>
        </w:rPr>
        <w:t>OPAL.</w:t>
      </w:r>
    </w:p>
    <w:p w14:paraId="381E23E9" w14:textId="3BF53A0B" w:rsidR="001E3D1B" w:rsidRPr="00197A4D" w:rsidRDefault="00DE41D7" w:rsidP="003E3331">
      <w:pPr>
        <w:spacing w:line="360" w:lineRule="auto"/>
        <w:ind w:firstLine="360"/>
        <w:jc w:val="both"/>
        <w:rPr>
          <w:rFonts w:ascii="Book Antiqua" w:hAnsi="Book Antiqua" w:cs="ArialMT"/>
        </w:rPr>
      </w:pPr>
      <w:r w:rsidRPr="00197A4D">
        <w:rPr>
          <w:rFonts w:ascii="Book Antiqua" w:hAnsi="Book Antiqua" w:cs="ArialMT"/>
        </w:rPr>
        <w:t>Por otro lado, la</w:t>
      </w:r>
      <w:r w:rsidR="008A11EC" w:rsidRPr="00197A4D">
        <w:rPr>
          <w:rFonts w:ascii="Book Antiqua" w:hAnsi="Book Antiqua" w:cs="ArialMT"/>
        </w:rPr>
        <w:t xml:space="preserve">s disposiciones de la </w:t>
      </w:r>
      <w:r w:rsidRPr="00197A4D">
        <w:rPr>
          <w:rFonts w:ascii="Book Antiqua" w:hAnsi="Book Antiqua" w:cs="ArialMT"/>
        </w:rPr>
        <w:t>Ley 98-2002</w:t>
      </w:r>
      <w:r w:rsidR="00635391" w:rsidRPr="00197A4D">
        <w:rPr>
          <w:rFonts w:ascii="Book Antiqua" w:hAnsi="Book Antiqua" w:cs="ArialMT"/>
        </w:rPr>
        <w:t xml:space="preserve">, </w:t>
      </w:r>
      <w:r w:rsidR="00635391" w:rsidRPr="00197A4D">
        <w:rPr>
          <w:rFonts w:ascii="Book Antiqua" w:hAnsi="Book Antiqua" w:cs="ArialMT"/>
          <w:i/>
          <w:iCs/>
        </w:rPr>
        <w:t>supra</w:t>
      </w:r>
      <w:r w:rsidR="00635391" w:rsidRPr="00197A4D">
        <w:rPr>
          <w:rFonts w:ascii="Book Antiqua" w:hAnsi="Book Antiqua" w:cs="ArialMT"/>
        </w:rPr>
        <w:t>,</w:t>
      </w:r>
      <w:r w:rsidRPr="00197A4D">
        <w:rPr>
          <w:rFonts w:ascii="Book Antiqua" w:hAnsi="Book Antiqua" w:cs="ArialMT"/>
        </w:rPr>
        <w:t xml:space="preserve"> </w:t>
      </w:r>
      <w:r w:rsidR="00635391" w:rsidRPr="00197A4D">
        <w:rPr>
          <w:rFonts w:ascii="Book Antiqua" w:hAnsi="Book Antiqua" w:cs="ArialMT"/>
        </w:rPr>
        <w:t>aplica</w:t>
      </w:r>
      <w:r w:rsidR="008A11EC" w:rsidRPr="00197A4D">
        <w:rPr>
          <w:rFonts w:ascii="Book Antiqua" w:hAnsi="Book Antiqua" w:cs="ArialMT"/>
        </w:rPr>
        <w:t xml:space="preserve"> únicamente a la Autoridad de </w:t>
      </w:r>
      <w:r w:rsidR="00DA2C83" w:rsidRPr="00197A4D">
        <w:rPr>
          <w:rFonts w:ascii="Book Antiqua" w:hAnsi="Book Antiqua" w:cs="ArialMT"/>
        </w:rPr>
        <w:t>Energía Eléctrica, Autoridad de Acueductos y Alcantarillados, Autoridad Metropolitana de Auto</w:t>
      </w:r>
      <w:r w:rsidR="007D73CE" w:rsidRPr="00197A4D">
        <w:rPr>
          <w:rFonts w:ascii="Book Antiqua" w:hAnsi="Book Antiqua" w:cs="ArialMT"/>
        </w:rPr>
        <w:t>buses y el Departamento de Transportación y Obras Públicas.</w:t>
      </w:r>
      <w:r w:rsidR="00635391" w:rsidRPr="00197A4D">
        <w:rPr>
          <w:rStyle w:val="FootnoteReference"/>
          <w:rFonts w:ascii="Book Antiqua" w:hAnsi="Book Antiqua"/>
        </w:rPr>
        <w:footnoteReference w:id="13"/>
      </w:r>
      <w:r w:rsidR="007D73CE" w:rsidRPr="00197A4D">
        <w:rPr>
          <w:rFonts w:ascii="Book Antiqua" w:hAnsi="Book Antiqua" w:cs="ArialMT"/>
        </w:rPr>
        <w:t xml:space="preserve"> </w:t>
      </w:r>
      <w:r w:rsidR="0014211D" w:rsidRPr="00197A4D">
        <w:rPr>
          <w:rFonts w:ascii="Book Antiqua" w:hAnsi="Book Antiqua" w:cs="ArialMT"/>
        </w:rPr>
        <w:t xml:space="preserve">Con </w:t>
      </w:r>
      <w:r w:rsidR="00476875" w:rsidRPr="00197A4D">
        <w:rPr>
          <w:rFonts w:ascii="Book Antiqua" w:hAnsi="Book Antiqua" w:cs="ArialMT"/>
        </w:rPr>
        <w:t xml:space="preserve">las enmiendas propuestas, la </w:t>
      </w:r>
      <w:r w:rsidR="00A8600F" w:rsidRPr="00197A4D">
        <w:rPr>
          <w:rFonts w:ascii="Book Antiqua" w:hAnsi="Book Antiqua" w:cs="ArialMT"/>
        </w:rPr>
        <w:t>obligación de</w:t>
      </w:r>
      <w:r w:rsidR="00B630C2" w:rsidRPr="00197A4D">
        <w:rPr>
          <w:rFonts w:ascii="Book Antiqua" w:hAnsi="Book Antiqua" w:cs="ArialMT"/>
        </w:rPr>
        <w:t xml:space="preserve"> </w:t>
      </w:r>
      <w:r w:rsidR="00476875" w:rsidRPr="00197A4D">
        <w:rPr>
          <w:rFonts w:ascii="Book Antiqua" w:hAnsi="Book Antiqua" w:cs="ArialMT"/>
        </w:rPr>
        <w:t xml:space="preserve">publicidad </w:t>
      </w:r>
      <w:r w:rsidR="00A2292C" w:rsidRPr="00197A4D">
        <w:rPr>
          <w:rFonts w:ascii="Book Antiqua" w:hAnsi="Book Antiqua" w:cs="ArialMT"/>
        </w:rPr>
        <w:t>de información y educación ciudadana le será</w:t>
      </w:r>
      <w:r w:rsidR="009F6CA3" w:rsidRPr="00197A4D">
        <w:rPr>
          <w:rFonts w:ascii="Book Antiqua" w:hAnsi="Book Antiqua" w:cs="ArialMT"/>
        </w:rPr>
        <w:t>n</w:t>
      </w:r>
      <w:r w:rsidR="00A2292C" w:rsidRPr="00197A4D">
        <w:rPr>
          <w:rFonts w:ascii="Book Antiqua" w:hAnsi="Book Antiqua" w:cs="ArialMT"/>
        </w:rPr>
        <w:t xml:space="preserve"> de aplicación a cualquier entidad gubernamental </w:t>
      </w:r>
      <w:r w:rsidR="00400375" w:rsidRPr="00197A4D">
        <w:rPr>
          <w:rFonts w:ascii="Book Antiqua" w:hAnsi="Book Antiqua" w:cs="ArialMT"/>
        </w:rPr>
        <w:t xml:space="preserve">que realice proyectos de mejoras que puedan afectar cualquier servicio esencial. </w:t>
      </w:r>
    </w:p>
    <w:p w14:paraId="5324BB17" w14:textId="56E64D16" w:rsidR="00635391" w:rsidRPr="00197A4D" w:rsidRDefault="00865FC4" w:rsidP="001446E2">
      <w:pPr>
        <w:spacing w:line="360" w:lineRule="auto"/>
        <w:ind w:firstLine="360"/>
        <w:jc w:val="both"/>
        <w:rPr>
          <w:rFonts w:ascii="Book Antiqua" w:hAnsi="Book Antiqua" w:cs="ArialMT"/>
        </w:rPr>
      </w:pPr>
      <w:r w:rsidRPr="00197A4D">
        <w:rPr>
          <w:rFonts w:ascii="Book Antiqua" w:hAnsi="Book Antiqua" w:cs="ArialMT"/>
        </w:rPr>
        <w:t xml:space="preserve">En síntesis, el P. de la C. 142 es una iniciativa que moderniza y fortalece la política pública de información y educación ciudadana sobre servicios esenciales, consolidando </w:t>
      </w:r>
      <w:r w:rsidRPr="00197A4D">
        <w:rPr>
          <w:rFonts w:ascii="Book Antiqua" w:hAnsi="Book Antiqua" w:cs="ArialMT"/>
        </w:rPr>
        <w:lastRenderedPageBreak/>
        <w:t>prácticas más eficientes, participativas y transparentes en beneficio de la ciudadanía y la administración pública de Puerto Rico.</w:t>
      </w:r>
      <w:r w:rsidR="00E464CC" w:rsidRPr="00197A4D">
        <w:rPr>
          <w:rFonts w:ascii="Book Antiqua" w:hAnsi="Book Antiqua" w:cs="ArialMT"/>
        </w:rPr>
        <w:t xml:space="preserve"> </w:t>
      </w:r>
      <w:r w:rsidR="008E703C" w:rsidRPr="00197A4D">
        <w:rPr>
          <w:rFonts w:ascii="Book Antiqua" w:hAnsi="Book Antiqua" w:cs="ArialMT"/>
        </w:rPr>
        <w:t xml:space="preserve">Además, simplifica el análisis legal sobre </w:t>
      </w:r>
      <w:r w:rsidR="00873087" w:rsidRPr="00197A4D">
        <w:rPr>
          <w:rFonts w:ascii="Book Antiqua" w:hAnsi="Book Antiqua" w:cs="ArialMT"/>
        </w:rPr>
        <w:t xml:space="preserve">los estatutos aplicables al uso de la tecnología y divulgación de información en el Gobierno de Puerto Rico, </w:t>
      </w:r>
      <w:r w:rsidR="001D75BE" w:rsidRPr="00197A4D">
        <w:rPr>
          <w:rFonts w:ascii="Book Antiqua" w:hAnsi="Book Antiqua" w:cs="ArialMT"/>
        </w:rPr>
        <w:t>incorporando</w:t>
      </w:r>
      <w:r w:rsidR="00495986" w:rsidRPr="00197A4D">
        <w:rPr>
          <w:rFonts w:ascii="Book Antiqua" w:hAnsi="Book Antiqua" w:cs="ArialMT"/>
        </w:rPr>
        <w:t xml:space="preserve"> en una sola ley varias disposiciones aplicables </w:t>
      </w:r>
      <w:r w:rsidR="008D20E6" w:rsidRPr="00197A4D">
        <w:rPr>
          <w:rFonts w:ascii="Book Antiqua" w:hAnsi="Book Antiqua" w:cs="ArialMT"/>
        </w:rPr>
        <w:t>a un mismo tema</w:t>
      </w:r>
      <w:r w:rsidR="00C015A9" w:rsidRPr="00197A4D">
        <w:rPr>
          <w:rFonts w:ascii="Book Antiqua" w:hAnsi="Book Antiqua" w:cs="ArialMT"/>
        </w:rPr>
        <w:t xml:space="preserve"> y atemperando sus disposiciones a la modernidad</w:t>
      </w:r>
      <w:r w:rsidR="008D20E6" w:rsidRPr="00197A4D">
        <w:rPr>
          <w:rFonts w:ascii="Book Antiqua" w:hAnsi="Book Antiqua" w:cs="ArialMT"/>
        </w:rPr>
        <w:t xml:space="preserve">. </w:t>
      </w:r>
    </w:p>
    <w:p w14:paraId="3B3461DF" w14:textId="54100C7E" w:rsidR="00696229" w:rsidRPr="00197A4D" w:rsidRDefault="00635391" w:rsidP="001446E2">
      <w:pPr>
        <w:spacing w:line="360" w:lineRule="auto"/>
        <w:ind w:firstLine="360"/>
        <w:jc w:val="center"/>
        <w:rPr>
          <w:rFonts w:ascii="Book Antiqua" w:hAnsi="Book Antiqua" w:cs="ArialMT"/>
          <w:b/>
          <w:bCs/>
        </w:rPr>
      </w:pPr>
      <w:r w:rsidRPr="00197A4D">
        <w:rPr>
          <w:rFonts w:ascii="Book Antiqua" w:hAnsi="Book Antiqua" w:cs="ArialMT"/>
          <w:b/>
          <w:bCs/>
        </w:rPr>
        <w:t>IMPACTO PRESUPUESTARIO</w:t>
      </w:r>
    </w:p>
    <w:p w14:paraId="2A10CAEB" w14:textId="213D5F36" w:rsidR="00635391" w:rsidRPr="00197A4D" w:rsidRDefault="00635391" w:rsidP="001446E2">
      <w:pPr>
        <w:spacing w:line="360" w:lineRule="auto"/>
        <w:ind w:firstLine="360"/>
        <w:jc w:val="both"/>
        <w:rPr>
          <w:rFonts w:ascii="Book Antiqua" w:hAnsi="Book Antiqua" w:cs="ArialMT"/>
        </w:rPr>
      </w:pPr>
      <w:r w:rsidRPr="00197A4D">
        <w:rPr>
          <w:rFonts w:ascii="Book Antiqua" w:hAnsi="Book Antiqua" w:cs="ArialMT"/>
        </w:rPr>
        <w:t>Según el Informe presentado por la OPAL, la medida propuesta no representa un impacto presupuestario para el erario del Gobierno de Puerto Rico.</w:t>
      </w:r>
      <w:r w:rsidRPr="00197A4D">
        <w:rPr>
          <w:rStyle w:val="FootnoteReference"/>
          <w:rFonts w:ascii="Book Antiqua" w:hAnsi="Book Antiqua"/>
        </w:rPr>
        <w:footnoteReference w:id="14"/>
      </w:r>
    </w:p>
    <w:p w14:paraId="339877AA" w14:textId="3576CFDB" w:rsidR="00A54AF0" w:rsidRPr="00197A4D" w:rsidRDefault="00A54AF0" w:rsidP="00696229">
      <w:pPr>
        <w:keepNext/>
        <w:spacing w:line="240" w:lineRule="auto"/>
        <w:jc w:val="center"/>
        <w:outlineLvl w:val="2"/>
        <w:rPr>
          <w:rFonts w:ascii="Book Antiqua" w:eastAsia="Times New Roman" w:hAnsi="Book Antiqua" w:cs="Times New Roman"/>
          <w:b/>
          <w:bCs/>
          <w:spacing w:val="-3"/>
          <w:kern w:val="0"/>
          <w:lang w:val="es-ES" w:eastAsia="x-none"/>
          <w14:ligatures w14:val="none"/>
        </w:rPr>
      </w:pPr>
      <w:r w:rsidRPr="00197A4D">
        <w:rPr>
          <w:rFonts w:ascii="Book Antiqua" w:eastAsia="Times New Roman" w:hAnsi="Book Antiqua" w:cs="Times New Roman"/>
          <w:b/>
          <w:bCs/>
          <w:spacing w:val="-3"/>
          <w:kern w:val="0"/>
          <w:lang w:val="es-ES" w:eastAsia="x-none"/>
          <w14:ligatures w14:val="none"/>
        </w:rPr>
        <w:t>CONCLUSIÓN</w:t>
      </w:r>
    </w:p>
    <w:p w14:paraId="7693BFB4" w14:textId="7F2F4A2B" w:rsidR="00696229" w:rsidRPr="00197A4D" w:rsidRDefault="00A54AF0" w:rsidP="001446E2">
      <w:pPr>
        <w:spacing w:line="360" w:lineRule="auto"/>
        <w:ind w:firstLine="360"/>
        <w:jc w:val="both"/>
        <w:rPr>
          <w:rFonts w:ascii="Book Antiqua" w:eastAsia="Times New Roman" w:hAnsi="Book Antiqua" w:cs="Times New Roman"/>
          <w:kern w:val="0"/>
          <w14:ligatures w14:val="none"/>
        </w:rPr>
      </w:pPr>
      <w:r w:rsidRPr="00197A4D">
        <w:rPr>
          <w:rFonts w:ascii="Book Antiqua" w:eastAsia="Times New Roman" w:hAnsi="Book Antiqua" w:cs="Times New Roman"/>
          <w:kern w:val="0"/>
          <w14:ligatures w14:val="none"/>
        </w:rPr>
        <w:t xml:space="preserve">Por los fundamentos antes expuestos, la </w:t>
      </w:r>
      <w:r w:rsidRPr="00197A4D">
        <w:rPr>
          <w:rFonts w:ascii="Book Antiqua" w:eastAsia="Times New Roman" w:hAnsi="Book Antiqua" w:cs="Times New Roman"/>
          <w:kern w:val="0"/>
          <w:lang w:val="es-ES"/>
          <w14:ligatures w14:val="none"/>
        </w:rPr>
        <w:t xml:space="preserve">Comisión de </w:t>
      </w:r>
      <w:bookmarkStart w:id="1" w:name="_Hlk201996793"/>
      <w:r w:rsidRPr="00197A4D">
        <w:rPr>
          <w:rFonts w:ascii="Book Antiqua" w:eastAsia="Times New Roman" w:hAnsi="Book Antiqua" w:cs="Times New Roman"/>
          <w:kern w:val="0"/>
          <w:lang w:val="es-ES"/>
          <w14:ligatures w14:val="none"/>
        </w:rPr>
        <w:t>Reorganización, Eficiencia y Diligencia</w:t>
      </w:r>
      <w:bookmarkEnd w:id="1"/>
      <w:r w:rsidRPr="00197A4D">
        <w:rPr>
          <w:rFonts w:ascii="Book Antiqua" w:eastAsia="Times New Roman" w:hAnsi="Book Antiqua" w:cs="Times New Roman"/>
          <w:kern w:val="0"/>
          <w14:ligatures w14:val="none"/>
        </w:rPr>
        <w:t xml:space="preserve"> somete el presente </w:t>
      </w:r>
      <w:r w:rsidRPr="00197A4D">
        <w:rPr>
          <w:rFonts w:ascii="Book Antiqua" w:eastAsia="Times New Roman" w:hAnsi="Book Antiqua" w:cs="Times New Roman"/>
          <w:b/>
          <w:bCs/>
          <w:kern w:val="0"/>
          <w:u w:val="single"/>
          <w14:ligatures w14:val="none"/>
        </w:rPr>
        <w:t>Informe Positivo</w:t>
      </w:r>
      <w:r w:rsidRPr="00197A4D">
        <w:rPr>
          <w:rFonts w:ascii="Book Antiqua" w:eastAsia="Times New Roman" w:hAnsi="Book Antiqua" w:cs="Times New Roman"/>
          <w:kern w:val="0"/>
          <w14:ligatures w14:val="none"/>
        </w:rPr>
        <w:t xml:space="preserve"> </w:t>
      </w:r>
      <w:r w:rsidR="00635391" w:rsidRPr="00197A4D">
        <w:rPr>
          <w:rFonts w:ascii="Book Antiqua" w:eastAsia="Times New Roman" w:hAnsi="Book Antiqua" w:cs="Times New Roman"/>
          <w:kern w:val="0"/>
          <w14:ligatures w14:val="none"/>
        </w:rPr>
        <w:t>ante la consideración de la Cámra de Representantes de Puerto Rico,</w:t>
      </w:r>
      <w:r w:rsidR="00696229" w:rsidRPr="00197A4D">
        <w:rPr>
          <w:rFonts w:ascii="Book Antiqua" w:eastAsia="Times New Roman" w:hAnsi="Book Antiqua" w:cs="Times New Roman"/>
          <w:kern w:val="0"/>
          <w14:ligatures w14:val="none"/>
        </w:rPr>
        <w:t xml:space="preserve"> y recomienda la aprobación del P. de</w:t>
      </w:r>
      <w:r w:rsidR="009E0ED6">
        <w:rPr>
          <w:rFonts w:ascii="Book Antiqua" w:eastAsia="Times New Roman" w:hAnsi="Book Antiqua" w:cs="Times New Roman"/>
          <w:kern w:val="0"/>
          <w14:ligatures w14:val="none"/>
        </w:rPr>
        <w:t xml:space="preserve"> </w:t>
      </w:r>
      <w:r w:rsidR="00696229" w:rsidRPr="00197A4D">
        <w:rPr>
          <w:rFonts w:ascii="Book Antiqua" w:eastAsia="Times New Roman" w:hAnsi="Book Antiqua" w:cs="Times New Roman"/>
          <w:kern w:val="0"/>
          <w14:ligatures w14:val="none"/>
        </w:rPr>
        <w:t>l</w:t>
      </w:r>
      <w:r w:rsidR="009E0ED6">
        <w:rPr>
          <w:rFonts w:ascii="Book Antiqua" w:eastAsia="Times New Roman" w:hAnsi="Book Antiqua" w:cs="Times New Roman"/>
          <w:kern w:val="0"/>
          <w14:ligatures w14:val="none"/>
        </w:rPr>
        <w:t>a</w:t>
      </w:r>
      <w:r w:rsidR="00696229" w:rsidRPr="00197A4D">
        <w:rPr>
          <w:rFonts w:ascii="Book Antiqua" w:eastAsia="Times New Roman" w:hAnsi="Book Antiqua" w:cs="Times New Roman"/>
          <w:kern w:val="0"/>
          <w14:ligatures w14:val="none"/>
        </w:rPr>
        <w:t xml:space="preserve"> </w:t>
      </w:r>
      <w:r w:rsidR="009E0ED6">
        <w:rPr>
          <w:rFonts w:ascii="Book Antiqua" w:eastAsia="Times New Roman" w:hAnsi="Book Antiqua" w:cs="Times New Roman"/>
          <w:kern w:val="0"/>
          <w14:ligatures w14:val="none"/>
        </w:rPr>
        <w:t>C</w:t>
      </w:r>
      <w:r w:rsidR="00696229" w:rsidRPr="00197A4D">
        <w:rPr>
          <w:rFonts w:ascii="Book Antiqua" w:eastAsia="Times New Roman" w:hAnsi="Book Antiqua" w:cs="Times New Roman"/>
          <w:kern w:val="0"/>
          <w14:ligatures w14:val="none"/>
        </w:rPr>
        <w:t xml:space="preserve">. 142, </w:t>
      </w:r>
      <w:r w:rsidR="00F81425" w:rsidRPr="00197A4D">
        <w:rPr>
          <w:rFonts w:ascii="Book Antiqua" w:eastAsia="Times New Roman" w:hAnsi="Book Antiqua" w:cs="Times New Roman"/>
          <w:kern w:val="0"/>
          <w14:ligatures w14:val="none"/>
        </w:rPr>
        <w:t xml:space="preserve">sin enmiendas. </w:t>
      </w:r>
    </w:p>
    <w:p w14:paraId="6B4F35C6" w14:textId="77777777" w:rsidR="00A54AF0" w:rsidRPr="00197A4D" w:rsidRDefault="00A54AF0" w:rsidP="00696229">
      <w:pPr>
        <w:spacing w:after="0" w:line="240" w:lineRule="auto"/>
        <w:rPr>
          <w:rFonts w:ascii="Book Antiqua" w:eastAsia="Times New Roman" w:hAnsi="Book Antiqua" w:cs="Times New Roman"/>
          <w:kern w:val="0"/>
          <w:lang w:eastAsia="x-none"/>
          <w14:ligatures w14:val="none"/>
        </w:rPr>
      </w:pPr>
      <w:r w:rsidRPr="00197A4D">
        <w:rPr>
          <w:rFonts w:ascii="Book Antiqua" w:eastAsia="Times New Roman" w:hAnsi="Book Antiqua" w:cs="Times New Roman"/>
          <w:kern w:val="0"/>
          <w:lang w:eastAsia="x-none"/>
          <w14:ligatures w14:val="none"/>
        </w:rPr>
        <w:t>Respetuosamente sometido,</w:t>
      </w:r>
    </w:p>
    <w:p w14:paraId="32D798A3" w14:textId="77777777" w:rsidR="00647DED" w:rsidRPr="00197A4D" w:rsidRDefault="00647DED" w:rsidP="00696229">
      <w:pPr>
        <w:spacing w:after="0" w:line="240" w:lineRule="auto"/>
        <w:rPr>
          <w:rFonts w:ascii="Book Antiqua" w:eastAsia="Times New Roman" w:hAnsi="Book Antiqua" w:cs="Times New Roman"/>
          <w:kern w:val="0"/>
          <w:lang w:eastAsia="x-none"/>
          <w14:ligatures w14:val="none"/>
        </w:rPr>
      </w:pPr>
    </w:p>
    <w:p w14:paraId="5E316CE6" w14:textId="77777777" w:rsidR="006A0DE7" w:rsidRPr="00197A4D" w:rsidRDefault="006A0DE7" w:rsidP="00696229">
      <w:pPr>
        <w:spacing w:after="0" w:line="240" w:lineRule="auto"/>
        <w:jc w:val="both"/>
        <w:rPr>
          <w:rFonts w:ascii="Book Antiqua" w:eastAsia="Times New Roman" w:hAnsi="Book Antiqua" w:cs="Times New Roman"/>
          <w:b/>
          <w:bCs/>
          <w:kern w:val="0"/>
          <w:lang w:eastAsia="x-none"/>
          <w14:ligatures w14:val="none"/>
        </w:rPr>
      </w:pPr>
    </w:p>
    <w:p w14:paraId="56FFE5EF" w14:textId="77777777" w:rsidR="00EC7ED8" w:rsidRPr="00197A4D" w:rsidRDefault="00EC7ED8" w:rsidP="00696229">
      <w:pPr>
        <w:spacing w:after="0" w:line="240" w:lineRule="auto"/>
        <w:jc w:val="both"/>
        <w:rPr>
          <w:rFonts w:ascii="Book Antiqua" w:eastAsia="Times New Roman" w:hAnsi="Book Antiqua" w:cs="Times New Roman"/>
          <w:b/>
          <w:bCs/>
          <w:kern w:val="0"/>
          <w:lang w:eastAsia="x-none"/>
          <w14:ligatures w14:val="none"/>
        </w:rPr>
      </w:pPr>
    </w:p>
    <w:p w14:paraId="5AE1325A" w14:textId="3FEBE012" w:rsidR="00A54AF0" w:rsidRPr="00197A4D" w:rsidRDefault="00A54AF0" w:rsidP="00696229">
      <w:pPr>
        <w:spacing w:after="0" w:line="240" w:lineRule="auto"/>
        <w:jc w:val="both"/>
        <w:rPr>
          <w:rFonts w:ascii="Book Antiqua" w:eastAsia="Times New Roman" w:hAnsi="Book Antiqua" w:cs="Times New Roman"/>
          <w:b/>
          <w:bCs/>
          <w:kern w:val="0"/>
          <w:lang w:eastAsia="x-none"/>
          <w14:ligatures w14:val="none"/>
        </w:rPr>
      </w:pPr>
      <w:r w:rsidRPr="00197A4D">
        <w:rPr>
          <w:rFonts w:ascii="Book Antiqua" w:eastAsia="Times New Roman" w:hAnsi="Book Antiqua" w:cs="Times New Roman"/>
          <w:b/>
          <w:bCs/>
          <w:kern w:val="0"/>
          <w:lang w:eastAsia="x-none"/>
          <w14:ligatures w14:val="none"/>
        </w:rPr>
        <w:t>Hon. Ángel A. Morey Noble</w:t>
      </w:r>
      <w:r w:rsidRPr="00197A4D">
        <w:rPr>
          <w:rFonts w:ascii="Book Antiqua" w:eastAsia="Times New Roman" w:hAnsi="Book Antiqua" w:cs="Times New Roman"/>
          <w:b/>
          <w:bCs/>
          <w:kern w:val="0"/>
          <w:lang w:eastAsia="x-none"/>
          <w14:ligatures w14:val="none"/>
        </w:rPr>
        <w:tab/>
        <w:t xml:space="preserve"> </w:t>
      </w:r>
    </w:p>
    <w:p w14:paraId="0C55918C" w14:textId="77777777" w:rsidR="00A54AF0" w:rsidRPr="00197A4D" w:rsidRDefault="00A54AF0" w:rsidP="00696229">
      <w:pPr>
        <w:spacing w:after="0" w:line="240" w:lineRule="auto"/>
        <w:jc w:val="both"/>
        <w:rPr>
          <w:rFonts w:ascii="Book Antiqua" w:eastAsia="Times New Roman" w:hAnsi="Book Antiqua" w:cs="Times New Roman"/>
          <w:i/>
          <w:iCs/>
          <w:kern w:val="0"/>
          <w:lang w:eastAsia="x-none"/>
          <w14:ligatures w14:val="none"/>
        </w:rPr>
      </w:pPr>
      <w:r w:rsidRPr="00197A4D">
        <w:rPr>
          <w:rFonts w:ascii="Book Antiqua" w:eastAsia="Times New Roman" w:hAnsi="Book Antiqua" w:cs="Times New Roman"/>
          <w:i/>
          <w:iCs/>
          <w:kern w:val="0"/>
          <w:lang w:eastAsia="x-none"/>
          <w14:ligatures w14:val="none"/>
        </w:rPr>
        <w:t>Presidente</w:t>
      </w:r>
      <w:r w:rsidRPr="00197A4D">
        <w:rPr>
          <w:rFonts w:ascii="Book Antiqua" w:eastAsia="Times New Roman" w:hAnsi="Book Antiqua" w:cs="Times New Roman"/>
          <w:i/>
          <w:iCs/>
          <w:kern w:val="0"/>
          <w:lang w:eastAsia="x-none"/>
          <w14:ligatures w14:val="none"/>
        </w:rPr>
        <w:tab/>
      </w:r>
      <w:r w:rsidRPr="00197A4D">
        <w:rPr>
          <w:rFonts w:ascii="Book Antiqua" w:eastAsia="Times New Roman" w:hAnsi="Book Antiqua" w:cs="Times New Roman"/>
          <w:i/>
          <w:iCs/>
          <w:kern w:val="0"/>
          <w:lang w:eastAsia="x-none"/>
          <w14:ligatures w14:val="none"/>
        </w:rPr>
        <w:tab/>
      </w:r>
      <w:r w:rsidRPr="00197A4D">
        <w:rPr>
          <w:rFonts w:ascii="Book Antiqua" w:eastAsia="Times New Roman" w:hAnsi="Book Antiqua" w:cs="Times New Roman"/>
          <w:i/>
          <w:iCs/>
          <w:kern w:val="0"/>
          <w:lang w:eastAsia="x-none"/>
          <w14:ligatures w14:val="none"/>
        </w:rPr>
        <w:tab/>
      </w:r>
      <w:r w:rsidRPr="00197A4D">
        <w:rPr>
          <w:rFonts w:ascii="Book Antiqua" w:eastAsia="Times New Roman" w:hAnsi="Book Antiqua" w:cs="Times New Roman"/>
          <w:i/>
          <w:iCs/>
          <w:kern w:val="0"/>
          <w:lang w:eastAsia="x-none"/>
          <w14:ligatures w14:val="none"/>
        </w:rPr>
        <w:tab/>
      </w:r>
      <w:r w:rsidRPr="00197A4D">
        <w:rPr>
          <w:rFonts w:ascii="Book Antiqua" w:eastAsia="Times New Roman" w:hAnsi="Book Antiqua" w:cs="Times New Roman"/>
          <w:i/>
          <w:iCs/>
          <w:kern w:val="0"/>
          <w:lang w:eastAsia="x-none"/>
          <w14:ligatures w14:val="none"/>
        </w:rPr>
        <w:tab/>
      </w:r>
      <w:r w:rsidRPr="00197A4D">
        <w:rPr>
          <w:rFonts w:ascii="Book Antiqua" w:eastAsia="Times New Roman" w:hAnsi="Book Antiqua" w:cs="Times New Roman"/>
          <w:i/>
          <w:iCs/>
          <w:kern w:val="0"/>
          <w:lang w:eastAsia="x-none"/>
          <w14:ligatures w14:val="none"/>
        </w:rPr>
        <w:tab/>
      </w:r>
      <w:r w:rsidRPr="00197A4D">
        <w:rPr>
          <w:rFonts w:ascii="Book Antiqua" w:eastAsia="Times New Roman" w:hAnsi="Book Antiqua" w:cs="Times New Roman"/>
          <w:i/>
          <w:iCs/>
          <w:kern w:val="0"/>
          <w:lang w:eastAsia="x-none"/>
          <w14:ligatures w14:val="none"/>
        </w:rPr>
        <w:tab/>
      </w:r>
      <w:r w:rsidRPr="00197A4D">
        <w:rPr>
          <w:rFonts w:ascii="Book Antiqua" w:eastAsia="Times New Roman" w:hAnsi="Book Antiqua" w:cs="Times New Roman"/>
          <w:i/>
          <w:iCs/>
          <w:kern w:val="0"/>
          <w:lang w:eastAsia="x-none"/>
          <w14:ligatures w14:val="none"/>
        </w:rPr>
        <w:tab/>
      </w:r>
      <w:r w:rsidRPr="00197A4D">
        <w:rPr>
          <w:rFonts w:ascii="Book Antiqua" w:eastAsia="Times New Roman" w:hAnsi="Book Antiqua" w:cs="Times New Roman"/>
          <w:i/>
          <w:iCs/>
          <w:kern w:val="0"/>
          <w:lang w:eastAsia="x-none"/>
          <w14:ligatures w14:val="none"/>
        </w:rPr>
        <w:tab/>
      </w:r>
      <w:r w:rsidRPr="00197A4D">
        <w:rPr>
          <w:rFonts w:ascii="Book Antiqua" w:eastAsia="Times New Roman" w:hAnsi="Book Antiqua" w:cs="Times New Roman"/>
          <w:i/>
          <w:iCs/>
          <w:kern w:val="0"/>
          <w:lang w:eastAsia="x-none"/>
          <w14:ligatures w14:val="none"/>
        </w:rPr>
        <w:tab/>
      </w:r>
    </w:p>
    <w:p w14:paraId="60E9B1BB" w14:textId="047D4680" w:rsidR="00A54AF0" w:rsidRPr="00197A4D" w:rsidRDefault="00A54AF0" w:rsidP="00696229">
      <w:pPr>
        <w:spacing w:after="0" w:line="240" w:lineRule="auto"/>
        <w:ind w:left="5760" w:hanging="5760"/>
        <w:jc w:val="both"/>
        <w:rPr>
          <w:rFonts w:ascii="Book Antiqua" w:eastAsia="Times New Roman" w:hAnsi="Book Antiqua" w:cs="Times New Roman"/>
          <w:kern w:val="0"/>
          <w:lang w:eastAsia="x-none"/>
          <w14:ligatures w14:val="none"/>
        </w:rPr>
      </w:pPr>
      <w:r w:rsidRPr="00197A4D">
        <w:rPr>
          <w:rFonts w:ascii="Book Antiqua" w:eastAsia="Times New Roman" w:hAnsi="Book Antiqua" w:cs="Times New Roman"/>
          <w:kern w:val="0"/>
          <w:lang w:val="es-ES" w:eastAsia="x-none"/>
          <w14:ligatures w14:val="none"/>
        </w:rPr>
        <w:t>Comisión de Reorganización Eficiencia y Diligencia</w:t>
      </w:r>
    </w:p>
    <w:sectPr w:rsidR="00A54AF0" w:rsidRPr="00197A4D" w:rsidSect="00D15F9A">
      <w:headerReference w:type="default" r:id="rId8"/>
      <w:footerReference w:type="even"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60262" w14:textId="77777777" w:rsidR="001F2117" w:rsidRDefault="001F2117" w:rsidP="00A54AF0">
      <w:pPr>
        <w:spacing w:after="0" w:line="240" w:lineRule="auto"/>
      </w:pPr>
      <w:r>
        <w:separator/>
      </w:r>
    </w:p>
  </w:endnote>
  <w:endnote w:type="continuationSeparator" w:id="0">
    <w:p w14:paraId="4ECF54D2" w14:textId="77777777" w:rsidR="001F2117" w:rsidRDefault="001F2117"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59536808"/>
      <w:docPartObj>
        <w:docPartGallery w:val="Page Numbers (Bottom of Page)"/>
        <w:docPartUnique/>
      </w:docPartObj>
    </w:sdtPr>
    <w:sdtEndPr>
      <w:rPr>
        <w:rStyle w:val="PageNumber"/>
      </w:rPr>
    </w:sdtEndPr>
    <w:sdtContent>
      <w:p w14:paraId="0179EBD5" w14:textId="191B373A" w:rsidR="003E3331" w:rsidRDefault="003E3331" w:rsidP="00E721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1353688" w14:textId="77777777" w:rsidR="003E3331" w:rsidRDefault="003E3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75311745"/>
      <w:docPartObj>
        <w:docPartGallery w:val="Page Numbers (Bottom of Page)"/>
        <w:docPartUnique/>
      </w:docPartObj>
    </w:sdtPr>
    <w:sdtEndPr>
      <w:rPr>
        <w:rStyle w:val="PageNumber"/>
      </w:rPr>
    </w:sdtEndPr>
    <w:sdtContent>
      <w:p w14:paraId="3477B987" w14:textId="3123794E" w:rsidR="003E3331" w:rsidRDefault="003E3331" w:rsidP="00E721AF">
        <w:pPr>
          <w:pStyle w:val="Footer"/>
          <w:framePr w:wrap="none" w:vAnchor="text" w:hAnchor="margin" w:xAlign="center" w:y="1"/>
          <w:rPr>
            <w:rStyle w:val="PageNumber"/>
          </w:rPr>
        </w:pPr>
        <w:r w:rsidRPr="003E3331">
          <w:rPr>
            <w:rStyle w:val="PageNumber"/>
            <w:rFonts w:ascii="Book Antiqua" w:hAnsi="Book Antiqua"/>
          </w:rPr>
          <w:fldChar w:fldCharType="begin"/>
        </w:r>
        <w:r w:rsidRPr="003E3331">
          <w:rPr>
            <w:rStyle w:val="PageNumber"/>
            <w:rFonts w:ascii="Book Antiqua" w:hAnsi="Book Antiqua"/>
          </w:rPr>
          <w:instrText xml:space="preserve"> PAGE </w:instrText>
        </w:r>
        <w:r w:rsidRPr="003E3331">
          <w:rPr>
            <w:rStyle w:val="PageNumber"/>
            <w:rFonts w:ascii="Book Antiqua" w:hAnsi="Book Antiqua"/>
          </w:rPr>
          <w:fldChar w:fldCharType="separate"/>
        </w:r>
        <w:r w:rsidRPr="003E3331">
          <w:rPr>
            <w:rStyle w:val="PageNumber"/>
            <w:rFonts w:ascii="Book Antiqua" w:hAnsi="Book Antiqua"/>
            <w:noProof/>
          </w:rPr>
          <w:t>3</w:t>
        </w:r>
        <w:r w:rsidRPr="003E3331">
          <w:rPr>
            <w:rStyle w:val="PageNumber"/>
            <w:rFonts w:ascii="Book Antiqua" w:hAnsi="Book Antiqua"/>
          </w:rPr>
          <w:fldChar w:fldCharType="end"/>
        </w:r>
      </w:p>
    </w:sdtContent>
  </w:sdt>
  <w:p w14:paraId="6ECFC9A5" w14:textId="77777777" w:rsidR="003E3331" w:rsidRDefault="003E3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68127" w14:textId="77777777" w:rsidR="001F2117" w:rsidRDefault="001F2117" w:rsidP="00A54AF0">
      <w:pPr>
        <w:spacing w:after="0" w:line="240" w:lineRule="auto"/>
      </w:pPr>
      <w:r>
        <w:separator/>
      </w:r>
    </w:p>
  </w:footnote>
  <w:footnote w:type="continuationSeparator" w:id="0">
    <w:p w14:paraId="415FB41D" w14:textId="77777777" w:rsidR="001F2117" w:rsidRDefault="001F2117" w:rsidP="00A54AF0">
      <w:pPr>
        <w:spacing w:after="0" w:line="240" w:lineRule="auto"/>
      </w:pPr>
      <w:r>
        <w:continuationSeparator/>
      </w:r>
    </w:p>
  </w:footnote>
  <w:footnote w:id="1">
    <w:p w14:paraId="290D7FCC" w14:textId="253AB29A" w:rsidR="003E3331" w:rsidRPr="00C37C0F" w:rsidRDefault="003E3331" w:rsidP="00A217F4">
      <w:pPr>
        <w:pStyle w:val="FootnoteText"/>
        <w:ind w:left="720" w:hanging="720"/>
        <w:jc w:val="both"/>
        <w:rPr>
          <w:rFonts w:ascii="Book Antiqua" w:hAnsi="Book Antiqua"/>
        </w:rPr>
      </w:pPr>
      <w:r w:rsidRPr="00A217F4">
        <w:rPr>
          <w:rStyle w:val="FootnoteReference"/>
          <w:rFonts w:ascii="Book Antiqua" w:hAnsi="Book Antiqua"/>
        </w:rPr>
        <w:footnoteRef/>
      </w:r>
      <w:r w:rsidRPr="00A217F4">
        <w:rPr>
          <w:rFonts w:ascii="Book Antiqua" w:hAnsi="Book Antiqua"/>
        </w:rPr>
        <w:t xml:space="preserve"> </w:t>
      </w:r>
      <w:r w:rsidRPr="00C37C0F">
        <w:rPr>
          <w:rFonts w:ascii="Book Antiqua" w:hAnsi="Book Antiqua"/>
        </w:rPr>
        <w:tab/>
        <w:t xml:space="preserve">Ley Núm. 98-2002, </w:t>
      </w:r>
      <w:r w:rsidRPr="00A217F4">
        <w:rPr>
          <w:rFonts w:ascii="Book Antiqua" w:hAnsi="Book Antiqua"/>
          <w:lang w:val="es-ES_tradnl"/>
        </w:rPr>
        <w:t xml:space="preserve">conocida como </w:t>
      </w:r>
      <w:r w:rsidRPr="00A217F4">
        <w:rPr>
          <w:rFonts w:ascii="Book Antiqua" w:hAnsi="Book Antiqua"/>
          <w:i/>
          <w:iCs/>
          <w:lang w:val="es-ES_tradnl"/>
        </w:rPr>
        <w:t>Ley de Información de Educación e Información al Usuario de Servicios Gubernamentales</w:t>
      </w:r>
      <w:r w:rsidRPr="00A217F4">
        <w:rPr>
          <w:rFonts w:ascii="Book Antiqua" w:hAnsi="Book Antiqua"/>
          <w:lang w:val="es-ES_tradnl"/>
        </w:rPr>
        <w:t xml:space="preserve">, 3 LPRA sec. 8571 </w:t>
      </w:r>
      <w:r w:rsidRPr="00A217F4">
        <w:rPr>
          <w:rFonts w:ascii="Book Antiqua" w:hAnsi="Book Antiqua"/>
          <w:i/>
          <w:iCs/>
          <w:lang w:val="es-ES_tradnl"/>
        </w:rPr>
        <w:t xml:space="preserve">et </w:t>
      </w:r>
      <w:proofErr w:type="spellStart"/>
      <w:r w:rsidRPr="00A217F4">
        <w:rPr>
          <w:rFonts w:ascii="Book Antiqua" w:hAnsi="Book Antiqua"/>
          <w:i/>
          <w:iCs/>
          <w:lang w:val="es-ES_tradnl"/>
        </w:rPr>
        <w:t>seq</w:t>
      </w:r>
      <w:proofErr w:type="spellEnd"/>
      <w:r w:rsidRPr="00A217F4">
        <w:rPr>
          <w:rFonts w:ascii="Book Antiqua" w:hAnsi="Book Antiqua"/>
          <w:lang w:val="es-ES_tradnl"/>
        </w:rPr>
        <w:t xml:space="preserve">. </w:t>
      </w:r>
    </w:p>
  </w:footnote>
  <w:footnote w:id="2">
    <w:p w14:paraId="2849C8F4" w14:textId="6D2712E7" w:rsidR="003E3331" w:rsidRPr="00C37C0F" w:rsidRDefault="003E3331" w:rsidP="00A217F4">
      <w:pPr>
        <w:pStyle w:val="FootnoteText"/>
        <w:ind w:left="720" w:hanging="720"/>
        <w:jc w:val="both"/>
      </w:pPr>
      <w:r w:rsidRPr="00A217F4">
        <w:rPr>
          <w:rStyle w:val="FootnoteReference"/>
          <w:rFonts w:ascii="Book Antiqua" w:hAnsi="Book Antiqua"/>
        </w:rPr>
        <w:footnoteRef/>
      </w:r>
      <w:r w:rsidRPr="00A217F4">
        <w:rPr>
          <w:rFonts w:ascii="Book Antiqua" w:hAnsi="Book Antiqua"/>
        </w:rPr>
        <w:t xml:space="preserve"> </w:t>
      </w:r>
      <w:r w:rsidRPr="00C37C0F">
        <w:rPr>
          <w:rFonts w:ascii="Book Antiqua" w:hAnsi="Book Antiqua"/>
        </w:rPr>
        <w:tab/>
        <w:t xml:space="preserve">Véase, Art. 2 de la Ley Núm. 98-2002, </w:t>
      </w:r>
      <w:r w:rsidRPr="00C37C0F">
        <w:rPr>
          <w:rFonts w:ascii="Book Antiqua" w:hAnsi="Book Antiqua"/>
          <w:i/>
          <w:iCs/>
        </w:rPr>
        <w:t>supra</w:t>
      </w:r>
      <w:r w:rsidRPr="00A217F4">
        <w:rPr>
          <w:rFonts w:ascii="Book Antiqua" w:hAnsi="Book Antiqua"/>
          <w:lang w:val="es-ES_tradnl"/>
        </w:rPr>
        <w:t>, 3 LPRA sec. 8571.</w:t>
      </w:r>
      <w:r>
        <w:rPr>
          <w:rFonts w:ascii="Book Antiqua" w:hAnsi="Book Antiqua"/>
          <w:lang w:val="es-ES_tradnl"/>
        </w:rPr>
        <w:t xml:space="preserve"> </w:t>
      </w:r>
    </w:p>
  </w:footnote>
  <w:footnote w:id="3">
    <w:p w14:paraId="3B1CCCBE" w14:textId="34C23813" w:rsidR="002F61EF" w:rsidRPr="00C37C0F" w:rsidRDefault="002F61EF" w:rsidP="00F215FC">
      <w:pPr>
        <w:pStyle w:val="FootnoteText"/>
        <w:ind w:left="720" w:hanging="720"/>
        <w:jc w:val="both"/>
        <w:rPr>
          <w:rFonts w:ascii="Book Antiqua" w:hAnsi="Book Antiqua"/>
        </w:rPr>
      </w:pPr>
      <w:r w:rsidRPr="00EF232F">
        <w:rPr>
          <w:rStyle w:val="FootnoteReference"/>
          <w:rFonts w:ascii="Book Antiqua" w:hAnsi="Book Antiqua"/>
        </w:rPr>
        <w:footnoteRef/>
      </w:r>
      <w:r w:rsidRPr="00EF232F">
        <w:rPr>
          <w:rFonts w:ascii="Book Antiqua" w:hAnsi="Book Antiqua"/>
        </w:rPr>
        <w:t xml:space="preserve"> </w:t>
      </w:r>
      <w:r w:rsidR="00F215FC" w:rsidRPr="00C37C0F">
        <w:rPr>
          <w:rFonts w:ascii="Book Antiqua" w:hAnsi="Book Antiqua"/>
        </w:rPr>
        <w:tab/>
        <w:t xml:space="preserve">Puerto Rico Innovation and Technology Services (PRITS), </w:t>
      </w:r>
      <w:r w:rsidR="00F215FC" w:rsidRPr="00C37C0F">
        <w:rPr>
          <w:rFonts w:ascii="Book Antiqua" w:hAnsi="Book Antiqua"/>
          <w:i/>
          <w:iCs/>
        </w:rPr>
        <w:t>Re: P. de la C. 142</w:t>
      </w:r>
      <w:r w:rsidR="00F215FC" w:rsidRPr="00C37C0F">
        <w:rPr>
          <w:rFonts w:ascii="Book Antiqua" w:hAnsi="Book Antiqua"/>
        </w:rPr>
        <w:t xml:space="preserve"> (9 de agosto de 2025),            pág. 3.</w:t>
      </w:r>
    </w:p>
  </w:footnote>
  <w:footnote w:id="4">
    <w:p w14:paraId="62E10502" w14:textId="68B60A3C" w:rsidR="00F215FC" w:rsidRPr="00EF232F" w:rsidRDefault="00F215FC">
      <w:pPr>
        <w:pStyle w:val="FootnoteText"/>
        <w:rPr>
          <w:rFonts w:ascii="Book Antiqua" w:hAnsi="Book Antiqua"/>
          <w:lang w:val="en-US"/>
        </w:rPr>
      </w:pPr>
      <w:r w:rsidRPr="00EF232F">
        <w:rPr>
          <w:rStyle w:val="FootnoteReference"/>
          <w:rFonts w:ascii="Book Antiqua" w:hAnsi="Book Antiqua"/>
        </w:rPr>
        <w:footnoteRef/>
      </w:r>
      <w:r w:rsidRPr="00C37C0F">
        <w:rPr>
          <w:rFonts w:ascii="Book Antiqua" w:hAnsi="Book Antiqua"/>
          <w:lang w:val="en-US"/>
        </w:rPr>
        <w:t xml:space="preserve"> </w:t>
      </w:r>
      <w:r w:rsidRPr="00EF232F">
        <w:rPr>
          <w:rFonts w:ascii="Book Antiqua" w:hAnsi="Book Antiqua"/>
          <w:lang w:val="en-US"/>
        </w:rPr>
        <w:tab/>
      </w:r>
      <w:r w:rsidRPr="00EF232F">
        <w:rPr>
          <w:rFonts w:ascii="Book Antiqua" w:hAnsi="Book Antiqua"/>
          <w:i/>
          <w:iCs/>
          <w:lang w:val="en-US"/>
        </w:rPr>
        <w:t>Id</w:t>
      </w:r>
      <w:r w:rsidRPr="00EF232F">
        <w:rPr>
          <w:rFonts w:ascii="Book Antiqua" w:hAnsi="Book Antiqua"/>
          <w:lang w:val="en-US"/>
        </w:rPr>
        <w:t>.</w:t>
      </w:r>
    </w:p>
  </w:footnote>
  <w:footnote w:id="5">
    <w:p w14:paraId="74219684" w14:textId="067AEE30" w:rsidR="00EF232F" w:rsidRPr="00EF232F" w:rsidRDefault="00EF232F">
      <w:pPr>
        <w:pStyle w:val="FootnoteText"/>
        <w:rPr>
          <w:rFonts w:ascii="Book Antiqua" w:hAnsi="Book Antiqua"/>
          <w:lang w:val="en-US"/>
        </w:rPr>
      </w:pPr>
      <w:r w:rsidRPr="00EF232F">
        <w:rPr>
          <w:rStyle w:val="FootnoteReference"/>
          <w:rFonts w:ascii="Book Antiqua" w:hAnsi="Book Antiqua"/>
        </w:rPr>
        <w:footnoteRef/>
      </w:r>
      <w:r w:rsidRPr="00C37C0F">
        <w:rPr>
          <w:rFonts w:ascii="Book Antiqua" w:hAnsi="Book Antiqua"/>
          <w:lang w:val="en-US"/>
        </w:rPr>
        <w:t xml:space="preserve"> </w:t>
      </w:r>
      <w:r w:rsidRPr="00C37C0F">
        <w:rPr>
          <w:rFonts w:ascii="Book Antiqua" w:hAnsi="Book Antiqua"/>
          <w:lang w:val="en-US"/>
        </w:rPr>
        <w:tab/>
      </w:r>
      <w:r w:rsidRPr="00C37C0F">
        <w:rPr>
          <w:rFonts w:ascii="Book Antiqua" w:hAnsi="Book Antiqua"/>
          <w:i/>
          <w:iCs/>
          <w:lang w:val="en-US"/>
        </w:rPr>
        <w:t>Id</w:t>
      </w:r>
      <w:r w:rsidRPr="00C37C0F">
        <w:rPr>
          <w:rFonts w:ascii="Book Antiqua" w:hAnsi="Book Antiqua"/>
          <w:lang w:val="en-US"/>
        </w:rPr>
        <w:t>.</w:t>
      </w:r>
    </w:p>
  </w:footnote>
  <w:footnote w:id="6">
    <w:p w14:paraId="0DFE2054" w14:textId="06CB31C5" w:rsidR="00EF232F" w:rsidRPr="00EF232F" w:rsidRDefault="00EF232F">
      <w:pPr>
        <w:pStyle w:val="FootnoteText"/>
        <w:rPr>
          <w:rFonts w:ascii="Book Antiqua" w:hAnsi="Book Antiqua"/>
          <w:lang w:val="en-US"/>
        </w:rPr>
      </w:pPr>
      <w:r w:rsidRPr="00EF232F">
        <w:rPr>
          <w:rStyle w:val="FootnoteReference"/>
          <w:rFonts w:ascii="Book Antiqua" w:hAnsi="Book Antiqua"/>
        </w:rPr>
        <w:footnoteRef/>
      </w:r>
      <w:r w:rsidRPr="00C37C0F">
        <w:rPr>
          <w:rFonts w:ascii="Book Antiqua" w:hAnsi="Book Antiqua"/>
          <w:lang w:val="en-US"/>
        </w:rPr>
        <w:t xml:space="preserve"> </w:t>
      </w:r>
      <w:r w:rsidRPr="00C37C0F">
        <w:rPr>
          <w:rFonts w:ascii="Book Antiqua" w:hAnsi="Book Antiqua"/>
          <w:lang w:val="en-US"/>
        </w:rPr>
        <w:tab/>
      </w:r>
      <w:r w:rsidRPr="00C37C0F">
        <w:rPr>
          <w:rFonts w:ascii="Book Antiqua" w:hAnsi="Book Antiqua"/>
          <w:i/>
          <w:iCs/>
          <w:lang w:val="en-US"/>
        </w:rPr>
        <w:t>Id</w:t>
      </w:r>
      <w:r w:rsidRPr="00C37C0F">
        <w:rPr>
          <w:rFonts w:ascii="Book Antiqua" w:hAnsi="Book Antiqua"/>
          <w:lang w:val="en-US"/>
        </w:rPr>
        <w:t>.</w:t>
      </w:r>
    </w:p>
  </w:footnote>
  <w:footnote w:id="7">
    <w:p w14:paraId="57DD4C30" w14:textId="104DB8F8" w:rsidR="00EF232F" w:rsidRPr="00EF232F" w:rsidRDefault="00EF232F">
      <w:pPr>
        <w:pStyle w:val="FootnoteText"/>
        <w:rPr>
          <w:lang w:val="en-US"/>
        </w:rPr>
      </w:pPr>
      <w:r w:rsidRPr="00EF232F">
        <w:rPr>
          <w:rStyle w:val="FootnoteReference"/>
          <w:rFonts w:ascii="Book Antiqua" w:hAnsi="Book Antiqua"/>
        </w:rPr>
        <w:footnoteRef/>
      </w:r>
      <w:r w:rsidRPr="00C37C0F">
        <w:rPr>
          <w:rFonts w:ascii="Book Antiqua" w:hAnsi="Book Antiqua"/>
          <w:lang w:val="en-US"/>
        </w:rPr>
        <w:t xml:space="preserve"> </w:t>
      </w:r>
      <w:r w:rsidRPr="00EF232F">
        <w:rPr>
          <w:rFonts w:ascii="Book Antiqua" w:hAnsi="Book Antiqua"/>
          <w:lang w:val="en-US"/>
        </w:rPr>
        <w:tab/>
      </w:r>
      <w:r w:rsidRPr="00EF232F">
        <w:rPr>
          <w:rFonts w:ascii="Book Antiqua" w:hAnsi="Book Antiqua"/>
          <w:i/>
          <w:iCs/>
          <w:lang w:val="en-US"/>
        </w:rPr>
        <w:t>Id</w:t>
      </w:r>
      <w:r w:rsidRPr="00EF232F">
        <w:rPr>
          <w:rFonts w:ascii="Book Antiqua" w:hAnsi="Book Antiqua"/>
          <w:lang w:val="en-US"/>
        </w:rPr>
        <w:t xml:space="preserve">., </w:t>
      </w:r>
      <w:proofErr w:type="spellStart"/>
      <w:r w:rsidRPr="00EF232F">
        <w:rPr>
          <w:rFonts w:ascii="Book Antiqua" w:hAnsi="Book Antiqua"/>
          <w:lang w:val="en-US"/>
        </w:rPr>
        <w:t>pág</w:t>
      </w:r>
      <w:proofErr w:type="spellEnd"/>
      <w:r w:rsidRPr="00EF232F">
        <w:rPr>
          <w:rFonts w:ascii="Book Antiqua" w:hAnsi="Book Antiqua"/>
          <w:lang w:val="en-US"/>
        </w:rPr>
        <w:t>. 4.</w:t>
      </w:r>
    </w:p>
  </w:footnote>
  <w:footnote w:id="8">
    <w:p w14:paraId="6E261C64" w14:textId="024B7C24" w:rsidR="00635391" w:rsidRPr="00C37C0F" w:rsidRDefault="00635391" w:rsidP="001446E2">
      <w:pPr>
        <w:pStyle w:val="FootnoteText"/>
        <w:ind w:left="720" w:hanging="720"/>
        <w:jc w:val="both"/>
        <w:rPr>
          <w:rFonts w:ascii="Book Antiqua" w:hAnsi="Book Antiqua"/>
        </w:rPr>
      </w:pPr>
      <w:r w:rsidRPr="001446E2">
        <w:rPr>
          <w:rStyle w:val="FootnoteReference"/>
          <w:rFonts w:ascii="Book Antiqua" w:hAnsi="Book Antiqua"/>
        </w:rPr>
        <w:footnoteRef/>
      </w:r>
      <w:r w:rsidRPr="001446E2">
        <w:rPr>
          <w:rFonts w:ascii="Book Antiqua" w:hAnsi="Book Antiqua"/>
        </w:rPr>
        <w:t xml:space="preserve"> </w:t>
      </w:r>
      <w:r w:rsidRPr="00C37C0F">
        <w:rPr>
          <w:rFonts w:ascii="Book Antiqua" w:hAnsi="Book Antiqua"/>
        </w:rPr>
        <w:tab/>
        <w:t>Véase</w:t>
      </w:r>
      <w:r w:rsidR="001446E2" w:rsidRPr="00C37C0F">
        <w:rPr>
          <w:rFonts w:ascii="Book Antiqua" w:hAnsi="Book Antiqua"/>
        </w:rPr>
        <w:t>,</w:t>
      </w:r>
      <w:r w:rsidRPr="00C37C0F">
        <w:rPr>
          <w:rFonts w:ascii="Book Antiqua" w:hAnsi="Book Antiqua"/>
        </w:rPr>
        <w:t xml:space="preserve"> Oficina de  Presupuesto de la Asamblea Legislativa</w:t>
      </w:r>
      <w:r w:rsidR="00F215FC" w:rsidRPr="00C37C0F">
        <w:rPr>
          <w:rFonts w:ascii="Book Antiqua" w:hAnsi="Book Antiqua"/>
        </w:rPr>
        <w:t xml:space="preserve"> (OPAL), </w:t>
      </w:r>
      <w:r w:rsidR="001446E2" w:rsidRPr="00C37C0F">
        <w:rPr>
          <w:rFonts w:ascii="Book Antiqua" w:hAnsi="Book Antiqua"/>
          <w:i/>
          <w:iCs/>
        </w:rPr>
        <w:t>Informe sobre el efecto del Proyecto de la Cámara 142</w:t>
      </w:r>
      <w:r w:rsidR="001446E2" w:rsidRPr="00C37C0F">
        <w:rPr>
          <w:rFonts w:ascii="Book Antiqua" w:hAnsi="Book Antiqua"/>
        </w:rPr>
        <w:t xml:space="preserve">, Informe 2025-165 (mayo 2025), págs. 1, 2, 4. </w:t>
      </w:r>
    </w:p>
  </w:footnote>
  <w:footnote w:id="9">
    <w:p w14:paraId="0C0FB752" w14:textId="55AD2F2F" w:rsidR="00635391" w:rsidRPr="00C37C0F" w:rsidRDefault="00635391" w:rsidP="001446E2">
      <w:pPr>
        <w:pStyle w:val="FootnoteText"/>
        <w:ind w:left="720" w:hanging="720"/>
        <w:jc w:val="both"/>
        <w:rPr>
          <w:rFonts w:ascii="Book Antiqua" w:hAnsi="Book Antiqua"/>
        </w:rPr>
      </w:pPr>
      <w:r w:rsidRPr="001446E2">
        <w:rPr>
          <w:rStyle w:val="FootnoteReference"/>
          <w:rFonts w:ascii="Book Antiqua" w:hAnsi="Book Antiqua"/>
        </w:rPr>
        <w:footnoteRef/>
      </w:r>
      <w:r w:rsidRPr="001446E2">
        <w:rPr>
          <w:rFonts w:ascii="Book Antiqua" w:hAnsi="Book Antiqua"/>
        </w:rPr>
        <w:t xml:space="preserve"> </w:t>
      </w:r>
      <w:r w:rsidR="001446E2" w:rsidRPr="001446E2">
        <w:rPr>
          <w:rFonts w:ascii="Book Antiqua" w:hAnsi="Book Antiqua"/>
        </w:rPr>
        <w:tab/>
      </w:r>
      <w:r w:rsidR="001446E2" w:rsidRPr="001446E2">
        <w:rPr>
          <w:rFonts w:ascii="Book Antiqua" w:hAnsi="Book Antiqua"/>
          <w:i/>
          <w:iCs/>
        </w:rPr>
        <w:t>Id</w:t>
      </w:r>
      <w:r w:rsidR="001446E2" w:rsidRPr="001446E2">
        <w:rPr>
          <w:rFonts w:ascii="Book Antiqua" w:hAnsi="Book Antiqua"/>
        </w:rPr>
        <w:t>.</w:t>
      </w:r>
    </w:p>
  </w:footnote>
  <w:footnote w:id="10">
    <w:p w14:paraId="4354ACD6" w14:textId="7C92A7D4" w:rsidR="00635391" w:rsidRPr="00C37C0F" w:rsidRDefault="00635391" w:rsidP="001446E2">
      <w:pPr>
        <w:pStyle w:val="FootnoteText"/>
        <w:ind w:left="720" w:hanging="720"/>
        <w:jc w:val="both"/>
        <w:rPr>
          <w:rFonts w:ascii="Book Antiqua" w:hAnsi="Book Antiqua"/>
        </w:rPr>
      </w:pPr>
      <w:r w:rsidRPr="001446E2">
        <w:rPr>
          <w:rStyle w:val="FootnoteReference"/>
          <w:rFonts w:ascii="Book Antiqua" w:hAnsi="Book Antiqua"/>
        </w:rPr>
        <w:footnoteRef/>
      </w:r>
      <w:r w:rsidRPr="001446E2">
        <w:rPr>
          <w:rFonts w:ascii="Book Antiqua" w:hAnsi="Book Antiqua"/>
        </w:rPr>
        <w:t xml:space="preserve"> </w:t>
      </w:r>
      <w:r w:rsidR="001446E2" w:rsidRPr="001446E2">
        <w:rPr>
          <w:rFonts w:ascii="Book Antiqua" w:hAnsi="Book Antiqua"/>
        </w:rPr>
        <w:tab/>
      </w:r>
      <w:r w:rsidR="001446E2">
        <w:rPr>
          <w:rFonts w:ascii="Book Antiqua" w:hAnsi="Book Antiqua"/>
        </w:rPr>
        <w:t xml:space="preserve">Véase, </w:t>
      </w:r>
      <w:r w:rsidR="001446E2" w:rsidRPr="001446E2">
        <w:rPr>
          <w:rFonts w:ascii="Book Antiqua" w:hAnsi="Book Antiqua"/>
          <w:i/>
          <w:iCs/>
        </w:rPr>
        <w:t>Id</w:t>
      </w:r>
      <w:r w:rsidR="001446E2" w:rsidRPr="001446E2">
        <w:rPr>
          <w:rFonts w:ascii="Book Antiqua" w:hAnsi="Book Antiqua"/>
        </w:rPr>
        <w:t>., págs 2-3.</w:t>
      </w:r>
    </w:p>
  </w:footnote>
  <w:footnote w:id="11">
    <w:p w14:paraId="6D210DA1" w14:textId="4E2F292D" w:rsidR="001446E2" w:rsidRPr="00C37C0F" w:rsidRDefault="001446E2" w:rsidP="001446E2">
      <w:pPr>
        <w:pStyle w:val="FootnoteText"/>
        <w:ind w:left="720" w:hanging="720"/>
        <w:jc w:val="both"/>
      </w:pPr>
      <w:r w:rsidRPr="001446E2">
        <w:rPr>
          <w:rStyle w:val="FootnoteReference"/>
          <w:rFonts w:ascii="Book Antiqua" w:hAnsi="Book Antiqua"/>
        </w:rPr>
        <w:footnoteRef/>
      </w:r>
      <w:r w:rsidRPr="001446E2">
        <w:rPr>
          <w:rFonts w:ascii="Book Antiqua" w:hAnsi="Book Antiqua"/>
        </w:rPr>
        <w:t xml:space="preserve"> </w:t>
      </w:r>
      <w:r w:rsidRPr="001446E2">
        <w:rPr>
          <w:rFonts w:ascii="Book Antiqua" w:hAnsi="Book Antiqua"/>
        </w:rPr>
        <w:tab/>
      </w:r>
      <w:r w:rsidRPr="001446E2">
        <w:rPr>
          <w:rFonts w:ascii="Book Antiqua" w:hAnsi="Book Antiqua"/>
          <w:i/>
          <w:iCs/>
        </w:rPr>
        <w:t>Id</w:t>
      </w:r>
      <w:r w:rsidRPr="001446E2">
        <w:rPr>
          <w:rFonts w:ascii="Book Antiqua" w:hAnsi="Book Antiqua"/>
        </w:rPr>
        <w:t>., pág. 4</w:t>
      </w:r>
    </w:p>
  </w:footnote>
  <w:footnote w:id="12">
    <w:p w14:paraId="45D3E3D6" w14:textId="467785B9" w:rsidR="00635391" w:rsidRPr="00C37C0F" w:rsidRDefault="00635391" w:rsidP="001446E2">
      <w:pPr>
        <w:pStyle w:val="FootnoteText"/>
        <w:ind w:left="720" w:hanging="720"/>
        <w:jc w:val="both"/>
        <w:rPr>
          <w:rFonts w:ascii="Book Antiqua" w:hAnsi="Book Antiqua"/>
        </w:rPr>
      </w:pPr>
      <w:r w:rsidRPr="001446E2">
        <w:rPr>
          <w:rStyle w:val="FootnoteReference"/>
          <w:rFonts w:ascii="Book Antiqua" w:hAnsi="Book Antiqua"/>
        </w:rPr>
        <w:footnoteRef/>
      </w:r>
      <w:r w:rsidRPr="001446E2">
        <w:rPr>
          <w:rFonts w:ascii="Book Antiqua" w:hAnsi="Book Antiqua"/>
        </w:rPr>
        <w:t xml:space="preserve"> </w:t>
      </w:r>
      <w:r w:rsidRPr="00C37C0F">
        <w:rPr>
          <w:rFonts w:ascii="Book Antiqua" w:hAnsi="Book Antiqua"/>
        </w:rPr>
        <w:tab/>
        <w:t xml:space="preserve">Véase, </w:t>
      </w:r>
      <w:r w:rsidR="001446E2" w:rsidRPr="00C37C0F">
        <w:rPr>
          <w:rFonts w:ascii="Book Antiqua" w:hAnsi="Book Antiqua"/>
          <w:i/>
          <w:iCs/>
        </w:rPr>
        <w:t>Orden Ejecutiva de la Gobernadora de Puerto Rico, Hon. Jenniffer A. González Colón, para la revision y actualización de las estructuras y sistmas gubernamentales, así como para la modernización y simplificación de los procesos, trámites, reglamentación, regulaciones y otras disposiones administrativas</w:t>
      </w:r>
      <w:r w:rsidR="001446E2" w:rsidRPr="00C37C0F">
        <w:rPr>
          <w:rFonts w:ascii="Book Antiqua" w:hAnsi="Book Antiqua"/>
        </w:rPr>
        <w:t xml:space="preserve">, Boletín Administrativo Núm. OE-2025-009 (4 de febrero de 2025). </w:t>
      </w:r>
    </w:p>
  </w:footnote>
  <w:footnote w:id="13">
    <w:p w14:paraId="49C09847" w14:textId="6FEFE5B8" w:rsidR="00635391" w:rsidRPr="00C37C0F" w:rsidRDefault="00635391" w:rsidP="001446E2">
      <w:pPr>
        <w:pStyle w:val="FootnoteText"/>
        <w:jc w:val="both"/>
        <w:rPr>
          <w:rFonts w:ascii="Book Antiqua" w:hAnsi="Book Antiqua"/>
        </w:rPr>
      </w:pPr>
      <w:r w:rsidRPr="001446E2">
        <w:rPr>
          <w:rStyle w:val="FootnoteReference"/>
          <w:rFonts w:ascii="Book Antiqua" w:hAnsi="Book Antiqua"/>
        </w:rPr>
        <w:footnoteRef/>
      </w:r>
      <w:r w:rsidRPr="001446E2">
        <w:rPr>
          <w:rFonts w:ascii="Book Antiqua" w:hAnsi="Book Antiqua"/>
        </w:rPr>
        <w:t xml:space="preserve"> </w:t>
      </w:r>
      <w:r w:rsidR="001446E2">
        <w:rPr>
          <w:rFonts w:ascii="Book Antiqua" w:hAnsi="Book Antiqua"/>
        </w:rPr>
        <w:tab/>
      </w:r>
      <w:r w:rsidR="00197A4D">
        <w:rPr>
          <w:rFonts w:ascii="Book Antiqua" w:hAnsi="Book Antiqua"/>
        </w:rPr>
        <w:t xml:space="preserve">Art. 3, Ley Núm. 98-2002, </w:t>
      </w:r>
      <w:r w:rsidR="00197A4D" w:rsidRPr="00197A4D">
        <w:rPr>
          <w:rFonts w:ascii="Book Antiqua" w:hAnsi="Book Antiqua"/>
          <w:i/>
          <w:iCs/>
        </w:rPr>
        <w:t>supra</w:t>
      </w:r>
      <w:r w:rsidR="00197A4D">
        <w:rPr>
          <w:rFonts w:ascii="Book Antiqua" w:hAnsi="Book Antiqua"/>
        </w:rPr>
        <w:t>, 3 LPRA sec. 8572.</w:t>
      </w:r>
      <w:r w:rsidRPr="00C37C0F">
        <w:rPr>
          <w:rFonts w:ascii="Book Antiqua" w:hAnsi="Book Antiqua"/>
        </w:rPr>
        <w:tab/>
      </w:r>
    </w:p>
  </w:footnote>
  <w:footnote w:id="14">
    <w:p w14:paraId="35EED5DD" w14:textId="3C0D7AD7" w:rsidR="00635391" w:rsidRPr="001446E2" w:rsidRDefault="00635391" w:rsidP="001446E2">
      <w:pPr>
        <w:pStyle w:val="FootnoteText"/>
        <w:jc w:val="both"/>
        <w:rPr>
          <w:rFonts w:ascii="Book Antiqua" w:hAnsi="Book Antiqua"/>
          <w:lang w:val="en-US"/>
        </w:rPr>
      </w:pPr>
      <w:r w:rsidRPr="001446E2">
        <w:rPr>
          <w:rStyle w:val="FootnoteReference"/>
          <w:rFonts w:ascii="Book Antiqua" w:hAnsi="Book Antiqua"/>
        </w:rPr>
        <w:footnoteRef/>
      </w:r>
      <w:r w:rsidRPr="001446E2">
        <w:rPr>
          <w:rFonts w:ascii="Book Antiqua" w:hAnsi="Book Antiqua"/>
        </w:rPr>
        <w:t xml:space="preserve"> </w:t>
      </w:r>
      <w:r w:rsidR="00197A4D">
        <w:rPr>
          <w:rFonts w:ascii="Book Antiqua" w:hAnsi="Book Antiqua"/>
        </w:rPr>
        <w:tab/>
        <w:t xml:space="preserve">OPAL, </w:t>
      </w:r>
      <w:r w:rsidR="00197A4D" w:rsidRPr="00197A4D">
        <w:rPr>
          <w:rFonts w:ascii="Book Antiqua" w:hAnsi="Book Antiqua"/>
          <w:i/>
          <w:iCs/>
        </w:rPr>
        <w:t>supra</w:t>
      </w:r>
      <w:r w:rsidR="00197A4D">
        <w:rPr>
          <w:rFonts w:ascii="Book Antiqua" w:hAnsi="Book Antiqua"/>
        </w:rPr>
        <w:t xml:space="preserve">, págs. 1,2 y 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C8EF" w14:textId="77777777" w:rsidR="00D15F9A" w:rsidRDefault="00D15F9A" w:rsidP="00D15F9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411CB"/>
    <w:multiLevelType w:val="hybridMultilevel"/>
    <w:tmpl w:val="B7CEE1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04A12"/>
    <w:multiLevelType w:val="hybridMultilevel"/>
    <w:tmpl w:val="9D4297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B1964CC"/>
    <w:multiLevelType w:val="hybridMultilevel"/>
    <w:tmpl w:val="457C0A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B54F6D"/>
    <w:multiLevelType w:val="hybridMultilevel"/>
    <w:tmpl w:val="AB8A4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1F33AE"/>
    <w:multiLevelType w:val="hybridMultilevel"/>
    <w:tmpl w:val="A9F4A1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EA4BA9"/>
    <w:multiLevelType w:val="hybridMultilevel"/>
    <w:tmpl w:val="AB8A4A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34961873">
    <w:abstractNumId w:val="3"/>
  </w:num>
  <w:num w:numId="2" w16cid:durableId="1796752155">
    <w:abstractNumId w:val="0"/>
  </w:num>
  <w:num w:numId="3" w16cid:durableId="570189916">
    <w:abstractNumId w:val="4"/>
  </w:num>
  <w:num w:numId="4" w16cid:durableId="1591893605">
    <w:abstractNumId w:val="5"/>
  </w:num>
  <w:num w:numId="5" w16cid:durableId="642931395">
    <w:abstractNumId w:val="1"/>
  </w:num>
  <w:num w:numId="6" w16cid:durableId="17189655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26509"/>
    <w:rsid w:val="000537B3"/>
    <w:rsid w:val="00053B4D"/>
    <w:rsid w:val="00054285"/>
    <w:rsid w:val="00054C96"/>
    <w:rsid w:val="0006062E"/>
    <w:rsid w:val="00060DAF"/>
    <w:rsid w:val="00077EA3"/>
    <w:rsid w:val="00085059"/>
    <w:rsid w:val="00087678"/>
    <w:rsid w:val="00087E69"/>
    <w:rsid w:val="000919C5"/>
    <w:rsid w:val="000B275E"/>
    <w:rsid w:val="000C0ECB"/>
    <w:rsid w:val="000C5343"/>
    <w:rsid w:val="000E0E1E"/>
    <w:rsid w:val="000F0C98"/>
    <w:rsid w:val="000F0ECA"/>
    <w:rsid w:val="000F722F"/>
    <w:rsid w:val="000F731B"/>
    <w:rsid w:val="001015E4"/>
    <w:rsid w:val="001041B3"/>
    <w:rsid w:val="00130008"/>
    <w:rsid w:val="00130571"/>
    <w:rsid w:val="0013170B"/>
    <w:rsid w:val="0014211D"/>
    <w:rsid w:val="001446E2"/>
    <w:rsid w:val="001454E0"/>
    <w:rsid w:val="001578CC"/>
    <w:rsid w:val="00184D12"/>
    <w:rsid w:val="00197A4D"/>
    <w:rsid w:val="001A6F78"/>
    <w:rsid w:val="001B4EAF"/>
    <w:rsid w:val="001D75BE"/>
    <w:rsid w:val="001E3D1B"/>
    <w:rsid w:val="001F12B4"/>
    <w:rsid w:val="001F2117"/>
    <w:rsid w:val="001F5CAD"/>
    <w:rsid w:val="002328A0"/>
    <w:rsid w:val="00236740"/>
    <w:rsid w:val="002554B3"/>
    <w:rsid w:val="0026085A"/>
    <w:rsid w:val="002750B4"/>
    <w:rsid w:val="002A1EE5"/>
    <w:rsid w:val="002B33AB"/>
    <w:rsid w:val="002B5A25"/>
    <w:rsid w:val="002B79A3"/>
    <w:rsid w:val="002C0EE5"/>
    <w:rsid w:val="002C24BC"/>
    <w:rsid w:val="002C7239"/>
    <w:rsid w:val="002D3140"/>
    <w:rsid w:val="002D578F"/>
    <w:rsid w:val="002E538B"/>
    <w:rsid w:val="002F61EF"/>
    <w:rsid w:val="00304481"/>
    <w:rsid w:val="00312586"/>
    <w:rsid w:val="00315069"/>
    <w:rsid w:val="0032410F"/>
    <w:rsid w:val="00340735"/>
    <w:rsid w:val="0034567B"/>
    <w:rsid w:val="00352764"/>
    <w:rsid w:val="00394162"/>
    <w:rsid w:val="003C3F3D"/>
    <w:rsid w:val="003E3331"/>
    <w:rsid w:val="00400375"/>
    <w:rsid w:val="00435BDA"/>
    <w:rsid w:val="00440A59"/>
    <w:rsid w:val="004441BF"/>
    <w:rsid w:val="004746E9"/>
    <w:rsid w:val="00474F8C"/>
    <w:rsid w:val="004753A3"/>
    <w:rsid w:val="00476875"/>
    <w:rsid w:val="00485951"/>
    <w:rsid w:val="00495986"/>
    <w:rsid w:val="004A5647"/>
    <w:rsid w:val="004B2A29"/>
    <w:rsid w:val="004C6235"/>
    <w:rsid w:val="004D4802"/>
    <w:rsid w:val="004E0F19"/>
    <w:rsid w:val="00556A54"/>
    <w:rsid w:val="0056389E"/>
    <w:rsid w:val="00584598"/>
    <w:rsid w:val="005940EB"/>
    <w:rsid w:val="0059555D"/>
    <w:rsid w:val="00596031"/>
    <w:rsid w:val="005C38F7"/>
    <w:rsid w:val="005C6849"/>
    <w:rsid w:val="005E11C2"/>
    <w:rsid w:val="00635391"/>
    <w:rsid w:val="00647DED"/>
    <w:rsid w:val="0065251D"/>
    <w:rsid w:val="006548AD"/>
    <w:rsid w:val="00667221"/>
    <w:rsid w:val="006736F9"/>
    <w:rsid w:val="00675DC7"/>
    <w:rsid w:val="006823BA"/>
    <w:rsid w:val="00683501"/>
    <w:rsid w:val="00696229"/>
    <w:rsid w:val="006A0DE7"/>
    <w:rsid w:val="006F61CA"/>
    <w:rsid w:val="007006E3"/>
    <w:rsid w:val="00704E78"/>
    <w:rsid w:val="007273D7"/>
    <w:rsid w:val="0073244C"/>
    <w:rsid w:val="007608D9"/>
    <w:rsid w:val="00770604"/>
    <w:rsid w:val="00797039"/>
    <w:rsid w:val="007A354B"/>
    <w:rsid w:val="007C6770"/>
    <w:rsid w:val="007D73CE"/>
    <w:rsid w:val="007E23F0"/>
    <w:rsid w:val="007E5A21"/>
    <w:rsid w:val="007F1076"/>
    <w:rsid w:val="00835598"/>
    <w:rsid w:val="008361EB"/>
    <w:rsid w:val="00845D3C"/>
    <w:rsid w:val="00860EC4"/>
    <w:rsid w:val="00865FC4"/>
    <w:rsid w:val="00873087"/>
    <w:rsid w:val="0087730C"/>
    <w:rsid w:val="008A11EC"/>
    <w:rsid w:val="008A4272"/>
    <w:rsid w:val="008B64FB"/>
    <w:rsid w:val="008B6A91"/>
    <w:rsid w:val="008D20E6"/>
    <w:rsid w:val="008E703C"/>
    <w:rsid w:val="008F2C10"/>
    <w:rsid w:val="009133B0"/>
    <w:rsid w:val="0092618B"/>
    <w:rsid w:val="00942C56"/>
    <w:rsid w:val="00961C38"/>
    <w:rsid w:val="009722AA"/>
    <w:rsid w:val="009735EC"/>
    <w:rsid w:val="00974095"/>
    <w:rsid w:val="00991866"/>
    <w:rsid w:val="009C5642"/>
    <w:rsid w:val="009E0ED6"/>
    <w:rsid w:val="009F6CA3"/>
    <w:rsid w:val="00A217F4"/>
    <w:rsid w:val="00A2292C"/>
    <w:rsid w:val="00A350FB"/>
    <w:rsid w:val="00A4054D"/>
    <w:rsid w:val="00A446CD"/>
    <w:rsid w:val="00A4772C"/>
    <w:rsid w:val="00A54AF0"/>
    <w:rsid w:val="00A5783E"/>
    <w:rsid w:val="00A7082D"/>
    <w:rsid w:val="00A8600F"/>
    <w:rsid w:val="00A931F0"/>
    <w:rsid w:val="00AA4E70"/>
    <w:rsid w:val="00AA72C5"/>
    <w:rsid w:val="00AB217A"/>
    <w:rsid w:val="00AC2979"/>
    <w:rsid w:val="00AC29DB"/>
    <w:rsid w:val="00AC2BDF"/>
    <w:rsid w:val="00AD79E9"/>
    <w:rsid w:val="00AE19ED"/>
    <w:rsid w:val="00AF1158"/>
    <w:rsid w:val="00B07592"/>
    <w:rsid w:val="00B60104"/>
    <w:rsid w:val="00B630C2"/>
    <w:rsid w:val="00B71591"/>
    <w:rsid w:val="00B816C8"/>
    <w:rsid w:val="00B86C83"/>
    <w:rsid w:val="00BA3C9D"/>
    <w:rsid w:val="00BF413B"/>
    <w:rsid w:val="00C015A9"/>
    <w:rsid w:val="00C1455B"/>
    <w:rsid w:val="00C37770"/>
    <w:rsid w:val="00C37C0F"/>
    <w:rsid w:val="00C428A0"/>
    <w:rsid w:val="00C67D2A"/>
    <w:rsid w:val="00C75579"/>
    <w:rsid w:val="00CA12CB"/>
    <w:rsid w:val="00CA6283"/>
    <w:rsid w:val="00CE4CF6"/>
    <w:rsid w:val="00CE4E21"/>
    <w:rsid w:val="00CE6334"/>
    <w:rsid w:val="00CE7FFC"/>
    <w:rsid w:val="00D11501"/>
    <w:rsid w:val="00D15B4B"/>
    <w:rsid w:val="00D15F9A"/>
    <w:rsid w:val="00D36E37"/>
    <w:rsid w:val="00D65B74"/>
    <w:rsid w:val="00D8144B"/>
    <w:rsid w:val="00DA2C83"/>
    <w:rsid w:val="00DB5742"/>
    <w:rsid w:val="00DE2A56"/>
    <w:rsid w:val="00DE41D7"/>
    <w:rsid w:val="00DE628A"/>
    <w:rsid w:val="00DF6CF3"/>
    <w:rsid w:val="00E31E91"/>
    <w:rsid w:val="00E449EC"/>
    <w:rsid w:val="00E464CC"/>
    <w:rsid w:val="00E80B50"/>
    <w:rsid w:val="00E92C53"/>
    <w:rsid w:val="00E97F9B"/>
    <w:rsid w:val="00EC7ED8"/>
    <w:rsid w:val="00EE614E"/>
    <w:rsid w:val="00EF232F"/>
    <w:rsid w:val="00F00432"/>
    <w:rsid w:val="00F06CD1"/>
    <w:rsid w:val="00F215FC"/>
    <w:rsid w:val="00F24CFF"/>
    <w:rsid w:val="00F36C67"/>
    <w:rsid w:val="00F5512F"/>
    <w:rsid w:val="00F6697F"/>
    <w:rsid w:val="00F726CA"/>
    <w:rsid w:val="00F751C1"/>
    <w:rsid w:val="00F81425"/>
    <w:rsid w:val="00F95366"/>
    <w:rsid w:val="00FA52FD"/>
    <w:rsid w:val="00FA73BD"/>
    <w:rsid w:val="00FB5487"/>
    <w:rsid w:val="00FC1844"/>
    <w:rsid w:val="00FF7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nhideWhenUsed/>
    <w:rsid w:val="00A54AF0"/>
    <w:pPr>
      <w:spacing w:after="0" w:line="240" w:lineRule="auto"/>
    </w:pPr>
    <w:rPr>
      <w:sz w:val="20"/>
      <w:szCs w:val="20"/>
    </w:rPr>
  </w:style>
  <w:style w:type="character" w:customStyle="1" w:styleId="FootnoteTextChar">
    <w:name w:val="Footnote Text Char"/>
    <w:basedOn w:val="DefaultParagraphFont"/>
    <w:link w:val="FootnoteText"/>
    <w:rsid w:val="00A54AF0"/>
    <w:rPr>
      <w:sz w:val="20"/>
      <w:szCs w:val="20"/>
      <w:lang w:val="es-PR"/>
    </w:rPr>
  </w:style>
  <w:style w:type="character" w:styleId="FootnoteReference">
    <w:name w:val="footnote reference"/>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paragraph" w:styleId="BodyText">
    <w:name w:val="Body Text"/>
    <w:basedOn w:val="Normal"/>
    <w:link w:val="BodyTextChar"/>
    <w:rsid w:val="00D65B74"/>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rsid w:val="00D65B74"/>
    <w:rPr>
      <w:rFonts w:ascii="Times New Roman" w:eastAsia="Times New Roman" w:hAnsi="Times New Roman" w:cs="Times New Roman"/>
      <w:kern w:val="0"/>
      <w:lang w:val="es-PR"/>
      <w14:ligatures w14:val="none"/>
    </w:rPr>
  </w:style>
  <w:style w:type="character" w:styleId="PageNumber">
    <w:name w:val="page number"/>
    <w:basedOn w:val="DefaultParagraphFont"/>
    <w:uiPriority w:val="99"/>
    <w:semiHidden/>
    <w:unhideWhenUsed/>
    <w:rsid w:val="00394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1345</Words>
  <Characters>7667</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2025-09-16T13:21:00Z</cp:lastPrinted>
  <dcterms:created xsi:type="dcterms:W3CDTF">2025-09-16T13:46:00Z</dcterms:created>
  <dcterms:modified xsi:type="dcterms:W3CDTF">2025-09-16T13:46:00Z</dcterms:modified>
</cp:coreProperties>
</file>