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0F50F59B"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1F47D9">
        <w:rPr>
          <w:rFonts w:ascii="Book Antiqua" w:hAnsi="Book Antiqua"/>
          <w:lang w:val="es-ES_tradnl"/>
        </w:rPr>
        <w:t>2</w:t>
      </w:r>
      <w:r>
        <w:rPr>
          <w:rFonts w:ascii="Book Antiqua" w:hAnsi="Book Antiqua"/>
          <w:lang w:val="es-ES_tradnl"/>
        </w:rPr>
        <w:t xml:space="preserve"> </w:t>
      </w:r>
      <w:r w:rsidR="000D1F8B">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2A6FEB9F"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A04B14">
        <w:rPr>
          <w:rFonts w:ascii="Book Antiqua" w:hAnsi="Book Antiqua"/>
          <w:b/>
          <w:sz w:val="52"/>
          <w:szCs w:val="52"/>
          <w:lang w:val="es-ES_tradnl"/>
        </w:rPr>
        <w:t xml:space="preserve"> </w:t>
      </w:r>
      <w:r w:rsidRPr="00BC74F8">
        <w:rPr>
          <w:rFonts w:ascii="Book Antiqua" w:hAnsi="Book Antiqua"/>
          <w:b/>
          <w:sz w:val="52"/>
          <w:szCs w:val="52"/>
          <w:lang w:val="es-ES_tradnl"/>
        </w:rPr>
        <w:t>l</w:t>
      </w:r>
      <w:r w:rsidR="00A04B14">
        <w:rPr>
          <w:rFonts w:ascii="Book Antiqua" w:hAnsi="Book Antiqua"/>
          <w:b/>
          <w:sz w:val="52"/>
          <w:szCs w:val="52"/>
          <w:lang w:val="es-ES_tradnl"/>
        </w:rPr>
        <w:t>a</w:t>
      </w:r>
      <w:r w:rsidRPr="00BC74F8">
        <w:rPr>
          <w:rFonts w:ascii="Book Antiqua" w:hAnsi="Book Antiqua"/>
          <w:b/>
          <w:sz w:val="52"/>
          <w:szCs w:val="52"/>
          <w:lang w:val="es-ES_tradnl"/>
        </w:rPr>
        <w:t xml:space="preserve"> </w:t>
      </w:r>
      <w:r w:rsidR="00A04B14">
        <w:rPr>
          <w:rFonts w:ascii="Book Antiqua" w:hAnsi="Book Antiqua"/>
          <w:b/>
          <w:sz w:val="52"/>
          <w:szCs w:val="52"/>
          <w:lang w:val="es-ES_tradnl"/>
        </w:rPr>
        <w:t>C</w:t>
      </w:r>
      <w:r w:rsidRPr="00BC74F8">
        <w:rPr>
          <w:rFonts w:ascii="Book Antiqua" w:hAnsi="Book Antiqua"/>
          <w:b/>
          <w:sz w:val="52"/>
          <w:szCs w:val="52"/>
          <w:lang w:val="es-ES_tradnl"/>
        </w:rPr>
        <w:t xml:space="preserve">. </w:t>
      </w:r>
      <w:r w:rsidR="000D45CC">
        <w:rPr>
          <w:rFonts w:ascii="Book Antiqua" w:hAnsi="Book Antiqua"/>
          <w:b/>
          <w:sz w:val="52"/>
          <w:szCs w:val="52"/>
          <w:lang w:val="es-ES_tradnl"/>
        </w:rPr>
        <w:t>143</w:t>
      </w:r>
    </w:p>
    <w:p w14:paraId="2F578C80" w14:textId="1D6CCCAD"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A04B14">
        <w:rPr>
          <w:rFonts w:ascii="Book Antiqua" w:hAnsi="Book Antiqua"/>
          <w:b/>
          <w:bCs/>
          <w:sz w:val="28"/>
          <w:szCs w:val="22"/>
          <w:lang w:val="es-ES_tradnl"/>
        </w:rPr>
        <w:t>POSITIVO</w:t>
      </w:r>
      <w:r w:rsidR="00DE2902" w:rsidRPr="00BC74F8">
        <w:rPr>
          <w:rFonts w:ascii="Book Antiqua" w:hAnsi="Book Antiqua"/>
          <w:b/>
          <w:bCs/>
          <w:sz w:val="28"/>
          <w:szCs w:val="22"/>
          <w:lang w:val="es-ES_tradnl"/>
        </w:rPr>
        <w:t xml:space="preserve"> </w:t>
      </w:r>
    </w:p>
    <w:p w14:paraId="77734161" w14:textId="751A70C0" w:rsidR="000F6729" w:rsidRPr="007E538D" w:rsidRDefault="00BF2C94" w:rsidP="007E538D">
      <w:pPr>
        <w:spacing w:line="360" w:lineRule="auto"/>
        <w:jc w:val="center"/>
        <w:rPr>
          <w:rFonts w:ascii="Book Antiqua" w:hAnsi="Book Antiqua"/>
          <w:i/>
          <w:szCs w:val="24"/>
          <w:lang w:val="es-419"/>
        </w:rPr>
      </w:pPr>
      <w:r>
        <w:rPr>
          <w:rFonts w:ascii="Book Antiqua" w:hAnsi="Book Antiqua"/>
          <w:lang w:val="es-ES_tradnl"/>
        </w:rPr>
        <w:t>11 de agosto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54243308"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w:t>
      </w:r>
      <w:r w:rsidR="006A6960" w:rsidRPr="000D1F8B">
        <w:rPr>
          <w:rFonts w:ascii="Book Antiqua" w:hAnsi="Book Antiqua"/>
          <w:b/>
          <w:szCs w:val="24"/>
          <w:lang w:val="es-ES_tradnl"/>
        </w:rPr>
        <w:t>Proyecto de</w:t>
      </w:r>
      <w:r w:rsidR="00A04B14" w:rsidRPr="000D1F8B">
        <w:rPr>
          <w:rFonts w:ascii="Book Antiqua" w:hAnsi="Book Antiqua"/>
          <w:b/>
          <w:szCs w:val="24"/>
          <w:lang w:val="es-ES_tradnl"/>
        </w:rPr>
        <w:t xml:space="preserve"> </w:t>
      </w:r>
      <w:r w:rsidR="006A6960" w:rsidRPr="000D1F8B">
        <w:rPr>
          <w:rFonts w:ascii="Book Antiqua" w:hAnsi="Book Antiqua"/>
          <w:b/>
          <w:szCs w:val="24"/>
          <w:lang w:val="es-ES_tradnl"/>
        </w:rPr>
        <w:t>l</w:t>
      </w:r>
      <w:r w:rsidR="00A04B14" w:rsidRPr="000D1F8B">
        <w:rPr>
          <w:rFonts w:ascii="Book Antiqua" w:hAnsi="Book Antiqua"/>
          <w:b/>
          <w:szCs w:val="24"/>
          <w:lang w:val="es-ES_tradnl"/>
        </w:rPr>
        <w:t>a</w:t>
      </w:r>
      <w:r w:rsidR="006A6960" w:rsidRPr="000D1F8B">
        <w:rPr>
          <w:rFonts w:ascii="Book Antiqua" w:hAnsi="Book Antiqua"/>
          <w:b/>
          <w:szCs w:val="24"/>
          <w:lang w:val="es-ES_tradnl"/>
        </w:rPr>
        <w:t xml:space="preserve"> </w:t>
      </w:r>
      <w:r w:rsidR="00A04B14" w:rsidRPr="000D1F8B">
        <w:rPr>
          <w:rFonts w:ascii="Book Antiqua" w:hAnsi="Book Antiqua"/>
          <w:b/>
          <w:szCs w:val="24"/>
          <w:lang w:val="es-ES_tradnl"/>
        </w:rPr>
        <w:t xml:space="preserve">Cámara </w:t>
      </w:r>
      <w:r w:rsidR="000D45CC" w:rsidRPr="000D1F8B">
        <w:rPr>
          <w:rFonts w:ascii="Book Antiqua" w:hAnsi="Book Antiqua"/>
          <w:b/>
          <w:szCs w:val="24"/>
          <w:lang w:val="es-ES_tradnl"/>
        </w:rPr>
        <w:t>143</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425C0F97" w14:textId="77777777" w:rsidR="00160BD0" w:rsidRPr="009541BB" w:rsidRDefault="00160BD0" w:rsidP="00160BD0">
      <w:pPr>
        <w:suppressLineNumbers/>
        <w:jc w:val="center"/>
        <w:rPr>
          <w:rFonts w:ascii="Book Antiqua" w:hAnsi="Book Antiqua"/>
          <w:b/>
          <w:bCs/>
          <w:szCs w:val="24"/>
          <w:lang w:val="es-PR"/>
        </w:rPr>
      </w:pPr>
    </w:p>
    <w:p w14:paraId="4398D518" w14:textId="2A993ED0" w:rsidR="00761D2C" w:rsidRPr="00761D2C" w:rsidRDefault="000D1F8B" w:rsidP="00761D2C">
      <w:pPr>
        <w:ind w:firstLine="540"/>
        <w:jc w:val="both"/>
        <w:rPr>
          <w:rFonts w:ascii="Book Antiqua" w:hAnsi="Book Antiqua"/>
          <w:lang w:val="es-ES_tradnl"/>
        </w:rPr>
      </w:pPr>
      <w:r w:rsidRPr="006A6960">
        <w:rPr>
          <w:rFonts w:ascii="Book Antiqua" w:hAnsi="Book Antiqua"/>
          <w:bCs/>
          <w:szCs w:val="24"/>
          <w:lang w:val="es-ES_tradnl"/>
        </w:rPr>
        <w:t>El Proyecto de</w:t>
      </w:r>
      <w:r>
        <w:rPr>
          <w:rFonts w:ascii="Book Antiqua" w:hAnsi="Book Antiqua"/>
          <w:bCs/>
          <w:szCs w:val="24"/>
          <w:lang w:val="es-ES_tradnl"/>
        </w:rPr>
        <w:t xml:space="preserve"> la Cámara 143, tiene el propósito de </w:t>
      </w:r>
      <w:r w:rsidR="00761D2C" w:rsidRPr="00761D2C">
        <w:rPr>
          <w:rFonts w:ascii="Book Antiqua" w:hAnsi="Book Antiqua"/>
          <w:lang w:val="es-ES_tradnl"/>
        </w:rPr>
        <w:t>enmendar los artículos 2.04, 11.03 y 11.04 de la Ley 85-2018, según enmendada, conocida como “Ley de Reforma Educativa de Puerto Rico”, con el propósito de ampliar la gama de personas y grupos que podrán prestar sus servicios al Departamento de Educación, para ofrecer a los estudiantes charlas, adiestramientos o mentorías sobre la planificación y el manejo de las finanzas</w:t>
      </w:r>
      <w:r>
        <w:rPr>
          <w:rFonts w:ascii="Book Antiqua" w:hAnsi="Book Antiqua"/>
          <w:lang w:val="es-ES_tradnl"/>
        </w:rPr>
        <w:t>.</w:t>
      </w:r>
      <w:r w:rsidR="00761D2C" w:rsidRPr="00761D2C">
        <w:rPr>
          <w:rFonts w:ascii="Book Antiqua" w:hAnsi="Book Antiqua"/>
          <w:lang w:val="es-ES_tradnl"/>
        </w:rPr>
        <w:t xml:space="preserve"> </w:t>
      </w:r>
    </w:p>
    <w:p w14:paraId="15E060BD" w14:textId="77777777" w:rsidR="00324320" w:rsidRPr="00761D2C" w:rsidRDefault="00324320" w:rsidP="00816D27">
      <w:pPr>
        <w:ind w:firstLine="540"/>
        <w:jc w:val="both"/>
        <w:rPr>
          <w:rFonts w:ascii="Book Antiqua" w:hAnsi="Book Antiqua"/>
          <w:bCs/>
          <w:szCs w:val="24"/>
          <w:lang w:val="es-ES_tradnl"/>
        </w:rPr>
      </w:pPr>
    </w:p>
    <w:p w14:paraId="2083541B" w14:textId="7F9BFFB2" w:rsidR="0072499D" w:rsidRPr="00637621" w:rsidRDefault="0072499D" w:rsidP="0072499D">
      <w:pPr>
        <w:ind w:firstLine="540"/>
        <w:jc w:val="both"/>
        <w:rPr>
          <w:rFonts w:ascii="Book Antiqua" w:hAnsi="Book Antiqua"/>
          <w:bCs/>
          <w:lang w:val="es-PR"/>
        </w:rPr>
      </w:pPr>
    </w:p>
    <w:p w14:paraId="4F4A9207" w14:textId="77777777" w:rsidR="00CA4407" w:rsidRDefault="00112D46" w:rsidP="00CA4407">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3AC33046" w14:textId="77777777" w:rsidR="00824864" w:rsidRPr="00824864" w:rsidRDefault="00824864" w:rsidP="00824864">
      <w:pPr>
        <w:rPr>
          <w:lang w:val="es-US"/>
        </w:rPr>
      </w:pPr>
    </w:p>
    <w:p w14:paraId="0C1F613D" w14:textId="637046E6" w:rsidR="000D1F8B" w:rsidRPr="000D1F8B" w:rsidRDefault="000D1F8B" w:rsidP="000D1F8B">
      <w:pPr>
        <w:ind w:firstLine="720"/>
        <w:jc w:val="both"/>
        <w:rPr>
          <w:rFonts w:ascii="Book Antiqua" w:hAnsi="Book Antiqua"/>
          <w:iCs/>
          <w:spacing w:val="-3"/>
          <w:szCs w:val="24"/>
          <w:lang w:val="es-PR"/>
        </w:rPr>
      </w:pPr>
      <w:r w:rsidRPr="000D1F8B">
        <w:rPr>
          <w:rFonts w:ascii="Book Antiqua" w:hAnsi="Book Antiqua"/>
          <w:iCs/>
          <w:spacing w:val="-3"/>
          <w:szCs w:val="24"/>
          <w:lang w:val="es-PR"/>
        </w:rPr>
        <w:t>En un entorno económico cada vez más complejo y desafiante, la educación financiera ha dejado de ser una opción complementaria para convertirse en una necesidad esencial. Este Proyecto de Ley persigue un objetivo impostergable: fortalecer la preparación de nuestros estudiantes del sistema público de enseñanza mediante la integración de adiestramientos, mentorías y charlas especializadas en temas de planificación y manejo financiero. Esta medida, al enmendar la Ley 85-2018,</w:t>
      </w:r>
      <w:r>
        <w:rPr>
          <w:rFonts w:ascii="Book Antiqua" w:hAnsi="Book Antiqua"/>
          <w:iCs/>
          <w:spacing w:val="-3"/>
          <w:szCs w:val="24"/>
          <w:lang w:val="es-PR"/>
        </w:rPr>
        <w:t xml:space="preserve"> </w:t>
      </w:r>
      <w:r w:rsidRPr="000D1F8B">
        <w:rPr>
          <w:rFonts w:ascii="Book Antiqua" w:hAnsi="Book Antiqua"/>
          <w:i/>
          <w:spacing w:val="-3"/>
          <w:szCs w:val="24"/>
          <w:lang w:val="es-PR"/>
        </w:rPr>
        <w:t>supra</w:t>
      </w:r>
      <w:r>
        <w:rPr>
          <w:rFonts w:ascii="Book Antiqua" w:hAnsi="Book Antiqua"/>
          <w:iCs/>
          <w:spacing w:val="-3"/>
          <w:szCs w:val="24"/>
          <w:lang w:val="es-PR"/>
        </w:rPr>
        <w:t>,</w:t>
      </w:r>
      <w:r w:rsidRPr="000D1F8B">
        <w:rPr>
          <w:rFonts w:ascii="Book Antiqua" w:hAnsi="Book Antiqua"/>
          <w:iCs/>
          <w:spacing w:val="-3"/>
          <w:szCs w:val="24"/>
          <w:lang w:val="es-PR"/>
        </w:rPr>
        <w:t xml:space="preserve"> permite que una gama más </w:t>
      </w:r>
      <w:r w:rsidRPr="000D1F8B">
        <w:rPr>
          <w:rFonts w:ascii="Book Antiqua" w:hAnsi="Book Antiqua"/>
          <w:iCs/>
          <w:spacing w:val="-3"/>
          <w:szCs w:val="24"/>
          <w:lang w:val="es-PR"/>
        </w:rPr>
        <w:lastRenderedPageBreak/>
        <w:t>amplia de personas y entidades capacitadas colabore con el Departamento de Educación para brindar herramientas prácticas y conocimientos sólidos que preparen a nuestros jóvenes para enfrentar el futuro con mayor seguridad económica y personal.</w:t>
      </w:r>
    </w:p>
    <w:p w14:paraId="4CBCFEF9" w14:textId="77777777" w:rsidR="000D1F8B" w:rsidRDefault="000D1F8B" w:rsidP="000D1F8B">
      <w:pPr>
        <w:jc w:val="both"/>
        <w:rPr>
          <w:rFonts w:ascii="Book Antiqua" w:hAnsi="Book Antiqua"/>
          <w:iCs/>
          <w:spacing w:val="-3"/>
          <w:szCs w:val="24"/>
          <w:lang w:val="es-PR"/>
        </w:rPr>
      </w:pPr>
    </w:p>
    <w:p w14:paraId="2AE227D2" w14:textId="14F9C310" w:rsidR="000D1F8B" w:rsidRPr="000D1F8B" w:rsidRDefault="000D1F8B" w:rsidP="000D1F8B">
      <w:pPr>
        <w:ind w:firstLine="720"/>
        <w:jc w:val="both"/>
        <w:rPr>
          <w:rFonts w:ascii="Book Antiqua" w:hAnsi="Book Antiqua"/>
          <w:iCs/>
          <w:spacing w:val="-3"/>
          <w:szCs w:val="24"/>
          <w:lang w:val="es-PR"/>
        </w:rPr>
      </w:pPr>
      <w:r w:rsidRPr="000D1F8B">
        <w:rPr>
          <w:rFonts w:ascii="Book Antiqua" w:hAnsi="Book Antiqua"/>
          <w:iCs/>
          <w:spacing w:val="-3"/>
          <w:szCs w:val="24"/>
          <w:lang w:val="es-PR"/>
        </w:rPr>
        <w:t xml:space="preserve">La realidad socioeconómica de Puerto Rico nos obliga a actuar con urgencia. Según el Estudio de Capacitación Financiera realizado por la Oficina del Comisionado de Instituciones Financieras en 2021, un 64% de los adultos en la Isla admitió no contar con un presupuesto personal, mientras que más del 50% reportó dificultades para cubrir sus gastos mensuales. Estos problemas no surgen en la adultez de manera aislada, sino que muchas veces son el resultado de una deficiencia estructural en la formación financiera desde edades tempranas. A su vez, el informe del Council </w:t>
      </w:r>
      <w:proofErr w:type="spellStart"/>
      <w:r w:rsidRPr="000D1F8B">
        <w:rPr>
          <w:rFonts w:ascii="Book Antiqua" w:hAnsi="Book Antiqua"/>
          <w:iCs/>
          <w:spacing w:val="-3"/>
          <w:szCs w:val="24"/>
          <w:lang w:val="es-PR"/>
        </w:rPr>
        <w:t>for</w:t>
      </w:r>
      <w:proofErr w:type="spellEnd"/>
      <w:r w:rsidRPr="000D1F8B">
        <w:rPr>
          <w:rFonts w:ascii="Book Antiqua" w:hAnsi="Book Antiqua"/>
          <w:iCs/>
          <w:spacing w:val="-3"/>
          <w:szCs w:val="24"/>
          <w:lang w:val="es-PR"/>
        </w:rPr>
        <w:t xml:space="preserve"> </w:t>
      </w:r>
      <w:proofErr w:type="spellStart"/>
      <w:r w:rsidRPr="000D1F8B">
        <w:rPr>
          <w:rFonts w:ascii="Book Antiqua" w:hAnsi="Book Antiqua"/>
          <w:iCs/>
          <w:spacing w:val="-3"/>
          <w:szCs w:val="24"/>
          <w:lang w:val="es-PR"/>
        </w:rPr>
        <w:t>Economic</w:t>
      </w:r>
      <w:proofErr w:type="spellEnd"/>
      <w:r w:rsidRPr="000D1F8B">
        <w:rPr>
          <w:rFonts w:ascii="Book Antiqua" w:hAnsi="Book Antiqua"/>
          <w:iCs/>
          <w:spacing w:val="-3"/>
          <w:szCs w:val="24"/>
          <w:lang w:val="es-PR"/>
        </w:rPr>
        <w:t xml:space="preserve"> </w:t>
      </w:r>
      <w:proofErr w:type="spellStart"/>
      <w:r w:rsidRPr="000D1F8B">
        <w:rPr>
          <w:rFonts w:ascii="Book Antiqua" w:hAnsi="Book Antiqua"/>
          <w:iCs/>
          <w:spacing w:val="-3"/>
          <w:szCs w:val="24"/>
          <w:lang w:val="es-PR"/>
        </w:rPr>
        <w:t>Education</w:t>
      </w:r>
      <w:proofErr w:type="spellEnd"/>
      <w:r w:rsidRPr="000D1F8B">
        <w:rPr>
          <w:rFonts w:ascii="Book Antiqua" w:hAnsi="Book Antiqua"/>
          <w:iCs/>
          <w:spacing w:val="-3"/>
          <w:szCs w:val="24"/>
          <w:lang w:val="es-PR"/>
        </w:rPr>
        <w:t xml:space="preserve"> (CEE) de 2023 señala que los estudiantes que reciben educación financiera básica desde la escuela exhiben menores niveles de endeudamiento, son más propensos a ahorrar, y cuentan con mejores decisiones de inversión en la adultez temprana.</w:t>
      </w:r>
    </w:p>
    <w:p w14:paraId="5F17DE96" w14:textId="77777777" w:rsidR="000D1F8B" w:rsidRDefault="000D1F8B" w:rsidP="000D1F8B">
      <w:pPr>
        <w:jc w:val="both"/>
        <w:rPr>
          <w:rFonts w:ascii="Book Antiqua" w:hAnsi="Book Antiqua"/>
          <w:iCs/>
          <w:spacing w:val="-3"/>
          <w:szCs w:val="24"/>
          <w:lang w:val="es-PR"/>
        </w:rPr>
      </w:pPr>
    </w:p>
    <w:p w14:paraId="411E61C8" w14:textId="07D1BD45" w:rsidR="000D1F8B" w:rsidRPr="000D1F8B" w:rsidRDefault="000D1F8B" w:rsidP="000D1F8B">
      <w:pPr>
        <w:ind w:firstLine="720"/>
        <w:jc w:val="both"/>
        <w:rPr>
          <w:rFonts w:ascii="Book Antiqua" w:hAnsi="Book Antiqua"/>
          <w:iCs/>
          <w:spacing w:val="-3"/>
          <w:szCs w:val="24"/>
          <w:lang w:val="es-PR"/>
        </w:rPr>
      </w:pPr>
      <w:r w:rsidRPr="000D1F8B">
        <w:rPr>
          <w:rFonts w:ascii="Book Antiqua" w:hAnsi="Book Antiqua"/>
          <w:iCs/>
          <w:spacing w:val="-3"/>
          <w:szCs w:val="24"/>
          <w:lang w:val="es-PR"/>
        </w:rPr>
        <w:t>Incorporar de manera efectiva la educación financiera en nuestras escuelas públicas no solo beneficia al individuo, sino también a toda la sociedad. Estudiantes con mayor conocimiento en el manejo de crédito, ahorro, presupuesto y planificación para el retiro contribuyen a una economía más sólida y a una ciudadanía más empoderada. Por esta razón, es fundamental permitir que profesionales externos</w:t>
      </w:r>
      <w:r>
        <w:rPr>
          <w:rFonts w:ascii="Book Antiqua" w:hAnsi="Book Antiqua"/>
          <w:iCs/>
          <w:spacing w:val="-3"/>
          <w:szCs w:val="24"/>
          <w:lang w:val="es-PR"/>
        </w:rPr>
        <w:t xml:space="preserve"> (</w:t>
      </w:r>
      <w:r w:rsidRPr="000D1F8B">
        <w:rPr>
          <w:rFonts w:ascii="Book Antiqua" w:hAnsi="Book Antiqua"/>
          <w:iCs/>
          <w:spacing w:val="-3"/>
          <w:szCs w:val="24"/>
          <w:lang w:val="es-PR"/>
        </w:rPr>
        <w:t>como contadores públicos autorizados, economistas, representantes del sector bancario y de las cooperativas, así como organizaciones sin fines de lucro especializadas</w:t>
      </w:r>
      <w:r>
        <w:rPr>
          <w:rFonts w:ascii="Book Antiqua" w:hAnsi="Book Antiqua"/>
          <w:iCs/>
          <w:spacing w:val="-3"/>
          <w:szCs w:val="24"/>
          <w:lang w:val="es-PR"/>
        </w:rPr>
        <w:t xml:space="preserve">) </w:t>
      </w:r>
      <w:r w:rsidRPr="000D1F8B">
        <w:rPr>
          <w:rFonts w:ascii="Book Antiqua" w:hAnsi="Book Antiqua"/>
          <w:iCs/>
          <w:spacing w:val="-3"/>
          <w:szCs w:val="24"/>
          <w:lang w:val="es-PR"/>
        </w:rPr>
        <w:t>formen parte activa del proceso educativo. Estos colaboradores aportan experiencia práctica y conocimientos actualizados, esenciales para brindar una formación pertinente y de calidad.</w:t>
      </w:r>
    </w:p>
    <w:p w14:paraId="21851788" w14:textId="77777777" w:rsidR="000D1F8B" w:rsidRDefault="000D1F8B" w:rsidP="000D1F8B">
      <w:pPr>
        <w:jc w:val="both"/>
        <w:rPr>
          <w:rFonts w:ascii="Book Antiqua" w:hAnsi="Book Antiqua"/>
          <w:iCs/>
          <w:spacing w:val="-3"/>
          <w:szCs w:val="24"/>
          <w:lang w:val="es-PR"/>
        </w:rPr>
      </w:pPr>
    </w:p>
    <w:p w14:paraId="4599FBDD" w14:textId="7F4974BF" w:rsidR="000D1F8B" w:rsidRPr="000D1F8B" w:rsidRDefault="000D1F8B" w:rsidP="000D1F8B">
      <w:pPr>
        <w:ind w:firstLine="720"/>
        <w:jc w:val="both"/>
        <w:rPr>
          <w:rFonts w:ascii="Book Antiqua" w:hAnsi="Book Antiqua"/>
          <w:iCs/>
          <w:spacing w:val="-3"/>
          <w:szCs w:val="24"/>
          <w:lang w:val="es-PR"/>
        </w:rPr>
      </w:pPr>
      <w:r w:rsidRPr="000D1F8B">
        <w:rPr>
          <w:rFonts w:ascii="Book Antiqua" w:hAnsi="Book Antiqua"/>
          <w:iCs/>
          <w:spacing w:val="-3"/>
          <w:szCs w:val="24"/>
          <w:lang w:val="es-PR"/>
        </w:rPr>
        <w:t xml:space="preserve">Asimismo, al abrir la puerta a nuevas alianzas con el Tercer Sector y el sector privado, se fomenta una visión colaborativa de la educación, donde la escuela no es una isla aislada del entorno, sino un punto de convergencia para todos los actores sociales comprometidos con el desarrollo de Puerto Rico. Esta medida responde también a los objetivos establecidos por organismos internacionales como la </w:t>
      </w:r>
      <w:r w:rsidR="00941E56" w:rsidRPr="00941E56">
        <w:rPr>
          <w:rFonts w:ascii="Book Antiqua" w:hAnsi="Book Antiqua"/>
          <w:iCs/>
          <w:spacing w:val="-3"/>
          <w:szCs w:val="24"/>
          <w:lang w:val="es-PR"/>
        </w:rPr>
        <w:t xml:space="preserve">Organización para la Cooperación y el Desarrollo Económico </w:t>
      </w:r>
      <w:r w:rsidR="00941E56">
        <w:rPr>
          <w:rFonts w:ascii="Book Antiqua" w:hAnsi="Book Antiqua"/>
          <w:iCs/>
          <w:spacing w:val="-3"/>
          <w:szCs w:val="24"/>
          <w:lang w:val="es-PR"/>
        </w:rPr>
        <w:t>(</w:t>
      </w:r>
      <w:r w:rsidRPr="000D1F8B">
        <w:rPr>
          <w:rFonts w:ascii="Book Antiqua" w:hAnsi="Book Antiqua"/>
          <w:iCs/>
          <w:spacing w:val="-3"/>
          <w:szCs w:val="24"/>
          <w:lang w:val="es-PR"/>
        </w:rPr>
        <w:t>OCDE</w:t>
      </w:r>
      <w:r w:rsidR="00941E56">
        <w:rPr>
          <w:rFonts w:ascii="Book Antiqua" w:hAnsi="Book Antiqua"/>
          <w:iCs/>
          <w:spacing w:val="-3"/>
          <w:szCs w:val="24"/>
          <w:lang w:val="es-PR"/>
        </w:rPr>
        <w:t>)</w:t>
      </w:r>
      <w:r w:rsidRPr="000D1F8B">
        <w:rPr>
          <w:rFonts w:ascii="Book Antiqua" w:hAnsi="Book Antiqua"/>
          <w:iCs/>
          <w:spacing w:val="-3"/>
          <w:szCs w:val="24"/>
          <w:lang w:val="es-PR"/>
        </w:rPr>
        <w:t>, que ha destacado que la educación financiera debe formar parte integral del currículo escolar, como medio para prevenir crisis económicas personales y fomentar la inclusión financiera.</w:t>
      </w:r>
    </w:p>
    <w:p w14:paraId="20B56873" w14:textId="77777777" w:rsidR="000D1F8B" w:rsidRDefault="000D1F8B" w:rsidP="000D1F8B">
      <w:pPr>
        <w:jc w:val="both"/>
        <w:rPr>
          <w:rFonts w:ascii="Book Antiqua" w:hAnsi="Book Antiqua"/>
          <w:iCs/>
          <w:spacing w:val="-3"/>
          <w:szCs w:val="24"/>
          <w:lang w:val="es-PR"/>
        </w:rPr>
      </w:pPr>
    </w:p>
    <w:p w14:paraId="3F602EB1" w14:textId="614CB7C0" w:rsidR="000D1F8B" w:rsidRPr="000D1F8B" w:rsidRDefault="000D1F8B" w:rsidP="000D1F8B">
      <w:pPr>
        <w:ind w:firstLine="720"/>
        <w:jc w:val="both"/>
        <w:rPr>
          <w:rFonts w:ascii="Book Antiqua" w:hAnsi="Book Antiqua"/>
          <w:iCs/>
          <w:spacing w:val="-3"/>
          <w:szCs w:val="24"/>
          <w:lang w:val="es-PR"/>
        </w:rPr>
      </w:pPr>
      <w:r w:rsidRPr="000D1F8B">
        <w:rPr>
          <w:rFonts w:ascii="Book Antiqua" w:hAnsi="Book Antiqua"/>
          <w:iCs/>
          <w:spacing w:val="-3"/>
          <w:szCs w:val="24"/>
          <w:lang w:val="es-PR"/>
        </w:rPr>
        <w:t xml:space="preserve">En </w:t>
      </w:r>
      <w:r w:rsidR="00941E56">
        <w:rPr>
          <w:rFonts w:ascii="Book Antiqua" w:hAnsi="Book Antiqua"/>
          <w:iCs/>
          <w:spacing w:val="-3"/>
          <w:szCs w:val="24"/>
          <w:lang w:val="es-PR"/>
        </w:rPr>
        <w:t>conclusión</w:t>
      </w:r>
      <w:r w:rsidRPr="000D1F8B">
        <w:rPr>
          <w:rFonts w:ascii="Book Antiqua" w:hAnsi="Book Antiqua"/>
          <w:iCs/>
          <w:spacing w:val="-3"/>
          <w:szCs w:val="24"/>
          <w:lang w:val="es-PR"/>
        </w:rPr>
        <w:t>, aprobar este proyecto es dar un paso firme hacia una educación más relevante, práctica y orientada al bienestar colectivo. Se trata de proveer a nuestros estudiantes no solo con conocimientos teóricos, sino con las herramientas necesarias para desenvolverse con éxito en la vida cotidiana, tomar decisiones financieras informadas y contribuir activamente a la recuperación y sostenibilidad económica de la Isla.</w:t>
      </w:r>
    </w:p>
    <w:p w14:paraId="63A641D5" w14:textId="77777777" w:rsidR="00080CAF" w:rsidRPr="00C32B6B" w:rsidRDefault="00080CAF" w:rsidP="00080CAF">
      <w:pPr>
        <w:jc w:val="both"/>
        <w:rPr>
          <w:rFonts w:ascii="Book Antiqua" w:hAnsi="Book Antiqua"/>
          <w:iCs/>
          <w:spacing w:val="-3"/>
          <w:szCs w:val="24"/>
          <w:lang w:val="es-ES_tradnl"/>
        </w:rPr>
      </w:pPr>
    </w:p>
    <w:p w14:paraId="1BAC5E0B" w14:textId="77777777" w:rsidR="00080CAF" w:rsidRDefault="00080CAF" w:rsidP="00080CAF">
      <w:pPr>
        <w:jc w:val="both"/>
        <w:rPr>
          <w:rFonts w:ascii="Book Antiqua" w:hAnsi="Book Antiqua"/>
          <w:iCs/>
          <w:spacing w:val="-3"/>
          <w:szCs w:val="24"/>
          <w:lang w:val="es-ES_tradnl"/>
        </w:rPr>
      </w:pPr>
    </w:p>
    <w:p w14:paraId="3BB97BEB" w14:textId="77777777" w:rsidR="00941E56" w:rsidRDefault="00941E56" w:rsidP="00391980">
      <w:pPr>
        <w:tabs>
          <w:tab w:val="left" w:pos="-720"/>
        </w:tabs>
        <w:suppressAutoHyphens/>
        <w:spacing w:before="120" w:after="120" w:line="360" w:lineRule="auto"/>
        <w:jc w:val="center"/>
        <w:rPr>
          <w:rFonts w:ascii="Book Antiqua" w:hAnsi="Book Antiqua"/>
          <w:b/>
          <w:bCs/>
          <w:szCs w:val="24"/>
          <w:lang w:val="es-ES"/>
        </w:rPr>
      </w:pPr>
    </w:p>
    <w:p w14:paraId="38FD1838" w14:textId="77777777" w:rsidR="00941E56" w:rsidRDefault="00941E56" w:rsidP="00391980">
      <w:pPr>
        <w:tabs>
          <w:tab w:val="left" w:pos="-720"/>
        </w:tabs>
        <w:suppressAutoHyphens/>
        <w:spacing w:before="120" w:after="120" w:line="360" w:lineRule="auto"/>
        <w:jc w:val="center"/>
        <w:rPr>
          <w:rFonts w:ascii="Book Antiqua" w:hAnsi="Book Antiqua"/>
          <w:b/>
          <w:bCs/>
          <w:szCs w:val="24"/>
          <w:lang w:val="es-ES"/>
        </w:rPr>
      </w:pPr>
    </w:p>
    <w:p w14:paraId="52037E3D" w14:textId="55D3CA1A" w:rsidR="00391980" w:rsidRDefault="00A00629" w:rsidP="00391980">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A</w:t>
      </w:r>
      <w:r w:rsidR="00391980" w:rsidRPr="00391980">
        <w:rPr>
          <w:rFonts w:ascii="Book Antiqua" w:hAnsi="Book Antiqua"/>
          <w:b/>
          <w:bCs/>
          <w:szCs w:val="24"/>
          <w:lang w:val="es-ES"/>
        </w:rPr>
        <w:t xml:space="preserve">NÁLISIS DE LA MEDIDA </w:t>
      </w:r>
    </w:p>
    <w:p w14:paraId="1955876C" w14:textId="77777777" w:rsidR="00941E56" w:rsidRDefault="00403016" w:rsidP="00674415">
      <w:pPr>
        <w:jc w:val="both"/>
        <w:rPr>
          <w:rFonts w:ascii="Book Antiqua" w:hAnsi="Book Antiqua"/>
          <w:szCs w:val="24"/>
          <w:lang w:val="es-ES"/>
        </w:rPr>
      </w:pPr>
      <w:r w:rsidRPr="00C40D4A">
        <w:rPr>
          <w:rFonts w:ascii="Book Antiqua" w:hAnsi="Book Antiqua"/>
          <w:b/>
          <w:bCs/>
          <w:szCs w:val="24"/>
          <w:lang w:val="es-ES"/>
        </w:rPr>
        <w:tab/>
      </w:r>
      <w:r w:rsidR="00F95679" w:rsidRPr="00C40D4A">
        <w:rPr>
          <w:rFonts w:ascii="Book Antiqua" w:hAnsi="Book Antiqua"/>
          <w:szCs w:val="24"/>
          <w:lang w:val="es-ES"/>
        </w:rPr>
        <w:t>L</w:t>
      </w:r>
      <w:r w:rsidR="00391980" w:rsidRPr="00C40D4A">
        <w:rPr>
          <w:rFonts w:ascii="Book Antiqua" w:hAnsi="Book Antiqua"/>
          <w:szCs w:val="24"/>
          <w:lang w:val="es-ES"/>
        </w:rPr>
        <w:t>a Comisión de</w:t>
      </w:r>
      <w:r w:rsidR="00F95679" w:rsidRPr="00C40D4A">
        <w:rPr>
          <w:rFonts w:ascii="Book Antiqua" w:hAnsi="Book Antiqua"/>
          <w:szCs w:val="24"/>
          <w:lang w:val="es-ES"/>
        </w:rPr>
        <w:t xml:space="preserve"> Educación, Arte y Cultura del Senado de Puerto Rico, en adelante</w:t>
      </w:r>
      <w:r w:rsidR="00391980" w:rsidRPr="00C40D4A">
        <w:rPr>
          <w:rFonts w:ascii="Book Antiqua" w:hAnsi="Book Antiqua"/>
          <w:szCs w:val="24"/>
          <w:lang w:val="es-ES"/>
        </w:rPr>
        <w:t xml:space="preserve">, </w:t>
      </w:r>
      <w:r w:rsidR="00F95679" w:rsidRPr="00C40D4A">
        <w:rPr>
          <w:rFonts w:ascii="Book Antiqua" w:hAnsi="Book Antiqua"/>
          <w:szCs w:val="24"/>
          <w:lang w:val="es-ES"/>
        </w:rPr>
        <w:t xml:space="preserve">Comisión, como parte de la evaluación y análisis del </w:t>
      </w:r>
      <w:r w:rsidR="00391980" w:rsidRPr="00C40D4A">
        <w:rPr>
          <w:rFonts w:ascii="Book Antiqua" w:hAnsi="Book Antiqua"/>
          <w:szCs w:val="24"/>
          <w:lang w:val="es-ES"/>
        </w:rPr>
        <w:t>P. de</w:t>
      </w:r>
      <w:r w:rsidR="00200A9F" w:rsidRPr="00C40D4A">
        <w:rPr>
          <w:rFonts w:ascii="Book Antiqua" w:hAnsi="Book Antiqua"/>
          <w:szCs w:val="24"/>
          <w:lang w:val="es-ES"/>
        </w:rPr>
        <w:t xml:space="preserve"> </w:t>
      </w:r>
      <w:r w:rsidR="00391980" w:rsidRPr="00C40D4A">
        <w:rPr>
          <w:rFonts w:ascii="Book Antiqua" w:hAnsi="Book Antiqua"/>
          <w:szCs w:val="24"/>
          <w:lang w:val="es-ES"/>
        </w:rPr>
        <w:t>l</w:t>
      </w:r>
      <w:r w:rsidR="00200A9F" w:rsidRPr="00C40D4A">
        <w:rPr>
          <w:rFonts w:ascii="Book Antiqua" w:hAnsi="Book Antiqua"/>
          <w:szCs w:val="24"/>
          <w:lang w:val="es-ES"/>
        </w:rPr>
        <w:t>a</w:t>
      </w:r>
      <w:r w:rsidR="00391980" w:rsidRPr="00C40D4A">
        <w:rPr>
          <w:rFonts w:ascii="Book Antiqua" w:hAnsi="Book Antiqua"/>
          <w:szCs w:val="24"/>
          <w:lang w:val="es-ES"/>
        </w:rPr>
        <w:t xml:space="preserve"> </w:t>
      </w:r>
      <w:r w:rsidR="00200A9F" w:rsidRPr="00C40D4A">
        <w:rPr>
          <w:rFonts w:ascii="Book Antiqua" w:hAnsi="Book Antiqua"/>
          <w:szCs w:val="24"/>
          <w:lang w:val="es-ES"/>
        </w:rPr>
        <w:t>C</w:t>
      </w:r>
      <w:r w:rsidR="00391980" w:rsidRPr="00C40D4A">
        <w:rPr>
          <w:rFonts w:ascii="Book Antiqua" w:hAnsi="Book Antiqua"/>
          <w:szCs w:val="24"/>
          <w:lang w:val="es-ES"/>
        </w:rPr>
        <w:t xml:space="preserve">. </w:t>
      </w:r>
      <w:r w:rsidR="00200A9F" w:rsidRPr="00C40D4A">
        <w:rPr>
          <w:rFonts w:ascii="Book Antiqua" w:hAnsi="Book Antiqua"/>
          <w:szCs w:val="24"/>
          <w:lang w:val="es-ES"/>
        </w:rPr>
        <w:t>143</w:t>
      </w:r>
      <w:r w:rsidR="00F95679" w:rsidRPr="00C40D4A">
        <w:rPr>
          <w:rFonts w:ascii="Book Antiqua" w:hAnsi="Book Antiqua"/>
          <w:szCs w:val="24"/>
          <w:lang w:val="es-ES"/>
        </w:rPr>
        <w:t>,</w:t>
      </w:r>
      <w:r w:rsidR="00391980" w:rsidRPr="00C40D4A">
        <w:rPr>
          <w:rFonts w:ascii="Book Antiqua" w:hAnsi="Book Antiqua"/>
          <w:szCs w:val="24"/>
          <w:lang w:val="es-ES"/>
        </w:rPr>
        <w:t xml:space="preserve"> </w:t>
      </w:r>
      <w:r w:rsidR="00A56440" w:rsidRPr="00C40D4A">
        <w:rPr>
          <w:rFonts w:ascii="Book Antiqua" w:hAnsi="Book Antiqua"/>
          <w:szCs w:val="24"/>
          <w:lang w:val="es-ES"/>
        </w:rPr>
        <w:t xml:space="preserve">solicitó memoriales explicativos </w:t>
      </w:r>
      <w:r w:rsidR="004E5427" w:rsidRPr="00C40D4A">
        <w:rPr>
          <w:rFonts w:ascii="Book Antiqua" w:hAnsi="Book Antiqua"/>
          <w:szCs w:val="24"/>
          <w:lang w:val="es-ES"/>
        </w:rPr>
        <w:t>a</w:t>
      </w:r>
      <w:r w:rsidR="00120444" w:rsidRPr="00C40D4A">
        <w:rPr>
          <w:rFonts w:ascii="Book Antiqua" w:hAnsi="Book Antiqua"/>
          <w:szCs w:val="24"/>
          <w:lang w:val="es-ES"/>
        </w:rPr>
        <w:t>l Departamento de Educación de Puerto Rico</w:t>
      </w:r>
      <w:r w:rsidR="000E0B63" w:rsidRPr="00C40D4A">
        <w:rPr>
          <w:rFonts w:ascii="Book Antiqua" w:hAnsi="Book Antiqua"/>
          <w:szCs w:val="24"/>
          <w:lang w:val="es-ES"/>
        </w:rPr>
        <w:t>;</w:t>
      </w:r>
      <w:r w:rsidR="00A85159" w:rsidRPr="00C40D4A">
        <w:rPr>
          <w:rFonts w:ascii="Book Antiqua" w:hAnsi="Book Antiqua"/>
          <w:szCs w:val="24"/>
          <w:lang w:val="es-ES"/>
        </w:rPr>
        <w:t xml:space="preserve"> Oficina de Comisionado de Instituciones Financieras</w:t>
      </w:r>
      <w:r w:rsidR="00132E93" w:rsidRPr="00C40D4A">
        <w:rPr>
          <w:rFonts w:ascii="Book Antiqua" w:hAnsi="Book Antiqua"/>
          <w:szCs w:val="24"/>
          <w:lang w:val="es-ES"/>
        </w:rPr>
        <w:t xml:space="preserve">; </w:t>
      </w:r>
      <w:r w:rsidR="00857284" w:rsidRPr="00C40D4A">
        <w:rPr>
          <w:rFonts w:ascii="Book Antiqua" w:hAnsi="Book Antiqua" w:cs="Arial"/>
          <w:szCs w:val="24"/>
          <w:lang w:val="es-ES_tradnl"/>
        </w:rPr>
        <w:t>Corporación Pública para la Supervisión y Seguro de Cooperativas de Puerto Rico</w:t>
      </w:r>
      <w:r w:rsidR="0083327E" w:rsidRPr="00C40D4A">
        <w:rPr>
          <w:rFonts w:ascii="Book Antiqua" w:hAnsi="Book Antiqua" w:cs="Arial"/>
          <w:szCs w:val="24"/>
          <w:lang w:val="es-ES_tradnl"/>
        </w:rPr>
        <w:t xml:space="preserve">; Colegio de Contadores Públicos Autorizados de Puerto Rico; </w:t>
      </w:r>
      <w:r w:rsidR="00C95F62" w:rsidRPr="00C40D4A">
        <w:rPr>
          <w:rFonts w:ascii="Book Antiqua" w:hAnsi="Book Antiqua" w:cs="Arial"/>
          <w:szCs w:val="24"/>
          <w:lang w:val="es-ES_tradnl"/>
        </w:rPr>
        <w:t>Asociación de Economistas de Puerto Rico</w:t>
      </w:r>
      <w:r w:rsidR="009709A7" w:rsidRPr="00C40D4A">
        <w:rPr>
          <w:rFonts w:ascii="Book Antiqua" w:hAnsi="Book Antiqua" w:cs="Arial"/>
          <w:szCs w:val="24"/>
          <w:lang w:val="es-ES_tradnl"/>
        </w:rPr>
        <w:t xml:space="preserve"> y </w:t>
      </w:r>
      <w:r w:rsidR="00953022" w:rsidRPr="00C40D4A">
        <w:rPr>
          <w:rFonts w:ascii="Book Antiqua" w:hAnsi="Book Antiqua" w:cs="Arial"/>
          <w:szCs w:val="24"/>
          <w:lang w:val="es-ES_tradnl"/>
        </w:rPr>
        <w:t>Asociación de Maestros</w:t>
      </w:r>
      <w:r w:rsidR="006C247C" w:rsidRPr="00C40D4A">
        <w:rPr>
          <w:rFonts w:ascii="Book Antiqua" w:hAnsi="Book Antiqua" w:cs="Arial"/>
          <w:szCs w:val="24"/>
          <w:lang w:val="es-ES_tradnl"/>
        </w:rPr>
        <w:t>.</w:t>
      </w:r>
      <w:r w:rsidR="00324320" w:rsidRPr="00C40D4A">
        <w:rPr>
          <w:rFonts w:ascii="Book Antiqua" w:hAnsi="Book Antiqua"/>
          <w:szCs w:val="24"/>
          <w:lang w:val="es-ES"/>
        </w:rPr>
        <w:t xml:space="preserve"> </w:t>
      </w:r>
    </w:p>
    <w:p w14:paraId="02FB0EA7" w14:textId="77777777" w:rsidR="00941E56" w:rsidRDefault="00941E56" w:rsidP="00674415">
      <w:pPr>
        <w:jc w:val="both"/>
        <w:rPr>
          <w:rFonts w:ascii="Book Antiqua" w:hAnsi="Book Antiqua"/>
          <w:szCs w:val="24"/>
          <w:lang w:val="es-ES"/>
        </w:rPr>
      </w:pPr>
    </w:p>
    <w:p w14:paraId="152212B1" w14:textId="0B94B5A4" w:rsidR="00674415" w:rsidRDefault="00324320" w:rsidP="00941E56">
      <w:pPr>
        <w:ind w:firstLine="720"/>
        <w:jc w:val="both"/>
        <w:rPr>
          <w:rFonts w:ascii="Book Antiqua" w:hAnsi="Book Antiqua"/>
          <w:szCs w:val="24"/>
          <w:lang w:val="es-ES"/>
        </w:rPr>
      </w:pPr>
      <w:r w:rsidRPr="00C40D4A">
        <w:rPr>
          <w:rFonts w:ascii="Book Antiqua" w:hAnsi="Book Antiqua"/>
          <w:szCs w:val="24"/>
          <w:lang w:val="es-ES"/>
        </w:rPr>
        <w:t xml:space="preserve">Al momento de la redacción de este informe, </w:t>
      </w:r>
      <w:r w:rsidR="008259D4" w:rsidRPr="00C40D4A">
        <w:rPr>
          <w:rFonts w:ascii="Book Antiqua" w:hAnsi="Book Antiqua"/>
          <w:szCs w:val="24"/>
          <w:lang w:val="es-ES"/>
        </w:rPr>
        <w:t>solo</w:t>
      </w:r>
      <w:r w:rsidRPr="00C40D4A">
        <w:rPr>
          <w:rFonts w:ascii="Book Antiqua" w:hAnsi="Book Antiqua"/>
          <w:szCs w:val="24"/>
          <w:lang w:val="es-ES"/>
        </w:rPr>
        <w:t xml:space="preserve"> habíamos recibido </w:t>
      </w:r>
      <w:r w:rsidR="007364B8" w:rsidRPr="00C40D4A">
        <w:rPr>
          <w:rFonts w:ascii="Book Antiqua" w:hAnsi="Book Antiqua"/>
          <w:szCs w:val="24"/>
          <w:lang w:val="es-ES"/>
        </w:rPr>
        <w:t>el</w:t>
      </w:r>
      <w:r w:rsidRPr="00C40D4A">
        <w:rPr>
          <w:rFonts w:ascii="Book Antiqua" w:hAnsi="Book Antiqua"/>
          <w:szCs w:val="24"/>
          <w:lang w:val="es-ES"/>
        </w:rPr>
        <w:t xml:space="preserve"> memorial </w:t>
      </w:r>
      <w:r w:rsidR="00C40D4A" w:rsidRPr="00C40D4A">
        <w:rPr>
          <w:rFonts w:ascii="Book Antiqua" w:hAnsi="Book Antiqua"/>
          <w:szCs w:val="24"/>
          <w:lang w:val="es-ES"/>
        </w:rPr>
        <w:t>del Departamento</w:t>
      </w:r>
      <w:r w:rsidR="008259D4" w:rsidRPr="00C40D4A">
        <w:rPr>
          <w:rFonts w:ascii="Book Antiqua" w:hAnsi="Book Antiqua"/>
          <w:szCs w:val="24"/>
          <w:lang w:val="es-ES"/>
        </w:rPr>
        <w:t xml:space="preserve"> de Educación de Puerto Rico; Oficina de Comisionado de Instituciones Financieras</w:t>
      </w:r>
      <w:r w:rsidR="00791358">
        <w:rPr>
          <w:rFonts w:ascii="Book Antiqua" w:hAnsi="Book Antiqua"/>
          <w:szCs w:val="24"/>
          <w:lang w:val="es-ES"/>
        </w:rPr>
        <w:t xml:space="preserve"> y </w:t>
      </w:r>
      <w:r w:rsidR="008259D4" w:rsidRPr="00C40D4A">
        <w:rPr>
          <w:rFonts w:ascii="Book Antiqua" w:hAnsi="Book Antiqua" w:cs="Arial"/>
          <w:szCs w:val="24"/>
          <w:lang w:val="es-ES_tradnl"/>
        </w:rPr>
        <w:t>Corporación Pública para la Supervisión y Seguro de Cooperativas de Puerto Rico</w:t>
      </w:r>
      <w:r w:rsidR="00941E56">
        <w:rPr>
          <w:rFonts w:ascii="Book Antiqua" w:hAnsi="Book Antiqua"/>
          <w:szCs w:val="24"/>
          <w:lang w:val="es-ES"/>
        </w:rPr>
        <w:t>. N</w:t>
      </w:r>
      <w:r w:rsidR="007A7591">
        <w:rPr>
          <w:rFonts w:ascii="Book Antiqua" w:hAnsi="Book Antiqua"/>
          <w:szCs w:val="24"/>
          <w:lang w:val="es-ES"/>
        </w:rPr>
        <w:t>o obstante, recibimos el memorial explicativo</w:t>
      </w:r>
      <w:r w:rsidR="00A420F3">
        <w:rPr>
          <w:rFonts w:ascii="Book Antiqua" w:hAnsi="Book Antiqua"/>
          <w:szCs w:val="24"/>
          <w:lang w:val="es-ES"/>
        </w:rPr>
        <w:t xml:space="preserve"> </w:t>
      </w:r>
      <w:r w:rsidR="00626956">
        <w:rPr>
          <w:rFonts w:ascii="Book Antiqua" w:hAnsi="Book Antiqua"/>
          <w:szCs w:val="24"/>
          <w:lang w:val="es-ES"/>
        </w:rPr>
        <w:t>solicitados por la Comisión de Educación de la Cámara</w:t>
      </w:r>
      <w:r w:rsidR="00D271A9">
        <w:rPr>
          <w:rFonts w:ascii="Book Antiqua" w:hAnsi="Book Antiqua"/>
          <w:szCs w:val="24"/>
          <w:lang w:val="es-ES"/>
        </w:rPr>
        <w:t xml:space="preserve"> Representantes</w:t>
      </w:r>
      <w:r w:rsidR="00626956">
        <w:rPr>
          <w:rFonts w:ascii="Book Antiqua" w:hAnsi="Book Antiqua"/>
          <w:szCs w:val="24"/>
          <w:lang w:val="es-ES"/>
        </w:rPr>
        <w:t xml:space="preserve"> </w:t>
      </w:r>
      <w:r w:rsidR="00A420F3">
        <w:rPr>
          <w:rFonts w:ascii="Book Antiqua" w:hAnsi="Book Antiqua"/>
          <w:szCs w:val="24"/>
          <w:lang w:val="es-ES"/>
        </w:rPr>
        <w:t xml:space="preserve">de </w:t>
      </w:r>
      <w:r w:rsidR="00593C5E">
        <w:rPr>
          <w:rFonts w:ascii="Book Antiqua" w:hAnsi="Book Antiqua"/>
          <w:szCs w:val="24"/>
          <w:lang w:val="es-ES"/>
        </w:rPr>
        <w:t xml:space="preserve">la </w:t>
      </w:r>
      <w:r w:rsidR="00A420F3">
        <w:rPr>
          <w:rFonts w:ascii="Book Antiqua" w:hAnsi="Book Antiqua"/>
          <w:szCs w:val="24"/>
          <w:lang w:val="es-ES"/>
        </w:rPr>
        <w:t xml:space="preserve">Asociación de Maestros y </w:t>
      </w:r>
      <w:r w:rsidR="008E614D">
        <w:rPr>
          <w:rFonts w:ascii="Book Antiqua" w:hAnsi="Book Antiqua"/>
          <w:szCs w:val="24"/>
          <w:lang w:val="es-ES"/>
        </w:rPr>
        <w:t>Asociación de Bancos</w:t>
      </w:r>
      <w:r w:rsidR="00674415">
        <w:rPr>
          <w:rFonts w:ascii="Book Antiqua" w:hAnsi="Book Antiqua"/>
          <w:szCs w:val="24"/>
          <w:lang w:val="es-ES"/>
        </w:rPr>
        <w:t>, los cuales estaremos incluyendo como parte de la evaluación de la medida.</w:t>
      </w:r>
      <w:r w:rsidR="00674415">
        <w:rPr>
          <w:rFonts w:ascii="Book Antiqua" w:hAnsi="Book Antiqua"/>
          <w:szCs w:val="24"/>
          <w:lang w:val="es-ES"/>
        </w:rPr>
        <w:tab/>
      </w:r>
    </w:p>
    <w:p w14:paraId="4D8CA889" w14:textId="5733C0EE" w:rsidR="000C48FC" w:rsidRPr="00C40D4A" w:rsidRDefault="000C48FC" w:rsidP="008259D4">
      <w:pPr>
        <w:rPr>
          <w:rFonts w:ascii="Book Antiqua" w:hAnsi="Book Antiqua"/>
          <w:szCs w:val="24"/>
          <w:lang w:val="es-ES"/>
        </w:rPr>
      </w:pPr>
    </w:p>
    <w:p w14:paraId="430F993D" w14:textId="77777777" w:rsidR="00120444" w:rsidRDefault="00120444" w:rsidP="000C48FC">
      <w:pPr>
        <w:tabs>
          <w:tab w:val="left" w:pos="1440"/>
        </w:tabs>
        <w:jc w:val="center"/>
        <w:rPr>
          <w:rFonts w:ascii="Book Antiqua" w:hAnsi="Book Antiqua"/>
          <w:szCs w:val="24"/>
          <w:lang w:val="es-ES"/>
        </w:rPr>
      </w:pPr>
    </w:p>
    <w:p w14:paraId="054BEE33" w14:textId="4E2D3AA1" w:rsidR="00120444" w:rsidRPr="00CA4466" w:rsidRDefault="00120444" w:rsidP="000C48FC">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DEPARTAMENTO DE EDUCACIÓN DE PUERTO RICO</w:t>
      </w:r>
    </w:p>
    <w:p w14:paraId="45CD9F82" w14:textId="77777777" w:rsidR="00800740" w:rsidRDefault="00800740" w:rsidP="0059606B">
      <w:pPr>
        <w:jc w:val="both"/>
        <w:rPr>
          <w:rFonts w:ascii="Book Antiqua" w:hAnsi="Book Antiqua"/>
          <w:szCs w:val="24"/>
          <w:lang w:val="es-PR"/>
        </w:rPr>
      </w:pPr>
    </w:p>
    <w:p w14:paraId="5B1A6AE8" w14:textId="77777777" w:rsidR="00045D29" w:rsidRDefault="00045D29" w:rsidP="00B05041">
      <w:pPr>
        <w:jc w:val="both"/>
        <w:rPr>
          <w:rFonts w:ascii="Book Antiqua" w:hAnsi="Book Antiqua"/>
          <w:szCs w:val="24"/>
          <w:lang w:val="es-ES_tradnl"/>
        </w:rPr>
      </w:pPr>
    </w:p>
    <w:p w14:paraId="2C734E51" w14:textId="77777777" w:rsidR="00045D29" w:rsidRPr="00045D29" w:rsidRDefault="00045D29" w:rsidP="00045D29">
      <w:pPr>
        <w:ind w:firstLine="720"/>
        <w:jc w:val="both"/>
        <w:rPr>
          <w:rFonts w:ascii="Book Antiqua" w:hAnsi="Book Antiqua"/>
          <w:szCs w:val="24"/>
          <w:lang w:val="es-PR"/>
        </w:rPr>
      </w:pPr>
      <w:r w:rsidRPr="00045D29">
        <w:rPr>
          <w:rFonts w:ascii="Book Antiqua" w:hAnsi="Book Antiqua"/>
          <w:szCs w:val="24"/>
          <w:lang w:val="es-PR"/>
        </w:rPr>
        <w:t>El Departamento de Educación de Puerto Rico (DEPR) expresa su apoyo al Proyecto de la Cámara 143, reconociendo que la medida representa una acción oportuna, estratégica y alineada con el deber constitucional de proveer una educación integral, gratuita y de excelencia a todos los estudiantes. En su análisis, el DEPR destaca que el fortalecimiento de la educación financiera desde etapas tempranas no solo es deseable, sino imprescindible para promover el bienestar individual y colectivo de la ciudadanía puertorriqueña, particularmente en el contexto de una sociedad que enfrenta retos económicos estructurales y una creciente necesidad de alfabetización financiera.</w:t>
      </w:r>
    </w:p>
    <w:p w14:paraId="01A9E3FF" w14:textId="77777777" w:rsidR="00045D29" w:rsidRDefault="00045D29" w:rsidP="00045D29">
      <w:pPr>
        <w:jc w:val="both"/>
        <w:rPr>
          <w:rFonts w:ascii="Book Antiqua" w:hAnsi="Book Antiqua"/>
          <w:szCs w:val="24"/>
          <w:lang w:val="es-PR"/>
        </w:rPr>
      </w:pPr>
    </w:p>
    <w:p w14:paraId="5E903DE9" w14:textId="78C6E771" w:rsidR="00045D29" w:rsidRPr="00045D29" w:rsidRDefault="00045D29" w:rsidP="00045D29">
      <w:pPr>
        <w:ind w:firstLine="720"/>
        <w:jc w:val="both"/>
        <w:rPr>
          <w:rFonts w:ascii="Book Antiqua" w:hAnsi="Book Antiqua"/>
          <w:szCs w:val="24"/>
          <w:lang w:val="es-PR"/>
        </w:rPr>
      </w:pPr>
      <w:r w:rsidRPr="00045D29">
        <w:rPr>
          <w:rFonts w:ascii="Book Antiqua" w:hAnsi="Book Antiqua"/>
          <w:szCs w:val="24"/>
          <w:lang w:val="es-PR"/>
        </w:rPr>
        <w:t>Desde el plano legal y constitucional, el DEPR recalca que el artículo II, sección 5 de la Constitución de Puerto Rico establece el derecho de toda persona a recibir una educación que contribuya al pleno desarrollo de su personalidad. Esta disposición sustenta la misión del sistema público de enseñanza como el principal instrumento de desarrollo humano, económico y social en la Isla. En línea con este mandato, el Departamento reafirma su responsabilidad de dotar a los estudiantes con las competencias necesarias para insertarse productivamente en la sociedad y enfrentar los retos del mundo moderno, entre ellos, el manejo adecuado de sus recursos financieros.</w:t>
      </w:r>
    </w:p>
    <w:p w14:paraId="25968C92" w14:textId="77777777" w:rsidR="00045D29" w:rsidRDefault="00045D29" w:rsidP="00045D29">
      <w:pPr>
        <w:jc w:val="both"/>
        <w:rPr>
          <w:rFonts w:ascii="Book Antiqua" w:hAnsi="Book Antiqua"/>
          <w:szCs w:val="24"/>
          <w:lang w:val="es-PR"/>
        </w:rPr>
      </w:pPr>
    </w:p>
    <w:p w14:paraId="51F73E6D" w14:textId="1B9B76A9" w:rsidR="00045D29" w:rsidRPr="00045D29" w:rsidRDefault="00045D29" w:rsidP="00045D29">
      <w:pPr>
        <w:ind w:firstLine="720"/>
        <w:jc w:val="both"/>
        <w:rPr>
          <w:rFonts w:ascii="Book Antiqua" w:hAnsi="Book Antiqua"/>
          <w:szCs w:val="24"/>
          <w:lang w:val="es-PR"/>
        </w:rPr>
      </w:pPr>
      <w:r w:rsidRPr="00045D29">
        <w:rPr>
          <w:rFonts w:ascii="Book Antiqua" w:hAnsi="Book Antiqua"/>
          <w:szCs w:val="24"/>
          <w:lang w:val="es-PR"/>
        </w:rPr>
        <w:t xml:space="preserve">El DEPR destaca que esta medida responde a una realidad evidente: muchos jóvenes egresan del sistema educativo sin contar con las herramientas básicas para tomar decisiones financieras informadas. A través de esta legislación, se busca reforzar los </w:t>
      </w:r>
      <w:r w:rsidRPr="00045D29">
        <w:rPr>
          <w:rFonts w:ascii="Book Antiqua" w:hAnsi="Book Antiqua"/>
          <w:szCs w:val="24"/>
          <w:lang w:val="es-PR"/>
        </w:rPr>
        <w:lastRenderedPageBreak/>
        <w:t>esfuerzos ya existentes e integrar de manera más amplia y estructurada a sectores externos que puedan aportar experiencia, recursos técnicos y contenido actualizado. Además, el proyecto establece que el diseño del currículo será trabajado en colaboración con el Instituto de Educación Financiera de Puerto Rico y otras entidades especializadas, lo que asegura la pertinencia y confiabilidad del material educativo.</w:t>
      </w:r>
    </w:p>
    <w:p w14:paraId="4B5B3ECE" w14:textId="77777777" w:rsidR="00045D29" w:rsidRDefault="00045D29" w:rsidP="00045D29">
      <w:pPr>
        <w:jc w:val="both"/>
        <w:rPr>
          <w:rFonts w:ascii="Book Antiqua" w:hAnsi="Book Antiqua"/>
          <w:szCs w:val="24"/>
          <w:lang w:val="es-PR"/>
        </w:rPr>
      </w:pPr>
    </w:p>
    <w:p w14:paraId="1522B225" w14:textId="1DFB438D" w:rsidR="00045D29" w:rsidRPr="00045D29" w:rsidRDefault="00045D29" w:rsidP="00045D29">
      <w:pPr>
        <w:ind w:firstLine="720"/>
        <w:jc w:val="both"/>
        <w:rPr>
          <w:rFonts w:ascii="Book Antiqua" w:hAnsi="Book Antiqua"/>
          <w:szCs w:val="24"/>
          <w:lang w:val="es-PR"/>
        </w:rPr>
      </w:pPr>
      <w:r w:rsidRPr="00045D29">
        <w:rPr>
          <w:rFonts w:ascii="Book Antiqua" w:hAnsi="Book Antiqua"/>
          <w:szCs w:val="24"/>
          <w:lang w:val="es-PR"/>
        </w:rPr>
        <w:t>Una de las aportaciones más significativas del memorial es el reconocimiento del valor que tiene la educación financiera como estrategia de prevención. Enseñar a los estudiantes a manejar su dinero responsablemente, evitar el sobreendeudamiento y planificar para el retiro puede tener efectos duraderos que contribuyan a reducir la pobreza, fortalecer la estabilidad económica familiar y fomentar una ciudadanía más informada y empoderada. El DEPR subraya que este conocimiento es vital en una población que enfrenta desafíos económicos desde edades tempranas y que, muchas veces, reproduce patrones financieros inadecuados por falta de orientación o formación.</w:t>
      </w:r>
    </w:p>
    <w:p w14:paraId="415D7D89" w14:textId="77777777" w:rsidR="00045D29" w:rsidRDefault="00045D29" w:rsidP="00045D29">
      <w:pPr>
        <w:jc w:val="both"/>
        <w:rPr>
          <w:rFonts w:ascii="Book Antiqua" w:hAnsi="Book Antiqua"/>
          <w:szCs w:val="24"/>
          <w:lang w:val="es-PR"/>
        </w:rPr>
      </w:pPr>
    </w:p>
    <w:p w14:paraId="6F18E10C" w14:textId="6BF7F152" w:rsidR="00045D29" w:rsidRPr="00045D29" w:rsidRDefault="00045D29" w:rsidP="00045D29">
      <w:pPr>
        <w:ind w:firstLine="720"/>
        <w:jc w:val="both"/>
        <w:rPr>
          <w:rFonts w:ascii="Book Antiqua" w:hAnsi="Book Antiqua"/>
          <w:szCs w:val="24"/>
          <w:lang w:val="es-PR"/>
        </w:rPr>
      </w:pPr>
      <w:r w:rsidRPr="00045D29">
        <w:rPr>
          <w:rFonts w:ascii="Book Antiqua" w:hAnsi="Book Antiqua"/>
          <w:szCs w:val="24"/>
          <w:lang w:val="es-PR"/>
        </w:rPr>
        <w:t>El D</w:t>
      </w:r>
      <w:r w:rsidR="006A73C0">
        <w:rPr>
          <w:rFonts w:ascii="Book Antiqua" w:hAnsi="Book Antiqua"/>
          <w:szCs w:val="24"/>
          <w:lang w:val="es-PR"/>
        </w:rPr>
        <w:t>EPR</w:t>
      </w:r>
      <w:r w:rsidRPr="00045D29">
        <w:rPr>
          <w:rFonts w:ascii="Book Antiqua" w:hAnsi="Book Antiqua"/>
          <w:szCs w:val="24"/>
          <w:lang w:val="es-PR"/>
        </w:rPr>
        <w:t xml:space="preserve"> </w:t>
      </w:r>
      <w:r w:rsidR="006A73C0">
        <w:rPr>
          <w:rFonts w:ascii="Book Antiqua" w:hAnsi="Book Antiqua"/>
          <w:szCs w:val="24"/>
          <w:lang w:val="es-PR"/>
        </w:rPr>
        <w:t xml:space="preserve">expresa que ya </w:t>
      </w:r>
      <w:r w:rsidRPr="00045D29">
        <w:rPr>
          <w:rFonts w:ascii="Book Antiqua" w:hAnsi="Book Antiqua"/>
          <w:szCs w:val="24"/>
          <w:lang w:val="es-PR"/>
        </w:rPr>
        <w:t>existen esfuerzos en las escuelas para integrar temas financieros al currículo, y se ha observado un aumento en la participación del sector privado, que ha ofrecido talleres, materiales didácticos y experiencias educativas significativas. Sin embargo, se señala que aún hay espacio para mejorar el alcance, la calidad y la sostenibilidad de estos programas. Por ello, se recomienda fortalecer la capacitación de los docentes a través de programas de desarrollo profesional continuo, en colaboración con universidades y centros de investigación, que aseguren que los educadores cuenten con las herramientas necesarias para enseñar estos temas de manera efectiva y dinámica.</w:t>
      </w:r>
    </w:p>
    <w:p w14:paraId="066E87EF" w14:textId="77777777" w:rsidR="00045D29" w:rsidRDefault="00045D29" w:rsidP="00045D29">
      <w:pPr>
        <w:jc w:val="both"/>
        <w:rPr>
          <w:rFonts w:ascii="Book Antiqua" w:hAnsi="Book Antiqua"/>
          <w:szCs w:val="24"/>
          <w:lang w:val="es-PR"/>
        </w:rPr>
      </w:pPr>
    </w:p>
    <w:p w14:paraId="287E7EA0" w14:textId="66D69652" w:rsidR="00045D29" w:rsidRPr="00045D29" w:rsidRDefault="00045D29" w:rsidP="00045D29">
      <w:pPr>
        <w:ind w:firstLine="720"/>
        <w:jc w:val="both"/>
        <w:rPr>
          <w:rFonts w:ascii="Book Antiqua" w:hAnsi="Book Antiqua"/>
          <w:szCs w:val="24"/>
          <w:lang w:val="es-PR"/>
        </w:rPr>
      </w:pPr>
      <w:r w:rsidRPr="00045D29">
        <w:rPr>
          <w:rFonts w:ascii="Book Antiqua" w:hAnsi="Book Antiqua"/>
          <w:szCs w:val="24"/>
          <w:lang w:val="es-PR"/>
        </w:rPr>
        <w:t xml:space="preserve">El memorial concluye que el Proyecto de la Cámara 143 es una iniciativa pertinente, realista y alineada con las mejores prácticas de política educativa. Al fomentar alianzas estratégicas entre el gobierno, el sector privado, la sociedad civil y el mundo académico, se crea un ecosistema educativo más robusto, inclusivo y preparado para formar ciudadanos responsables y económicamente conscientes. Por todo lo anterior, el DEPR </w:t>
      </w:r>
      <w:r w:rsidR="006A73C0">
        <w:rPr>
          <w:rFonts w:ascii="Book Antiqua" w:hAnsi="Book Antiqua"/>
          <w:szCs w:val="24"/>
          <w:lang w:val="es-PR"/>
        </w:rPr>
        <w:t xml:space="preserve">favorece </w:t>
      </w:r>
      <w:r w:rsidRPr="00045D29">
        <w:rPr>
          <w:rFonts w:ascii="Book Antiqua" w:hAnsi="Book Antiqua"/>
          <w:szCs w:val="24"/>
          <w:lang w:val="es-PR"/>
        </w:rPr>
        <w:t>la aprobación de la medida, siempre que vaya acompañada de mecanismos adecuados de coordinación, supervisión y apoyo docente que aseguren su correcta implementación.</w:t>
      </w:r>
    </w:p>
    <w:p w14:paraId="2A415D67" w14:textId="77777777" w:rsidR="00045D29" w:rsidRDefault="00045D29" w:rsidP="00B05041">
      <w:pPr>
        <w:jc w:val="both"/>
        <w:rPr>
          <w:rFonts w:ascii="Book Antiqua" w:hAnsi="Book Antiqua"/>
          <w:szCs w:val="24"/>
          <w:lang w:val="es-ES_tradnl"/>
        </w:rPr>
      </w:pPr>
    </w:p>
    <w:p w14:paraId="7F1AEEC8" w14:textId="77777777" w:rsidR="00F33CDC" w:rsidRDefault="00F33CDC" w:rsidP="00B05041">
      <w:pPr>
        <w:jc w:val="both"/>
        <w:rPr>
          <w:rFonts w:ascii="Book Antiqua" w:hAnsi="Book Antiqua"/>
          <w:szCs w:val="24"/>
          <w:lang w:val="es-ES_tradnl"/>
        </w:rPr>
      </w:pPr>
    </w:p>
    <w:p w14:paraId="3D89F7C4" w14:textId="1ECD7CD1" w:rsidR="00F33CDC" w:rsidRPr="00CA4466" w:rsidRDefault="004C5BFA" w:rsidP="00F33CDC">
      <w:pPr>
        <w:tabs>
          <w:tab w:val="left" w:pos="1440"/>
        </w:tabs>
        <w:jc w:val="center"/>
        <w:rPr>
          <w:rFonts w:ascii="Book Antiqua" w:hAnsi="Book Antiqua"/>
          <w:b/>
          <w:bCs/>
          <w:szCs w:val="24"/>
          <w:u w:val="single"/>
          <w:lang w:val="es-ES"/>
        </w:rPr>
      </w:pPr>
      <w:r>
        <w:rPr>
          <w:rFonts w:ascii="Book Antiqua" w:hAnsi="Book Antiqua"/>
          <w:b/>
          <w:bCs/>
          <w:szCs w:val="24"/>
          <w:u w:val="single"/>
          <w:lang w:val="es-ES"/>
        </w:rPr>
        <w:t>O</w:t>
      </w:r>
      <w:r w:rsidR="002B6EE4">
        <w:rPr>
          <w:rFonts w:ascii="Book Antiqua" w:hAnsi="Book Antiqua"/>
          <w:b/>
          <w:bCs/>
          <w:szCs w:val="24"/>
          <w:u w:val="single"/>
          <w:lang w:val="es-ES"/>
        </w:rPr>
        <w:t>FICINA DE COMISIONADO DE INSTITUCIONES FINANCIERAS</w:t>
      </w:r>
    </w:p>
    <w:p w14:paraId="70F2E01C" w14:textId="77777777" w:rsidR="00F33CDC" w:rsidRPr="004256DA" w:rsidRDefault="00F33CDC" w:rsidP="00F33CDC">
      <w:pPr>
        <w:jc w:val="both"/>
        <w:rPr>
          <w:rFonts w:ascii="Book Antiqua" w:hAnsi="Book Antiqua"/>
          <w:szCs w:val="24"/>
          <w:lang w:val="es-PR"/>
        </w:rPr>
      </w:pPr>
    </w:p>
    <w:p w14:paraId="462DB294" w14:textId="77777777" w:rsidR="006A73C0" w:rsidRDefault="006A73C0" w:rsidP="004256DA">
      <w:pPr>
        <w:ind w:firstLine="720"/>
        <w:jc w:val="both"/>
        <w:rPr>
          <w:rFonts w:ascii="Book Antiqua" w:hAnsi="Book Antiqua"/>
          <w:szCs w:val="24"/>
          <w:lang w:val="es-PR"/>
        </w:rPr>
      </w:pPr>
    </w:p>
    <w:p w14:paraId="71A0CC66" w14:textId="77777777" w:rsidR="006A73C0" w:rsidRPr="006A73C0" w:rsidRDefault="006A73C0" w:rsidP="006A73C0">
      <w:pPr>
        <w:ind w:firstLine="720"/>
        <w:jc w:val="both"/>
        <w:rPr>
          <w:rFonts w:ascii="Book Antiqua" w:hAnsi="Book Antiqua"/>
          <w:szCs w:val="24"/>
          <w:lang w:val="es-PR"/>
        </w:rPr>
      </w:pPr>
      <w:r w:rsidRPr="006A73C0">
        <w:rPr>
          <w:rFonts w:ascii="Book Antiqua" w:hAnsi="Book Antiqua"/>
          <w:szCs w:val="24"/>
          <w:lang w:val="es-PR"/>
        </w:rPr>
        <w:t xml:space="preserve">La Oficina del Comisionado de Instituciones Financieras (OCIF) expresó su respaldo a la aprobación del Proyecto de la Cámara 143, al considerar que la medida está alineada con la política pública vigente en torno a la promoción de la educación financiera en Puerto Rico. OCIF destacó la importancia de implementar herramientas e iniciativas dirigidas a informar y orientar a los consumidores sobre hábitos financieros responsables, </w:t>
      </w:r>
      <w:r w:rsidRPr="006A73C0">
        <w:rPr>
          <w:rFonts w:ascii="Book Antiqua" w:hAnsi="Book Antiqua"/>
          <w:szCs w:val="24"/>
          <w:lang w:val="es-PR"/>
        </w:rPr>
        <w:lastRenderedPageBreak/>
        <w:t>subrayando que una ciudadanía educada en esta materia está mejor preparada para tomar decisiones informadas que le permitan alcanzar sus metas personales y familiares.</w:t>
      </w:r>
    </w:p>
    <w:p w14:paraId="32EFF045" w14:textId="77777777" w:rsidR="006A73C0" w:rsidRPr="006A73C0" w:rsidRDefault="006A73C0" w:rsidP="006A73C0">
      <w:pPr>
        <w:ind w:firstLine="720"/>
        <w:jc w:val="both"/>
        <w:rPr>
          <w:rFonts w:ascii="Book Antiqua" w:hAnsi="Book Antiqua"/>
          <w:szCs w:val="24"/>
          <w:lang w:val="es-PR"/>
        </w:rPr>
      </w:pPr>
    </w:p>
    <w:p w14:paraId="40CE4F3A" w14:textId="66785F61" w:rsidR="006A73C0" w:rsidRPr="006A73C0" w:rsidRDefault="006A73C0" w:rsidP="006A73C0">
      <w:pPr>
        <w:ind w:firstLine="720"/>
        <w:jc w:val="both"/>
        <w:rPr>
          <w:rFonts w:ascii="Book Antiqua" w:hAnsi="Book Antiqua"/>
          <w:szCs w:val="24"/>
          <w:lang w:val="es-PR"/>
        </w:rPr>
      </w:pPr>
      <w:r w:rsidRPr="006A73C0">
        <w:rPr>
          <w:rFonts w:ascii="Book Antiqua" w:hAnsi="Book Antiqua"/>
          <w:szCs w:val="24"/>
          <w:lang w:val="es-PR"/>
        </w:rPr>
        <w:t>Asimismo, la OCIF recomendó enmendar el lenguaje del Artículo 2.04(b)(39) del proyecto para que haga referencia a la Ley Núm. 4-1985, en lugar del derogado Plan de Reorganización Núm. 5-2010, toda vez que la Ley Núm. 2-2023 enmendó dicho estatuto con el objetivo de transferir a la OCIF todas las funciones, personal, presupuesto y documentación del antiguo Instituto de Educación Financiera de Puerto Rico, consolidando así sus responsabilidades y evitando la duplicidad de funciones.</w:t>
      </w:r>
    </w:p>
    <w:p w14:paraId="136137B6" w14:textId="77777777" w:rsidR="006A73C0" w:rsidRPr="006A73C0" w:rsidRDefault="006A73C0" w:rsidP="006A73C0">
      <w:pPr>
        <w:ind w:firstLine="720"/>
        <w:jc w:val="both"/>
        <w:rPr>
          <w:rFonts w:ascii="Book Antiqua" w:hAnsi="Book Antiqua"/>
          <w:szCs w:val="24"/>
          <w:lang w:val="es-PR"/>
        </w:rPr>
      </w:pPr>
    </w:p>
    <w:p w14:paraId="45C24CBF" w14:textId="4867ACCF" w:rsidR="006A73C0" w:rsidRPr="006A73C0" w:rsidRDefault="006A73C0" w:rsidP="006A73C0">
      <w:pPr>
        <w:ind w:firstLine="720"/>
        <w:jc w:val="both"/>
        <w:rPr>
          <w:rFonts w:ascii="Book Antiqua" w:hAnsi="Book Antiqua"/>
          <w:szCs w:val="24"/>
          <w:lang w:val="es-PR"/>
        </w:rPr>
      </w:pPr>
      <w:r w:rsidRPr="006A73C0">
        <w:rPr>
          <w:rFonts w:ascii="Book Antiqua" w:hAnsi="Book Antiqua"/>
          <w:szCs w:val="24"/>
          <w:lang w:val="es-PR"/>
        </w:rPr>
        <w:t>Finalmente, la O</w:t>
      </w:r>
      <w:r>
        <w:rPr>
          <w:rFonts w:ascii="Book Antiqua" w:hAnsi="Book Antiqua"/>
          <w:szCs w:val="24"/>
          <w:lang w:val="es-PR"/>
        </w:rPr>
        <w:t>CIF</w:t>
      </w:r>
      <w:r w:rsidRPr="006A73C0">
        <w:rPr>
          <w:rFonts w:ascii="Book Antiqua" w:hAnsi="Book Antiqua"/>
          <w:szCs w:val="24"/>
          <w:lang w:val="es-PR"/>
        </w:rPr>
        <w:t xml:space="preserve"> reafirmó su compromiso con el desarrollo de programas y recursos accesibles que fomenten el ahorro, la planificación financiera a largo plazo, la prevención del sobreendeudamiento y el uso adecuado de productos y servicios financieros, reconociendo que estos esfuerzos contribuyen a la estabilidad económica de los ciudadanos y a un sistema financiero más inclusivo, justo y transparente.</w:t>
      </w:r>
    </w:p>
    <w:p w14:paraId="7797E246" w14:textId="77777777" w:rsidR="00674415" w:rsidRPr="006A73C0" w:rsidRDefault="00674415" w:rsidP="00E15A15">
      <w:pPr>
        <w:ind w:firstLine="720"/>
        <w:jc w:val="both"/>
        <w:rPr>
          <w:rFonts w:ascii="Book Antiqua" w:hAnsi="Book Antiqua"/>
          <w:szCs w:val="24"/>
          <w:lang w:val="es-PR"/>
        </w:rPr>
      </w:pPr>
    </w:p>
    <w:p w14:paraId="6DB39B35" w14:textId="77777777" w:rsidR="006A73C0" w:rsidRDefault="006A73C0" w:rsidP="00674415">
      <w:pPr>
        <w:tabs>
          <w:tab w:val="left" w:pos="1440"/>
        </w:tabs>
        <w:jc w:val="center"/>
        <w:rPr>
          <w:rFonts w:ascii="Book Antiqua" w:hAnsi="Book Antiqua"/>
          <w:b/>
          <w:bCs/>
          <w:szCs w:val="24"/>
          <w:u w:val="single"/>
          <w:lang w:val="es-ES_tradnl"/>
        </w:rPr>
      </w:pPr>
    </w:p>
    <w:p w14:paraId="0F6429DB" w14:textId="13A2F592" w:rsidR="00674415" w:rsidRPr="00CA4466" w:rsidRDefault="00F25C4B" w:rsidP="00674415">
      <w:pPr>
        <w:tabs>
          <w:tab w:val="left" w:pos="1440"/>
        </w:tabs>
        <w:jc w:val="center"/>
        <w:rPr>
          <w:rFonts w:ascii="Book Antiqua" w:hAnsi="Book Antiqua"/>
          <w:b/>
          <w:bCs/>
          <w:szCs w:val="24"/>
          <w:u w:val="single"/>
          <w:lang w:val="es-ES"/>
        </w:rPr>
      </w:pPr>
      <w:r w:rsidRPr="00F25C4B">
        <w:rPr>
          <w:rFonts w:ascii="Book Antiqua" w:hAnsi="Book Antiqua"/>
          <w:b/>
          <w:bCs/>
          <w:szCs w:val="24"/>
          <w:u w:val="single"/>
          <w:lang w:val="es-ES_tradnl"/>
        </w:rPr>
        <w:t>CORPORACIÓN PÚBLICA PARA LA SUPERVISIÓN Y SEGURO DE COOPERATIVAS DE PUERTO RICO</w:t>
      </w:r>
    </w:p>
    <w:p w14:paraId="10A667A4" w14:textId="77777777" w:rsidR="00674415" w:rsidRPr="004256DA" w:rsidRDefault="00674415" w:rsidP="00674415">
      <w:pPr>
        <w:jc w:val="both"/>
        <w:rPr>
          <w:rFonts w:ascii="Book Antiqua" w:hAnsi="Book Antiqua"/>
          <w:szCs w:val="24"/>
          <w:lang w:val="es-PR"/>
        </w:rPr>
      </w:pPr>
    </w:p>
    <w:p w14:paraId="18277A42" w14:textId="77777777" w:rsidR="00F33CDC" w:rsidRDefault="00F33CDC" w:rsidP="00B05041">
      <w:pPr>
        <w:jc w:val="both"/>
        <w:rPr>
          <w:rFonts w:ascii="Book Antiqua" w:hAnsi="Book Antiqua"/>
          <w:szCs w:val="24"/>
          <w:lang w:val="es-ES_tradnl"/>
        </w:rPr>
      </w:pPr>
    </w:p>
    <w:p w14:paraId="0E72F81F" w14:textId="76C9842F" w:rsidR="00057A29" w:rsidRPr="00057A29" w:rsidRDefault="00057A29" w:rsidP="00057A29">
      <w:pPr>
        <w:ind w:firstLine="720"/>
        <w:jc w:val="both"/>
        <w:rPr>
          <w:rFonts w:ascii="Book Antiqua" w:hAnsi="Book Antiqua"/>
          <w:szCs w:val="24"/>
          <w:lang w:val="es-PR"/>
        </w:rPr>
      </w:pPr>
      <w:r w:rsidRPr="00057A29">
        <w:rPr>
          <w:rFonts w:ascii="Book Antiqua" w:hAnsi="Book Antiqua"/>
          <w:szCs w:val="24"/>
          <w:lang w:val="es-PR"/>
        </w:rPr>
        <w:t>La Corporación Pública para la Supervisión y Seguro de Cooperativas de Puerto Rico (</w:t>
      </w:r>
      <w:r>
        <w:rPr>
          <w:rFonts w:ascii="Book Antiqua" w:hAnsi="Book Antiqua"/>
          <w:szCs w:val="24"/>
          <w:lang w:val="es-PR"/>
        </w:rPr>
        <w:t xml:space="preserve">en adelante </w:t>
      </w:r>
      <w:r w:rsidRPr="00057A29">
        <w:rPr>
          <w:rFonts w:ascii="Book Antiqua" w:hAnsi="Book Antiqua"/>
          <w:szCs w:val="24"/>
          <w:lang w:val="es-PR"/>
        </w:rPr>
        <w:t>COSSEC) respaldó firmemente la aprobación del Proyecto de la Cámara 143, al reconocer la importancia de fomentar la educación financiera desde edades tempranas como una herramienta clave para el desarrollo económico y social de</w:t>
      </w:r>
      <w:r>
        <w:rPr>
          <w:rFonts w:ascii="Book Antiqua" w:hAnsi="Book Antiqua"/>
          <w:szCs w:val="24"/>
          <w:lang w:val="es-PR"/>
        </w:rPr>
        <w:t xml:space="preserve"> la Isla</w:t>
      </w:r>
      <w:r w:rsidRPr="00057A29">
        <w:rPr>
          <w:rFonts w:ascii="Book Antiqua" w:hAnsi="Book Antiqua"/>
          <w:szCs w:val="24"/>
          <w:lang w:val="es-PR"/>
        </w:rPr>
        <w:t>. Según COSSEC, en un contexto marcado por altos niveles de pobreza, endeudamiento y envejecimiento poblacional, es urgente que los estudiantes adquieran conocimientos sobre ahorro, manejo del crédito, elaboración de presupuestos, prevención del fraude financiero y planificación para el retiro, considerándolos como destrezas esenciales para la vida.</w:t>
      </w:r>
    </w:p>
    <w:p w14:paraId="73E77FF8" w14:textId="77777777" w:rsidR="00057A29" w:rsidRDefault="00057A29" w:rsidP="00057A29">
      <w:pPr>
        <w:jc w:val="both"/>
        <w:rPr>
          <w:rFonts w:ascii="Book Antiqua" w:hAnsi="Book Antiqua"/>
          <w:szCs w:val="24"/>
          <w:lang w:val="es-PR"/>
        </w:rPr>
      </w:pPr>
    </w:p>
    <w:p w14:paraId="6BA58903" w14:textId="6B2C9A60" w:rsidR="00057A29" w:rsidRPr="00057A29" w:rsidRDefault="00057A29" w:rsidP="00057A29">
      <w:pPr>
        <w:ind w:firstLine="720"/>
        <w:jc w:val="both"/>
        <w:rPr>
          <w:rFonts w:ascii="Book Antiqua" w:hAnsi="Book Antiqua"/>
          <w:szCs w:val="24"/>
          <w:lang w:val="es-PR"/>
        </w:rPr>
      </w:pPr>
      <w:r>
        <w:rPr>
          <w:rFonts w:ascii="Book Antiqua" w:hAnsi="Book Antiqua"/>
          <w:szCs w:val="24"/>
          <w:lang w:val="es-PR"/>
        </w:rPr>
        <w:t xml:space="preserve">COSSEC </w:t>
      </w:r>
      <w:r w:rsidRPr="00057A29">
        <w:rPr>
          <w:rFonts w:ascii="Book Antiqua" w:hAnsi="Book Antiqua"/>
          <w:szCs w:val="24"/>
          <w:lang w:val="es-PR"/>
        </w:rPr>
        <w:t>subrayó que la medida propiciará beneficios tangibles como el fortalecimiento de la conciencia financiera de los estudiantes, la reducción del sobreendeudamiento, el fomento del emprendimiento juvenil, el desarrollo de una cultura de ahorro e inversión y la creación de alianzas sostenibles entre las escuelas y las comunidades cooperativas y empresariales. Asimismo, COSSEC manifestó su disposición de colaborar con el Departamento de Educación para ofrecer charlas y mentorías dirigidas a los estudiantes sobre temas financieros, especialmente desde una perspectiva cooperativista.</w:t>
      </w:r>
    </w:p>
    <w:p w14:paraId="1550399C" w14:textId="77777777" w:rsidR="00057A29" w:rsidRDefault="00057A29" w:rsidP="00057A29">
      <w:pPr>
        <w:jc w:val="both"/>
        <w:rPr>
          <w:rFonts w:ascii="Book Antiqua" w:hAnsi="Book Antiqua"/>
          <w:szCs w:val="24"/>
          <w:lang w:val="es-PR"/>
        </w:rPr>
      </w:pPr>
    </w:p>
    <w:p w14:paraId="48862A6E" w14:textId="292B49FD" w:rsidR="00057A29" w:rsidRPr="00057A29" w:rsidRDefault="00057A29" w:rsidP="00057A29">
      <w:pPr>
        <w:ind w:firstLine="720"/>
        <w:jc w:val="both"/>
        <w:rPr>
          <w:rFonts w:ascii="Book Antiqua" w:hAnsi="Book Antiqua"/>
          <w:szCs w:val="24"/>
          <w:lang w:val="es-PR"/>
        </w:rPr>
      </w:pPr>
      <w:r w:rsidRPr="00057A29">
        <w:rPr>
          <w:rFonts w:ascii="Book Antiqua" w:hAnsi="Book Antiqua"/>
          <w:szCs w:val="24"/>
          <w:lang w:val="es-PR"/>
        </w:rPr>
        <w:t xml:space="preserve">Además, se destacó que educar a los jóvenes sobre el cooperativismo desde la escuela contribuye a empoderarlos para asumir responsabilidades económicas y sociales en el futuro, preparándolos para liderar y participar activamente en el movimiento </w:t>
      </w:r>
      <w:r w:rsidRPr="00057A29">
        <w:rPr>
          <w:rFonts w:ascii="Book Antiqua" w:hAnsi="Book Antiqua"/>
          <w:szCs w:val="24"/>
          <w:lang w:val="es-PR"/>
        </w:rPr>
        <w:lastRenderedPageBreak/>
        <w:t>cooperativo del país. Finalmente, COSSEC certificó que la aprobación del P. de la C. 143 no tendría un impacto presupuestario significativo en su funcionamiento, por lo que considera viable su implementación.</w:t>
      </w:r>
    </w:p>
    <w:p w14:paraId="73E13C6E" w14:textId="77777777" w:rsidR="006A73C0" w:rsidRDefault="006A73C0" w:rsidP="00B05041">
      <w:pPr>
        <w:jc w:val="both"/>
        <w:rPr>
          <w:rFonts w:ascii="Book Antiqua" w:hAnsi="Book Antiqua"/>
          <w:szCs w:val="24"/>
          <w:lang w:val="es-ES_tradnl"/>
        </w:rPr>
      </w:pPr>
    </w:p>
    <w:p w14:paraId="5E5B04BF" w14:textId="77777777" w:rsidR="006A73C0" w:rsidRDefault="006A73C0" w:rsidP="00B05041">
      <w:pPr>
        <w:jc w:val="both"/>
        <w:rPr>
          <w:rFonts w:ascii="Book Antiqua" w:hAnsi="Book Antiqua"/>
          <w:szCs w:val="24"/>
          <w:lang w:val="es-ES_tradnl"/>
        </w:rPr>
      </w:pPr>
    </w:p>
    <w:p w14:paraId="428EF912" w14:textId="77777777" w:rsidR="006A73C0" w:rsidRDefault="006A73C0" w:rsidP="00B05041">
      <w:pPr>
        <w:jc w:val="both"/>
        <w:rPr>
          <w:rFonts w:ascii="Book Antiqua" w:hAnsi="Book Antiqua"/>
          <w:szCs w:val="24"/>
          <w:lang w:val="es-ES_tradnl"/>
        </w:rPr>
      </w:pPr>
    </w:p>
    <w:p w14:paraId="45472D65" w14:textId="41B2737B" w:rsidR="000E13D9" w:rsidRPr="00CA4466" w:rsidRDefault="00C0420A" w:rsidP="000E13D9">
      <w:pPr>
        <w:tabs>
          <w:tab w:val="left" w:pos="1440"/>
        </w:tabs>
        <w:jc w:val="center"/>
        <w:rPr>
          <w:rFonts w:ascii="Book Antiqua" w:hAnsi="Book Antiqua"/>
          <w:b/>
          <w:bCs/>
          <w:szCs w:val="24"/>
          <w:u w:val="single"/>
          <w:lang w:val="es-ES"/>
        </w:rPr>
      </w:pPr>
      <w:r>
        <w:rPr>
          <w:rFonts w:ascii="Book Antiqua" w:hAnsi="Book Antiqua"/>
          <w:b/>
          <w:bCs/>
          <w:szCs w:val="24"/>
          <w:u w:val="single"/>
          <w:lang w:val="es-ES_tradnl"/>
        </w:rPr>
        <w:t>ASOCIA</w:t>
      </w:r>
      <w:r w:rsidR="00D32B81">
        <w:rPr>
          <w:rFonts w:ascii="Book Antiqua" w:hAnsi="Book Antiqua"/>
          <w:b/>
          <w:bCs/>
          <w:szCs w:val="24"/>
          <w:u w:val="single"/>
          <w:lang w:val="es-ES_tradnl"/>
        </w:rPr>
        <w:t>C</w:t>
      </w:r>
      <w:r>
        <w:rPr>
          <w:rFonts w:ascii="Book Antiqua" w:hAnsi="Book Antiqua"/>
          <w:b/>
          <w:bCs/>
          <w:szCs w:val="24"/>
          <w:u w:val="single"/>
          <w:lang w:val="es-ES_tradnl"/>
        </w:rPr>
        <w:t>IÓN DE MAESTROS</w:t>
      </w:r>
    </w:p>
    <w:p w14:paraId="56A54D70" w14:textId="77777777" w:rsidR="000E13D9" w:rsidRPr="004256DA" w:rsidRDefault="000E13D9" w:rsidP="000E13D9">
      <w:pPr>
        <w:jc w:val="both"/>
        <w:rPr>
          <w:rFonts w:ascii="Book Antiqua" w:hAnsi="Book Antiqua"/>
          <w:szCs w:val="24"/>
          <w:lang w:val="es-PR"/>
        </w:rPr>
      </w:pPr>
    </w:p>
    <w:p w14:paraId="4F58AC26" w14:textId="667EB40A" w:rsidR="002E1CB3" w:rsidRPr="002E1CB3" w:rsidRDefault="00447AA2" w:rsidP="002E1CB3">
      <w:pPr>
        <w:ind w:firstLine="720"/>
        <w:jc w:val="both"/>
        <w:rPr>
          <w:rFonts w:ascii="Book Antiqua" w:hAnsi="Book Antiqua"/>
          <w:szCs w:val="24"/>
          <w:lang w:val="es-ES_tradnl"/>
        </w:rPr>
      </w:pPr>
      <w:r>
        <w:rPr>
          <w:rFonts w:ascii="Book Antiqua" w:hAnsi="Book Antiqua"/>
          <w:szCs w:val="24"/>
          <w:lang w:val="es-PR"/>
        </w:rPr>
        <w:t>L</w:t>
      </w:r>
      <w:r w:rsidRPr="00447AA2">
        <w:rPr>
          <w:rFonts w:ascii="Book Antiqua" w:hAnsi="Book Antiqua"/>
          <w:szCs w:val="24"/>
          <w:lang w:val="es-ES_tradnl"/>
        </w:rPr>
        <w:t>a Asociación de Maestros de Puerto Rico (</w:t>
      </w:r>
      <w:r>
        <w:rPr>
          <w:rFonts w:ascii="Book Antiqua" w:hAnsi="Book Antiqua"/>
          <w:szCs w:val="24"/>
          <w:lang w:val="es-ES_tradnl"/>
        </w:rPr>
        <w:t xml:space="preserve">en adelante </w:t>
      </w:r>
      <w:r w:rsidRPr="00447AA2">
        <w:rPr>
          <w:rFonts w:ascii="Book Antiqua" w:hAnsi="Book Antiqua"/>
          <w:szCs w:val="24"/>
          <w:lang w:val="es-ES_tradnl"/>
        </w:rPr>
        <w:t xml:space="preserve">AMPR), </w:t>
      </w:r>
      <w:r w:rsidR="002E1CB3" w:rsidRPr="002E1CB3">
        <w:rPr>
          <w:rFonts w:ascii="Book Antiqua" w:hAnsi="Book Antiqua"/>
          <w:szCs w:val="24"/>
          <w:lang w:val="es-PR"/>
        </w:rPr>
        <w:t>expresó su respaldo a la aprobación del Proyecto de la Cámara 143, al considerar que la medida representa una aportación significativa para mejorar la educación pública de</w:t>
      </w:r>
      <w:r w:rsidR="002E1CB3">
        <w:rPr>
          <w:rFonts w:ascii="Book Antiqua" w:hAnsi="Book Antiqua"/>
          <w:szCs w:val="24"/>
          <w:lang w:val="es-PR"/>
        </w:rPr>
        <w:t xml:space="preserve"> la Isla</w:t>
      </w:r>
      <w:r w:rsidR="002E1CB3" w:rsidRPr="002E1CB3">
        <w:rPr>
          <w:rFonts w:ascii="Book Antiqua" w:hAnsi="Book Antiqua"/>
          <w:szCs w:val="24"/>
          <w:lang w:val="es-PR"/>
        </w:rPr>
        <w:t>. Según la AMPR, el proyecto responde a la necesidad urgente de que los estudiantes del sistema público reciban desde edades tempranas una educación financiera adecuada que les permita adquirir conocimientos y habilidades esenciales para el manejo responsable de sus recursos económicos.</w:t>
      </w:r>
    </w:p>
    <w:p w14:paraId="3C970A07" w14:textId="77777777" w:rsidR="002E1CB3" w:rsidRDefault="002E1CB3" w:rsidP="002E1CB3">
      <w:pPr>
        <w:ind w:firstLine="720"/>
        <w:jc w:val="both"/>
        <w:rPr>
          <w:rFonts w:ascii="Book Antiqua" w:hAnsi="Book Antiqua"/>
          <w:szCs w:val="24"/>
          <w:lang w:val="es-PR"/>
        </w:rPr>
      </w:pPr>
    </w:p>
    <w:p w14:paraId="17D1076C" w14:textId="6B3DCAB9" w:rsidR="002E1CB3" w:rsidRPr="002E1CB3" w:rsidRDefault="002E1CB3" w:rsidP="002E1CB3">
      <w:pPr>
        <w:ind w:firstLine="720"/>
        <w:jc w:val="both"/>
        <w:rPr>
          <w:rFonts w:ascii="Book Antiqua" w:hAnsi="Book Antiqua"/>
          <w:szCs w:val="24"/>
          <w:lang w:val="es-PR"/>
        </w:rPr>
      </w:pPr>
      <w:r w:rsidRPr="002E1CB3">
        <w:rPr>
          <w:rFonts w:ascii="Book Antiqua" w:hAnsi="Book Antiqua"/>
          <w:szCs w:val="24"/>
          <w:lang w:val="es-PR"/>
        </w:rPr>
        <w:t>La Asociación subraya que conceptos como el ahorro, la planificación financiera, el manejo del crédito y la prevención del fraude deben formar parte integral del proceso educativo, ya que preparan a los estudiantes no solo para su vida personal y profesional, sino también para integrarse de manera efectiva a la fuerza laboral. Destacan que, en parte, la situación económica que enfrenta Puerto Rico se debe a la falta de formación en esta materia, por lo que consideran iniciativas como esta esenciales para atender esa deficiencia estructural.</w:t>
      </w:r>
    </w:p>
    <w:p w14:paraId="083F808E" w14:textId="77777777" w:rsidR="002E1CB3" w:rsidRDefault="002E1CB3" w:rsidP="002E1CB3">
      <w:pPr>
        <w:ind w:firstLine="720"/>
        <w:jc w:val="both"/>
        <w:rPr>
          <w:rFonts w:ascii="Book Antiqua" w:hAnsi="Book Antiqua"/>
          <w:szCs w:val="24"/>
          <w:lang w:val="es-PR"/>
        </w:rPr>
      </w:pPr>
    </w:p>
    <w:p w14:paraId="7DE020C0" w14:textId="079FB3C3" w:rsidR="002E1CB3" w:rsidRPr="002E1CB3" w:rsidRDefault="002E1CB3" w:rsidP="002E1CB3">
      <w:pPr>
        <w:ind w:firstLine="720"/>
        <w:jc w:val="both"/>
        <w:rPr>
          <w:rFonts w:ascii="Book Antiqua" w:hAnsi="Book Antiqua"/>
          <w:szCs w:val="24"/>
          <w:lang w:val="es-PR"/>
        </w:rPr>
      </w:pPr>
      <w:r>
        <w:rPr>
          <w:rFonts w:ascii="Book Antiqua" w:hAnsi="Book Antiqua"/>
          <w:szCs w:val="24"/>
          <w:lang w:val="es-PR"/>
        </w:rPr>
        <w:t>A su vez mencionan que l</w:t>
      </w:r>
      <w:r w:rsidRPr="002E1CB3">
        <w:rPr>
          <w:rFonts w:ascii="Book Antiqua" w:hAnsi="Book Antiqua"/>
          <w:szCs w:val="24"/>
          <w:lang w:val="es-PR"/>
        </w:rPr>
        <w:t xml:space="preserve">a medida reconoce el valor de incorporar a profesionales de entidades como el Colegio de Contadores Públicos Autorizados y la Asociación de Economistas de Puerto Rico, así como permitir que personas naturales, asociaciones de empresarios, industrias, comercios, </w:t>
      </w:r>
      <w:proofErr w:type="spellStart"/>
      <w:r w:rsidRPr="002E1CB3">
        <w:rPr>
          <w:rFonts w:ascii="Book Antiqua" w:hAnsi="Book Antiqua"/>
          <w:szCs w:val="24"/>
          <w:lang w:val="es-PR"/>
        </w:rPr>
        <w:t>PYMEs</w:t>
      </w:r>
      <w:proofErr w:type="spellEnd"/>
      <w:r w:rsidRPr="002E1CB3">
        <w:rPr>
          <w:rFonts w:ascii="Book Antiqua" w:hAnsi="Book Antiqua"/>
          <w:szCs w:val="24"/>
          <w:lang w:val="es-PR"/>
        </w:rPr>
        <w:t xml:space="preserve"> e instituciones educativas puedan contribuir con este esfuerzo.</w:t>
      </w:r>
      <w:r>
        <w:rPr>
          <w:rFonts w:ascii="Book Antiqua" w:hAnsi="Book Antiqua"/>
          <w:szCs w:val="24"/>
          <w:lang w:val="es-PR"/>
        </w:rPr>
        <w:t xml:space="preserve"> Esta </w:t>
      </w:r>
      <w:r w:rsidRPr="002E1CB3">
        <w:rPr>
          <w:rFonts w:ascii="Book Antiqua" w:hAnsi="Book Antiqua"/>
          <w:szCs w:val="24"/>
          <w:lang w:val="es-PR"/>
        </w:rPr>
        <w:t>sostiene que una educación financiera sólida fortalece el perfil de los egresados del sistema público y les proporciona herramientas fundamentales para enfrentar los desafíos del entorno económico actual. Por ello, reiteran que esta medida es una propuesta acertada que ayudará a cerrar brechas de conocimiento y a promover ciudadanos más preparados, responsables y empoderados financieramente.</w:t>
      </w:r>
    </w:p>
    <w:p w14:paraId="03FF2493" w14:textId="77777777" w:rsidR="002E1CB3" w:rsidRDefault="002E1CB3" w:rsidP="002E1CB3">
      <w:pPr>
        <w:ind w:firstLine="720"/>
        <w:jc w:val="both"/>
        <w:rPr>
          <w:rFonts w:ascii="Book Antiqua" w:hAnsi="Book Antiqua"/>
          <w:szCs w:val="24"/>
          <w:lang w:val="es-PR"/>
        </w:rPr>
      </w:pPr>
    </w:p>
    <w:p w14:paraId="1A555938" w14:textId="379B807C" w:rsidR="002E1CB3" w:rsidRPr="002E1CB3" w:rsidRDefault="002E1CB3" w:rsidP="002E1CB3">
      <w:pPr>
        <w:ind w:firstLine="720"/>
        <w:jc w:val="both"/>
        <w:rPr>
          <w:rFonts w:ascii="Book Antiqua" w:hAnsi="Book Antiqua"/>
          <w:szCs w:val="24"/>
          <w:lang w:val="es-PR"/>
        </w:rPr>
      </w:pPr>
      <w:r>
        <w:rPr>
          <w:rFonts w:ascii="Book Antiqua" w:hAnsi="Book Antiqua"/>
          <w:szCs w:val="24"/>
          <w:lang w:val="es-PR"/>
        </w:rPr>
        <w:t>A tal efecto</w:t>
      </w:r>
      <w:r w:rsidRPr="002E1CB3">
        <w:rPr>
          <w:rFonts w:ascii="Book Antiqua" w:hAnsi="Book Antiqua"/>
          <w:szCs w:val="24"/>
          <w:lang w:val="es-PR"/>
        </w:rPr>
        <w:t>, la Asociación de Maestros de Puerto Rico favorece la aprobación del Proyecto de la Cámara 143, reconociendo su potencial transformador para el sistema educativo y para el desarrollo integral de los estudiantes.</w:t>
      </w:r>
    </w:p>
    <w:p w14:paraId="44EA711B" w14:textId="77777777" w:rsidR="002E1CB3" w:rsidRPr="00447AA2" w:rsidRDefault="002E1CB3" w:rsidP="002E1CB3">
      <w:pPr>
        <w:ind w:firstLine="720"/>
        <w:jc w:val="both"/>
        <w:rPr>
          <w:rFonts w:ascii="Book Antiqua" w:hAnsi="Book Antiqua"/>
          <w:szCs w:val="24"/>
          <w:lang w:val="es-ES_tradnl"/>
        </w:rPr>
      </w:pPr>
    </w:p>
    <w:p w14:paraId="60EB7DD5" w14:textId="77777777" w:rsidR="000E13D9" w:rsidRPr="00B05041" w:rsidRDefault="000E13D9" w:rsidP="00B05041">
      <w:pPr>
        <w:jc w:val="both"/>
        <w:rPr>
          <w:rFonts w:ascii="Book Antiqua" w:hAnsi="Book Antiqua"/>
          <w:szCs w:val="24"/>
          <w:lang w:val="es-ES_tradnl"/>
        </w:rPr>
      </w:pPr>
    </w:p>
    <w:p w14:paraId="43F996F9" w14:textId="77777777" w:rsidR="00AF4615" w:rsidRDefault="00AF4615" w:rsidP="00A56440">
      <w:pPr>
        <w:jc w:val="both"/>
        <w:rPr>
          <w:rFonts w:ascii="Book Antiqua" w:hAnsi="Book Antiqua"/>
          <w:b/>
          <w:bCs/>
          <w:lang w:val="es-ES_tradnl"/>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055F3592"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 xml:space="preserve">Educación, Arte y </w:t>
      </w:r>
      <w:r w:rsidR="00FB2E20">
        <w:rPr>
          <w:rFonts w:ascii="Book Antiqua" w:hAnsi="Book Antiqua"/>
          <w:szCs w:val="24"/>
          <w:lang w:val="es-PR"/>
        </w:rPr>
        <w:lastRenderedPageBreak/>
        <w:t>Cultura del Senado de Puerto Rico</w:t>
      </w:r>
      <w:r w:rsidR="007F30C2" w:rsidRPr="007F30C2">
        <w:rPr>
          <w:rFonts w:ascii="Book Antiqua" w:hAnsi="Book Antiqua"/>
          <w:szCs w:val="24"/>
          <w:lang w:val="es-PR"/>
        </w:rPr>
        <w:t xml:space="preserve"> certifica que el P. de</w:t>
      </w:r>
      <w:r w:rsidR="00416A52">
        <w:rPr>
          <w:rFonts w:ascii="Book Antiqua" w:hAnsi="Book Antiqua"/>
          <w:szCs w:val="24"/>
          <w:lang w:val="es-PR"/>
        </w:rPr>
        <w:t xml:space="preserve"> </w:t>
      </w:r>
      <w:r w:rsidR="007F30C2" w:rsidRPr="007F30C2">
        <w:rPr>
          <w:rFonts w:ascii="Book Antiqua" w:hAnsi="Book Antiqua"/>
          <w:szCs w:val="24"/>
          <w:lang w:val="es-PR"/>
        </w:rPr>
        <w:t>l</w:t>
      </w:r>
      <w:r w:rsidR="00416A52">
        <w:rPr>
          <w:rFonts w:ascii="Book Antiqua" w:hAnsi="Book Antiqua"/>
          <w:szCs w:val="24"/>
          <w:lang w:val="es-PR"/>
        </w:rPr>
        <w:t>a</w:t>
      </w:r>
      <w:r w:rsidR="007F30C2" w:rsidRPr="007F30C2">
        <w:rPr>
          <w:rFonts w:ascii="Book Antiqua" w:hAnsi="Book Antiqua"/>
          <w:szCs w:val="24"/>
          <w:lang w:val="es-PR"/>
        </w:rPr>
        <w:t xml:space="preserve"> </w:t>
      </w:r>
      <w:r w:rsidR="007E717A">
        <w:rPr>
          <w:rFonts w:ascii="Book Antiqua" w:hAnsi="Book Antiqua"/>
          <w:szCs w:val="24"/>
          <w:lang w:val="es-PR"/>
        </w:rPr>
        <w:t>C</w:t>
      </w:r>
      <w:r w:rsidR="007F30C2" w:rsidRPr="007F30C2">
        <w:rPr>
          <w:rFonts w:ascii="Book Antiqua" w:hAnsi="Book Antiqua"/>
          <w:szCs w:val="24"/>
          <w:lang w:val="es-PR"/>
        </w:rPr>
        <w:t>.</w:t>
      </w:r>
      <w:r w:rsidR="00FB2E20">
        <w:rPr>
          <w:rFonts w:ascii="Book Antiqua" w:hAnsi="Book Antiqua"/>
          <w:szCs w:val="24"/>
          <w:lang w:val="es-PR"/>
        </w:rPr>
        <w:t xml:space="preserve"> </w:t>
      </w:r>
      <w:r w:rsidR="007E717A">
        <w:rPr>
          <w:rFonts w:ascii="Book Antiqua" w:hAnsi="Book Antiqua"/>
          <w:szCs w:val="24"/>
          <w:lang w:val="es-PR"/>
        </w:rPr>
        <w:t>143</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7299B397" w14:textId="77777777" w:rsidR="00B4494D" w:rsidRDefault="00B4494D" w:rsidP="00B4494D">
      <w:pPr>
        <w:tabs>
          <w:tab w:val="left" w:pos="-720"/>
        </w:tabs>
        <w:suppressAutoHyphens/>
        <w:spacing w:after="120" w:line="360" w:lineRule="auto"/>
        <w:jc w:val="center"/>
        <w:rPr>
          <w:rFonts w:ascii="Book Antiqua" w:hAnsi="Book Antiqua"/>
          <w:b/>
          <w:bCs/>
          <w:szCs w:val="24"/>
          <w:lang w:val="es-PR"/>
        </w:rPr>
      </w:pPr>
    </w:p>
    <w:p w14:paraId="1485F013" w14:textId="546B38A8" w:rsidR="00B4494D" w:rsidRDefault="0028497D" w:rsidP="002E5763">
      <w:pPr>
        <w:tabs>
          <w:tab w:val="left" w:pos="-720"/>
        </w:tabs>
        <w:suppressAutoHyphens/>
        <w:spacing w:after="120" w:line="360" w:lineRule="auto"/>
        <w:jc w:val="center"/>
        <w:rPr>
          <w:rFonts w:ascii="Book Antiqua" w:hAnsi="Book Antiqua"/>
          <w:color w:val="000000" w:themeColor="text1"/>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r w:rsidR="007F30C2">
        <w:rPr>
          <w:rFonts w:ascii="Book Antiqua" w:hAnsi="Book Antiqua"/>
          <w:szCs w:val="24"/>
          <w:lang w:val="es-PR"/>
        </w:rPr>
        <w:tab/>
      </w:r>
      <w:r w:rsidR="00B4494D" w:rsidRPr="00B4494D">
        <w:rPr>
          <w:rFonts w:ascii="Book Antiqua" w:hAnsi="Book Antiqua"/>
          <w:color w:val="000000" w:themeColor="text1"/>
          <w:szCs w:val="24"/>
          <w:lang w:val="es-PR"/>
        </w:rPr>
        <w:t xml:space="preserve"> </w:t>
      </w:r>
    </w:p>
    <w:p w14:paraId="4DF63D0E" w14:textId="77777777" w:rsidR="002E1CB3" w:rsidRDefault="00EF7D4E" w:rsidP="002E1CB3">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p>
    <w:p w14:paraId="276F2535" w14:textId="21A73CBC" w:rsidR="002E1CB3" w:rsidRPr="002E1CB3" w:rsidRDefault="002E1CB3" w:rsidP="002E1CB3">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2E1CB3">
        <w:rPr>
          <w:rFonts w:ascii="Book Antiqua" w:hAnsi="Book Antiqua"/>
          <w:color w:val="000000" w:themeColor="text1"/>
          <w:szCs w:val="24"/>
          <w:lang w:val="es-PR"/>
        </w:rPr>
        <w:t>Luego de evaluar detenidamente el Proyecto de la Cámara 143 y los memoriales explicativos presentados por diversas entidades como el Departamento de Educación de Puerto Rico, la Oficina del Comisionado de Instituciones Financieras (OCIF), la Corporación Pública para la Supervisión y Seguro de Cooperativas (COSSEC) y la Asociación de Maestros de Puerto Rico, esta Comisión reconoce la pertinencia, urgencia y valor educativo de la medida propuesta.</w:t>
      </w:r>
    </w:p>
    <w:p w14:paraId="0FB72A52" w14:textId="77777777" w:rsidR="002E1CB3" w:rsidRDefault="002E1CB3" w:rsidP="002E1CB3">
      <w:pPr>
        <w:tabs>
          <w:tab w:val="left" w:pos="-720"/>
        </w:tabs>
        <w:suppressAutoHyphens/>
        <w:jc w:val="both"/>
        <w:rPr>
          <w:rFonts w:ascii="Book Antiqua" w:hAnsi="Book Antiqua"/>
          <w:color w:val="000000" w:themeColor="text1"/>
          <w:szCs w:val="24"/>
          <w:lang w:val="es-PR"/>
        </w:rPr>
      </w:pPr>
    </w:p>
    <w:p w14:paraId="6DF31AAC" w14:textId="00DF3EAB" w:rsidR="002E1CB3" w:rsidRPr="002E1CB3" w:rsidRDefault="002E1CB3" w:rsidP="002E1CB3">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2E1CB3">
        <w:rPr>
          <w:rFonts w:ascii="Book Antiqua" w:hAnsi="Book Antiqua"/>
          <w:color w:val="000000" w:themeColor="text1"/>
          <w:szCs w:val="24"/>
          <w:lang w:val="es-PR"/>
        </w:rPr>
        <w:t>El P. de la C. 143 atiende una necesidad real y apremiante: dotar a los estudiantes del sistema público de enseñanza con herramientas prácticas y conocimientos esenciales para enfrentar los desafíos financieros del presente y del futuro. El consenso entre las entidades consultadas refleja una visión compartida sobre la importancia de fortalecer la educación financiera desde etapas tempranas, no solo como una competencia académica, sino como una destreza fundamental para la vida. Los estudiantes que comprendan conceptos como ahorro, crédito, presupuesto y planificación financiera estarán mejor preparados para tomar decisiones responsables y sostenibles que impacten positivamente su bienestar individual y el desarrollo económico del país.</w:t>
      </w:r>
    </w:p>
    <w:p w14:paraId="6C5B1E23" w14:textId="77777777" w:rsidR="002E1CB3" w:rsidRDefault="002E1CB3" w:rsidP="002E1CB3">
      <w:pPr>
        <w:tabs>
          <w:tab w:val="left" w:pos="-720"/>
        </w:tabs>
        <w:suppressAutoHyphens/>
        <w:jc w:val="both"/>
        <w:rPr>
          <w:rFonts w:ascii="Book Antiqua" w:hAnsi="Book Antiqua"/>
          <w:color w:val="000000" w:themeColor="text1"/>
          <w:szCs w:val="24"/>
          <w:lang w:val="es-PR"/>
        </w:rPr>
      </w:pPr>
    </w:p>
    <w:p w14:paraId="22533012" w14:textId="7EA021CE" w:rsidR="002E1CB3" w:rsidRPr="002E1CB3" w:rsidRDefault="002E1CB3" w:rsidP="002E1CB3">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2E1CB3">
        <w:rPr>
          <w:rFonts w:ascii="Book Antiqua" w:hAnsi="Book Antiqua"/>
          <w:color w:val="000000" w:themeColor="text1"/>
          <w:szCs w:val="24"/>
          <w:lang w:val="es-PR"/>
        </w:rPr>
        <w:t>Asimismo, la medida fomenta un modelo educativo colaborativo y dinámico, al ampliar la participación de personas naturales, organizaciones sin fines de lucro, entidades profesionales y el sector empresarial en la oferta de mentorías, charlas y adiestramientos. Esta apertura a alianzas estratégicas permite aprovechar el capital humano y técnico disponible en la comunidad para enriquecer la experiencia educativa, fomentar la corresponsabilidad social y asegurar la relevancia y actualización del contenido impartido.</w:t>
      </w:r>
    </w:p>
    <w:p w14:paraId="3EBF4DEF" w14:textId="77777777" w:rsidR="002E1CB3" w:rsidRDefault="002E1CB3" w:rsidP="002E1CB3">
      <w:pPr>
        <w:tabs>
          <w:tab w:val="left" w:pos="-720"/>
        </w:tabs>
        <w:suppressAutoHyphens/>
        <w:jc w:val="both"/>
        <w:rPr>
          <w:rFonts w:ascii="Book Antiqua" w:hAnsi="Book Antiqua"/>
          <w:color w:val="000000" w:themeColor="text1"/>
          <w:szCs w:val="24"/>
          <w:lang w:val="es-PR"/>
        </w:rPr>
      </w:pPr>
    </w:p>
    <w:p w14:paraId="6C67F87B" w14:textId="4C1DA097" w:rsidR="002E1CB3" w:rsidRPr="002E1CB3" w:rsidRDefault="002E1CB3" w:rsidP="002E1CB3">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2E1CB3">
        <w:rPr>
          <w:rFonts w:ascii="Book Antiqua" w:hAnsi="Book Antiqua"/>
          <w:color w:val="000000" w:themeColor="text1"/>
          <w:szCs w:val="24"/>
          <w:lang w:val="es-PR"/>
        </w:rPr>
        <w:t>El respaldo institucional recibido, tanto del sector público como del sector educativo y cooperativo, valida la dirección de esta iniciativa legislativa. Además, las recomendaciones presentadas fueron acogidas en la medida según enmendada, lo que refuerza su viabilidad operativa y coherencia legal. En este sentido, la aprobación del P. de la C. 143 no solo contribuiría al fortalecimiento del currículo escolar, sino también a la construcción de una ciudadanía más informada, empoderada y resiliente frente a los retos económicos que enfrenta Puerto Rico.</w:t>
      </w:r>
    </w:p>
    <w:p w14:paraId="3F7D99D5" w14:textId="77777777" w:rsidR="002E1CB3" w:rsidRDefault="002E1CB3" w:rsidP="002E1CB3">
      <w:pPr>
        <w:tabs>
          <w:tab w:val="left" w:pos="-720"/>
        </w:tabs>
        <w:suppressAutoHyphens/>
        <w:jc w:val="both"/>
        <w:rPr>
          <w:rFonts w:ascii="Book Antiqua" w:hAnsi="Book Antiqua"/>
          <w:color w:val="000000" w:themeColor="text1"/>
          <w:szCs w:val="24"/>
          <w:lang w:val="es-PR"/>
        </w:rPr>
      </w:pPr>
    </w:p>
    <w:p w14:paraId="6BB46DA2" w14:textId="5083659B" w:rsidR="002E1CB3" w:rsidRPr="002E1CB3" w:rsidRDefault="002E1CB3" w:rsidP="002E1CB3">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2E1CB3">
        <w:rPr>
          <w:rFonts w:ascii="Book Antiqua" w:hAnsi="Book Antiqua"/>
          <w:color w:val="000000" w:themeColor="text1"/>
          <w:szCs w:val="24"/>
          <w:lang w:val="es-PR"/>
        </w:rPr>
        <w:t>Por todo lo anterior, esta Comisión entiende que el Proyecto de la Cámara 143 merece ser aprobado, en aras de promover una educación más integral, pertinente y comprometida con el desarrollo socioeconómico del país.</w:t>
      </w:r>
    </w:p>
    <w:p w14:paraId="2CCF1A6D" w14:textId="77777777" w:rsidR="002E1CB3" w:rsidRDefault="002E1CB3" w:rsidP="002E1CB3">
      <w:pPr>
        <w:tabs>
          <w:tab w:val="left" w:pos="-720"/>
        </w:tabs>
        <w:suppressAutoHyphens/>
        <w:jc w:val="both"/>
        <w:rPr>
          <w:rFonts w:ascii="Book Antiqua" w:hAnsi="Book Antiqua"/>
          <w:color w:val="000000" w:themeColor="text1"/>
          <w:szCs w:val="24"/>
          <w:lang w:val="es-PR"/>
        </w:rPr>
      </w:pPr>
    </w:p>
    <w:p w14:paraId="4109BF31" w14:textId="77777777" w:rsidR="002E1CB3" w:rsidRDefault="002E1CB3" w:rsidP="002E1CB3">
      <w:pPr>
        <w:tabs>
          <w:tab w:val="left" w:pos="-720"/>
        </w:tabs>
        <w:suppressAutoHyphens/>
        <w:jc w:val="both"/>
        <w:rPr>
          <w:rFonts w:ascii="Book Antiqua" w:hAnsi="Book Antiqua"/>
          <w:color w:val="000000" w:themeColor="text1"/>
          <w:szCs w:val="24"/>
          <w:lang w:val="es-PR"/>
        </w:rPr>
      </w:pPr>
    </w:p>
    <w:p w14:paraId="6EEA8EC1" w14:textId="5016C76B" w:rsidR="00286C08" w:rsidRPr="008C481C" w:rsidRDefault="00B74D98" w:rsidP="0039139D">
      <w:pPr>
        <w:tabs>
          <w:tab w:val="left" w:pos="-720"/>
        </w:tabs>
        <w:suppressAutoHyphens/>
        <w:jc w:val="both"/>
        <w:rPr>
          <w:rFonts w:ascii="Book Antiqua" w:hAnsi="Book Antiqua"/>
          <w:color w:val="000000" w:themeColor="text1"/>
          <w:szCs w:val="24"/>
          <w:lang w:val="es-PR"/>
        </w:rPr>
      </w:pPr>
      <w:r w:rsidRPr="00B74D98">
        <w:rPr>
          <w:rFonts w:ascii="Book Antiqua" w:hAnsi="Book Antiqua"/>
          <w:color w:val="000000" w:themeColor="text1"/>
          <w:lang w:val="es-ES_tradnl"/>
        </w:rPr>
        <w:t xml:space="preserve"> </w:t>
      </w:r>
      <w:r w:rsidR="00B4494D" w:rsidRPr="008C481C">
        <w:rPr>
          <w:rFonts w:ascii="Book Antiqua" w:hAnsi="Book Antiqua"/>
          <w:color w:val="000000" w:themeColor="text1"/>
          <w:szCs w:val="24"/>
          <w:lang w:val="es-PR"/>
        </w:rPr>
        <w:tab/>
      </w:r>
      <w:r w:rsidR="00987449" w:rsidRPr="008C481C">
        <w:rPr>
          <w:rFonts w:ascii="Book Antiqua" w:hAnsi="Book Antiqua"/>
          <w:color w:val="000000" w:themeColor="text1"/>
          <w:szCs w:val="24"/>
          <w:lang w:val="es-PR"/>
        </w:rPr>
        <w:t>A TENOR CON LO ANTES EXPUESTO</w:t>
      </w:r>
      <w:r w:rsidR="007F30C2" w:rsidRPr="008C481C">
        <w:rPr>
          <w:rFonts w:ascii="Book Antiqua" w:hAnsi="Book Antiqua"/>
          <w:color w:val="000000" w:themeColor="text1"/>
          <w:szCs w:val="24"/>
          <w:lang w:val="es-PR"/>
        </w:rPr>
        <w:t xml:space="preserve">, la Comisión de </w:t>
      </w:r>
      <w:r w:rsidR="006A6960" w:rsidRPr="008C481C">
        <w:rPr>
          <w:rFonts w:ascii="Book Antiqua" w:hAnsi="Book Antiqua"/>
          <w:color w:val="000000" w:themeColor="text1"/>
          <w:szCs w:val="24"/>
          <w:lang w:val="es-PR"/>
        </w:rPr>
        <w:t xml:space="preserve">Educación, Arte y Cultura </w:t>
      </w:r>
      <w:r w:rsidR="007F30C2" w:rsidRPr="008C481C">
        <w:rPr>
          <w:rFonts w:ascii="Book Antiqua" w:hAnsi="Book Antiqua"/>
          <w:color w:val="000000" w:themeColor="text1"/>
          <w:szCs w:val="24"/>
          <w:lang w:val="es-PR"/>
        </w:rPr>
        <w:t>del Senado de Puerto Rico previo</w:t>
      </w:r>
      <w:r w:rsidR="00952AEC" w:rsidRPr="008C481C">
        <w:rPr>
          <w:rFonts w:ascii="Book Antiqua" w:hAnsi="Book Antiqua"/>
          <w:color w:val="000000" w:themeColor="text1"/>
          <w:szCs w:val="24"/>
          <w:lang w:val="es-PR"/>
        </w:rPr>
        <w:t xml:space="preserve"> al</w:t>
      </w:r>
      <w:r w:rsidR="007F30C2" w:rsidRPr="008C481C">
        <w:rPr>
          <w:rFonts w:ascii="Book Antiqua" w:hAnsi="Book Antiqua"/>
          <w:color w:val="000000" w:themeColor="text1"/>
          <w:szCs w:val="24"/>
          <w:lang w:val="es-PR"/>
        </w:rPr>
        <w:t xml:space="preserve"> estudio y consideración</w:t>
      </w:r>
      <w:r w:rsidR="00283054" w:rsidRPr="008C481C">
        <w:rPr>
          <w:rFonts w:ascii="Book Antiqua" w:hAnsi="Book Antiqua"/>
          <w:color w:val="000000" w:themeColor="text1"/>
          <w:szCs w:val="24"/>
          <w:lang w:val="es-PR"/>
        </w:rPr>
        <w:t xml:space="preserve"> del</w:t>
      </w:r>
      <w:r w:rsidR="007F30C2" w:rsidRPr="008C481C">
        <w:rPr>
          <w:rFonts w:ascii="Book Antiqua" w:hAnsi="Book Antiqua"/>
          <w:color w:val="000000" w:themeColor="text1"/>
          <w:szCs w:val="24"/>
          <w:lang w:val="es-PR"/>
        </w:rPr>
        <w:t xml:space="preserve"> </w:t>
      </w:r>
      <w:r w:rsidR="00286C08" w:rsidRPr="00B85F1A">
        <w:rPr>
          <w:rFonts w:ascii="Book Antiqua" w:hAnsi="Book Antiqua"/>
          <w:b/>
          <w:bCs/>
          <w:color w:val="000000" w:themeColor="text1"/>
          <w:szCs w:val="24"/>
          <w:lang w:val="es-PR"/>
        </w:rPr>
        <w:t>Proyecto de</w:t>
      </w:r>
      <w:r w:rsidR="00D10802" w:rsidRPr="00B85F1A">
        <w:rPr>
          <w:rFonts w:ascii="Book Antiqua" w:hAnsi="Book Antiqua"/>
          <w:b/>
          <w:bCs/>
          <w:color w:val="000000" w:themeColor="text1"/>
          <w:szCs w:val="24"/>
          <w:lang w:val="es-PR"/>
        </w:rPr>
        <w:t xml:space="preserve"> </w:t>
      </w:r>
      <w:r w:rsidR="00286C08" w:rsidRPr="00B85F1A">
        <w:rPr>
          <w:rFonts w:ascii="Book Antiqua" w:hAnsi="Book Antiqua"/>
          <w:b/>
          <w:bCs/>
          <w:color w:val="000000" w:themeColor="text1"/>
          <w:szCs w:val="24"/>
          <w:lang w:val="es-PR"/>
        </w:rPr>
        <w:t>l</w:t>
      </w:r>
      <w:r w:rsidR="00D10802" w:rsidRPr="00B85F1A">
        <w:rPr>
          <w:rFonts w:ascii="Book Antiqua" w:hAnsi="Book Antiqua"/>
          <w:b/>
          <w:bCs/>
          <w:color w:val="000000" w:themeColor="text1"/>
          <w:szCs w:val="24"/>
          <w:lang w:val="es-PR"/>
        </w:rPr>
        <w:t>a</w:t>
      </w:r>
      <w:r w:rsidR="00286C08" w:rsidRPr="00B85F1A">
        <w:rPr>
          <w:rFonts w:ascii="Book Antiqua" w:hAnsi="Book Antiqua"/>
          <w:b/>
          <w:bCs/>
          <w:color w:val="000000" w:themeColor="text1"/>
          <w:szCs w:val="24"/>
          <w:lang w:val="es-PR"/>
        </w:rPr>
        <w:t xml:space="preserve"> </w:t>
      </w:r>
      <w:r w:rsidR="00D10802" w:rsidRPr="00B85F1A">
        <w:rPr>
          <w:rFonts w:ascii="Book Antiqua" w:hAnsi="Book Antiqua"/>
          <w:b/>
          <w:bCs/>
          <w:color w:val="000000" w:themeColor="text1"/>
          <w:szCs w:val="24"/>
          <w:lang w:val="es-PR"/>
        </w:rPr>
        <w:t>Cámara</w:t>
      </w:r>
      <w:r w:rsidR="00286C08" w:rsidRPr="00B85F1A">
        <w:rPr>
          <w:rFonts w:ascii="Book Antiqua" w:hAnsi="Book Antiqua"/>
          <w:b/>
          <w:bCs/>
          <w:color w:val="000000" w:themeColor="text1"/>
          <w:szCs w:val="24"/>
          <w:lang w:val="es-PR"/>
        </w:rPr>
        <w:t xml:space="preserve"> </w:t>
      </w:r>
      <w:r w:rsidR="00D10802" w:rsidRPr="00B85F1A">
        <w:rPr>
          <w:rFonts w:ascii="Book Antiqua" w:hAnsi="Book Antiqua"/>
          <w:b/>
          <w:bCs/>
          <w:color w:val="000000" w:themeColor="text1"/>
          <w:szCs w:val="24"/>
          <w:lang w:val="es-PR"/>
        </w:rPr>
        <w:t>143</w:t>
      </w:r>
      <w:r w:rsidR="00286C08" w:rsidRPr="008C481C">
        <w:rPr>
          <w:rFonts w:ascii="Book Antiqua" w:hAnsi="Book Antiqua"/>
          <w:color w:val="000000" w:themeColor="text1"/>
          <w:szCs w:val="24"/>
          <w:lang w:val="es-PR"/>
        </w:rPr>
        <w:t>, recom</w:t>
      </w:r>
      <w:r w:rsidR="00283054" w:rsidRPr="008C481C">
        <w:rPr>
          <w:rFonts w:ascii="Book Antiqua" w:hAnsi="Book Antiqua"/>
          <w:color w:val="000000" w:themeColor="text1"/>
          <w:szCs w:val="24"/>
          <w:lang w:val="es-PR"/>
        </w:rPr>
        <w:t>ienda</w:t>
      </w:r>
      <w:r w:rsidR="00286C08" w:rsidRPr="008C481C">
        <w:rPr>
          <w:rFonts w:ascii="Book Antiqua" w:hAnsi="Book Antiqua"/>
          <w:color w:val="000000" w:themeColor="text1"/>
          <w:szCs w:val="24"/>
          <w:lang w:val="es-PR"/>
        </w:rPr>
        <w:t xml:space="preserve"> </w:t>
      </w:r>
      <w:r w:rsidR="00952AEC" w:rsidRPr="008C481C">
        <w:rPr>
          <w:rFonts w:ascii="Book Antiqua" w:hAnsi="Book Antiqua"/>
          <w:color w:val="000000" w:themeColor="text1"/>
          <w:szCs w:val="24"/>
          <w:lang w:val="es-PR"/>
        </w:rPr>
        <w:t xml:space="preserve">la aprobación de la medida, </w:t>
      </w:r>
      <w:r w:rsidR="001D401B" w:rsidRPr="008C481C">
        <w:rPr>
          <w:rFonts w:ascii="Book Antiqua" w:hAnsi="Book Antiqua"/>
          <w:color w:val="000000" w:themeColor="text1"/>
          <w:szCs w:val="24"/>
          <w:lang w:val="es-PR"/>
        </w:rPr>
        <w:t>con las enmiendas contenidas en el entirillado electrónico que se acompaña.</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60149" w14:textId="77777777" w:rsidR="00597AD2" w:rsidRDefault="00597AD2">
      <w:r>
        <w:separator/>
      </w:r>
    </w:p>
  </w:endnote>
  <w:endnote w:type="continuationSeparator" w:id="0">
    <w:p w14:paraId="475485D6" w14:textId="77777777" w:rsidR="00597AD2" w:rsidRDefault="00597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55ADE" w14:textId="77777777" w:rsidR="00597AD2" w:rsidRDefault="00597AD2">
      <w:r>
        <w:separator/>
      </w:r>
    </w:p>
  </w:footnote>
  <w:footnote w:type="continuationSeparator" w:id="0">
    <w:p w14:paraId="0F889325" w14:textId="77777777" w:rsidR="00597AD2" w:rsidRDefault="00597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71FD9C65"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w:t>
    </w:r>
    <w:r w:rsidR="002C082A">
      <w:rPr>
        <w:rStyle w:val="PageNumber"/>
        <w:rFonts w:ascii="Book Antiqua" w:hAnsi="Book Antiqua"/>
        <w:b/>
        <w:bCs/>
        <w:lang w:val="es-PR"/>
      </w:rPr>
      <w:t xml:space="preserve"> la C</w:t>
    </w:r>
    <w:r w:rsidRPr="00FF1768">
      <w:rPr>
        <w:rStyle w:val="PageNumber"/>
        <w:rFonts w:ascii="Book Antiqua" w:hAnsi="Book Antiqua"/>
        <w:b/>
        <w:bCs/>
        <w:lang w:val="es-PR"/>
      </w:rPr>
      <w:t xml:space="preserve">. </w:t>
    </w:r>
    <w:r w:rsidR="004B5BD3">
      <w:rPr>
        <w:rStyle w:val="PageNumber"/>
        <w:rFonts w:ascii="Book Antiqua" w:hAnsi="Book Antiqua"/>
        <w:b/>
        <w:bCs/>
        <w:lang w:val="es-PR"/>
      </w:rPr>
      <w:t>143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C25B8"/>
    <w:multiLevelType w:val="multilevel"/>
    <w:tmpl w:val="8F16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3332A7"/>
    <w:multiLevelType w:val="multilevel"/>
    <w:tmpl w:val="E8E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FE7A11"/>
    <w:multiLevelType w:val="multilevel"/>
    <w:tmpl w:val="7EBE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4" w15:restartNumberingAfterBreak="0">
    <w:nsid w:val="57081AAB"/>
    <w:multiLevelType w:val="multilevel"/>
    <w:tmpl w:val="9524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D14C49"/>
    <w:multiLevelType w:val="multilevel"/>
    <w:tmpl w:val="A710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E375D0"/>
    <w:multiLevelType w:val="multilevel"/>
    <w:tmpl w:val="07F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B61761"/>
    <w:multiLevelType w:val="multilevel"/>
    <w:tmpl w:val="1780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3627413">
    <w:abstractNumId w:val="3"/>
  </w:num>
  <w:num w:numId="2" w16cid:durableId="1731150234">
    <w:abstractNumId w:val="0"/>
  </w:num>
  <w:num w:numId="3" w16cid:durableId="1153179368">
    <w:abstractNumId w:val="1"/>
  </w:num>
  <w:num w:numId="4" w16cid:durableId="586430059">
    <w:abstractNumId w:val="4"/>
  </w:num>
  <w:num w:numId="5" w16cid:durableId="2108958154">
    <w:abstractNumId w:val="6"/>
  </w:num>
  <w:num w:numId="6" w16cid:durableId="1296570562">
    <w:abstractNumId w:val="2"/>
  </w:num>
  <w:num w:numId="7" w16cid:durableId="884173321">
    <w:abstractNumId w:val="5"/>
  </w:num>
  <w:num w:numId="8" w16cid:durableId="2703614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35A7"/>
    <w:rsid w:val="0002603A"/>
    <w:rsid w:val="000318E7"/>
    <w:rsid w:val="00034E11"/>
    <w:rsid w:val="0004088C"/>
    <w:rsid w:val="000428E3"/>
    <w:rsid w:val="0004421B"/>
    <w:rsid w:val="00045D29"/>
    <w:rsid w:val="00046F56"/>
    <w:rsid w:val="000502EA"/>
    <w:rsid w:val="000560CB"/>
    <w:rsid w:val="00057A29"/>
    <w:rsid w:val="000667AB"/>
    <w:rsid w:val="000776E8"/>
    <w:rsid w:val="00080CAF"/>
    <w:rsid w:val="00080E3B"/>
    <w:rsid w:val="00084122"/>
    <w:rsid w:val="0008569E"/>
    <w:rsid w:val="0009448A"/>
    <w:rsid w:val="000A06C9"/>
    <w:rsid w:val="000A3EB9"/>
    <w:rsid w:val="000B081B"/>
    <w:rsid w:val="000B3575"/>
    <w:rsid w:val="000B75FB"/>
    <w:rsid w:val="000C20D3"/>
    <w:rsid w:val="000C415C"/>
    <w:rsid w:val="000C48FC"/>
    <w:rsid w:val="000C7CB0"/>
    <w:rsid w:val="000D1F8B"/>
    <w:rsid w:val="000D3AA4"/>
    <w:rsid w:val="000D45CC"/>
    <w:rsid w:val="000D619B"/>
    <w:rsid w:val="000E06B7"/>
    <w:rsid w:val="000E0B63"/>
    <w:rsid w:val="000E13D9"/>
    <w:rsid w:val="000E2480"/>
    <w:rsid w:val="000E274B"/>
    <w:rsid w:val="000E40C9"/>
    <w:rsid w:val="000E5747"/>
    <w:rsid w:val="000E6911"/>
    <w:rsid w:val="000F6729"/>
    <w:rsid w:val="000F7E9A"/>
    <w:rsid w:val="00103419"/>
    <w:rsid w:val="00104137"/>
    <w:rsid w:val="001119D3"/>
    <w:rsid w:val="00112D46"/>
    <w:rsid w:val="00120444"/>
    <w:rsid w:val="00126D61"/>
    <w:rsid w:val="00132E93"/>
    <w:rsid w:val="00137678"/>
    <w:rsid w:val="00140F42"/>
    <w:rsid w:val="0015637D"/>
    <w:rsid w:val="00156AA0"/>
    <w:rsid w:val="00160BD0"/>
    <w:rsid w:val="00161224"/>
    <w:rsid w:val="00162460"/>
    <w:rsid w:val="00162E59"/>
    <w:rsid w:val="00163BA1"/>
    <w:rsid w:val="00170254"/>
    <w:rsid w:val="00172ADF"/>
    <w:rsid w:val="00173F53"/>
    <w:rsid w:val="00180D52"/>
    <w:rsid w:val="00191FA4"/>
    <w:rsid w:val="00193104"/>
    <w:rsid w:val="00196FA9"/>
    <w:rsid w:val="00197C46"/>
    <w:rsid w:val="001A32E4"/>
    <w:rsid w:val="001B20CB"/>
    <w:rsid w:val="001C4866"/>
    <w:rsid w:val="001C4B24"/>
    <w:rsid w:val="001C6503"/>
    <w:rsid w:val="001D1DC4"/>
    <w:rsid w:val="001D3A06"/>
    <w:rsid w:val="001D401B"/>
    <w:rsid w:val="001D46C3"/>
    <w:rsid w:val="001D7277"/>
    <w:rsid w:val="001E364D"/>
    <w:rsid w:val="001E3726"/>
    <w:rsid w:val="001F47D9"/>
    <w:rsid w:val="001F6090"/>
    <w:rsid w:val="00200A9F"/>
    <w:rsid w:val="00201DF5"/>
    <w:rsid w:val="00205201"/>
    <w:rsid w:val="00207735"/>
    <w:rsid w:val="0021453D"/>
    <w:rsid w:val="00221DCF"/>
    <w:rsid w:val="00230152"/>
    <w:rsid w:val="00231017"/>
    <w:rsid w:val="00232427"/>
    <w:rsid w:val="0023567C"/>
    <w:rsid w:val="002370F8"/>
    <w:rsid w:val="00242D7A"/>
    <w:rsid w:val="00243F0D"/>
    <w:rsid w:val="002507FE"/>
    <w:rsid w:val="00253FDF"/>
    <w:rsid w:val="0025406F"/>
    <w:rsid w:val="00262BF9"/>
    <w:rsid w:val="00262CF7"/>
    <w:rsid w:val="00263E28"/>
    <w:rsid w:val="00263F1B"/>
    <w:rsid w:val="00283054"/>
    <w:rsid w:val="0028497D"/>
    <w:rsid w:val="00286C08"/>
    <w:rsid w:val="00294AB4"/>
    <w:rsid w:val="002A0893"/>
    <w:rsid w:val="002A14BD"/>
    <w:rsid w:val="002A2B29"/>
    <w:rsid w:val="002A60B4"/>
    <w:rsid w:val="002B01B5"/>
    <w:rsid w:val="002B05B3"/>
    <w:rsid w:val="002B58A3"/>
    <w:rsid w:val="002B6EE4"/>
    <w:rsid w:val="002C082A"/>
    <w:rsid w:val="002C3E4A"/>
    <w:rsid w:val="002D0E98"/>
    <w:rsid w:val="002D7FB1"/>
    <w:rsid w:val="002E1104"/>
    <w:rsid w:val="002E1CB3"/>
    <w:rsid w:val="002E5763"/>
    <w:rsid w:val="00303731"/>
    <w:rsid w:val="00307B20"/>
    <w:rsid w:val="0031084D"/>
    <w:rsid w:val="00315B3A"/>
    <w:rsid w:val="00324320"/>
    <w:rsid w:val="003317FC"/>
    <w:rsid w:val="00332883"/>
    <w:rsid w:val="00340519"/>
    <w:rsid w:val="00341BB6"/>
    <w:rsid w:val="003507D1"/>
    <w:rsid w:val="00357F9B"/>
    <w:rsid w:val="00366311"/>
    <w:rsid w:val="00371871"/>
    <w:rsid w:val="00375DF1"/>
    <w:rsid w:val="00377C61"/>
    <w:rsid w:val="00386E65"/>
    <w:rsid w:val="003909DD"/>
    <w:rsid w:val="003912A4"/>
    <w:rsid w:val="0039139D"/>
    <w:rsid w:val="00391980"/>
    <w:rsid w:val="0039667F"/>
    <w:rsid w:val="003A1341"/>
    <w:rsid w:val="003A4452"/>
    <w:rsid w:val="003A4992"/>
    <w:rsid w:val="003B61F9"/>
    <w:rsid w:val="003B751D"/>
    <w:rsid w:val="003C1518"/>
    <w:rsid w:val="003D4F89"/>
    <w:rsid w:val="003E36E3"/>
    <w:rsid w:val="003E5401"/>
    <w:rsid w:val="003E5D3A"/>
    <w:rsid w:val="003F1D78"/>
    <w:rsid w:val="003F575E"/>
    <w:rsid w:val="00403016"/>
    <w:rsid w:val="00414EE7"/>
    <w:rsid w:val="00416A52"/>
    <w:rsid w:val="00422A92"/>
    <w:rsid w:val="004256DA"/>
    <w:rsid w:val="004321E3"/>
    <w:rsid w:val="004476EC"/>
    <w:rsid w:val="00447AA2"/>
    <w:rsid w:val="004578FF"/>
    <w:rsid w:val="00466547"/>
    <w:rsid w:val="00473E56"/>
    <w:rsid w:val="0047496C"/>
    <w:rsid w:val="00477789"/>
    <w:rsid w:val="00484E71"/>
    <w:rsid w:val="004915E5"/>
    <w:rsid w:val="00492156"/>
    <w:rsid w:val="00497331"/>
    <w:rsid w:val="004A730C"/>
    <w:rsid w:val="004B5BD3"/>
    <w:rsid w:val="004B73D4"/>
    <w:rsid w:val="004C5BFA"/>
    <w:rsid w:val="004D29B2"/>
    <w:rsid w:val="004D31DB"/>
    <w:rsid w:val="004D3A7D"/>
    <w:rsid w:val="004E4097"/>
    <w:rsid w:val="004E5427"/>
    <w:rsid w:val="004F1947"/>
    <w:rsid w:val="004F4D10"/>
    <w:rsid w:val="004F574A"/>
    <w:rsid w:val="00505AFD"/>
    <w:rsid w:val="00505F50"/>
    <w:rsid w:val="00511BD7"/>
    <w:rsid w:val="005133FA"/>
    <w:rsid w:val="00515D79"/>
    <w:rsid w:val="00517236"/>
    <w:rsid w:val="0052092C"/>
    <w:rsid w:val="00532097"/>
    <w:rsid w:val="00532580"/>
    <w:rsid w:val="0054012D"/>
    <w:rsid w:val="00567513"/>
    <w:rsid w:val="00574692"/>
    <w:rsid w:val="00575139"/>
    <w:rsid w:val="005861E6"/>
    <w:rsid w:val="00586B5C"/>
    <w:rsid w:val="00591C37"/>
    <w:rsid w:val="00592A08"/>
    <w:rsid w:val="00593C5E"/>
    <w:rsid w:val="0059606B"/>
    <w:rsid w:val="00596C9F"/>
    <w:rsid w:val="00597AD2"/>
    <w:rsid w:val="005A265A"/>
    <w:rsid w:val="005A27A8"/>
    <w:rsid w:val="005C03C9"/>
    <w:rsid w:val="005C2E80"/>
    <w:rsid w:val="005C3438"/>
    <w:rsid w:val="005C5E50"/>
    <w:rsid w:val="005D1109"/>
    <w:rsid w:val="005D1313"/>
    <w:rsid w:val="005D131F"/>
    <w:rsid w:val="005D5AFB"/>
    <w:rsid w:val="005E2192"/>
    <w:rsid w:val="005E5973"/>
    <w:rsid w:val="005F3890"/>
    <w:rsid w:val="005F6ADA"/>
    <w:rsid w:val="00607D66"/>
    <w:rsid w:val="00612577"/>
    <w:rsid w:val="00613E0B"/>
    <w:rsid w:val="00620BA5"/>
    <w:rsid w:val="006244DA"/>
    <w:rsid w:val="00626956"/>
    <w:rsid w:val="0062705C"/>
    <w:rsid w:val="00627154"/>
    <w:rsid w:val="00637621"/>
    <w:rsid w:val="00637A2F"/>
    <w:rsid w:val="006477FA"/>
    <w:rsid w:val="00653F5B"/>
    <w:rsid w:val="006547BF"/>
    <w:rsid w:val="00672914"/>
    <w:rsid w:val="0067316B"/>
    <w:rsid w:val="00674415"/>
    <w:rsid w:val="00677043"/>
    <w:rsid w:val="006834E9"/>
    <w:rsid w:val="00683B7B"/>
    <w:rsid w:val="00691E44"/>
    <w:rsid w:val="00696278"/>
    <w:rsid w:val="006977AA"/>
    <w:rsid w:val="006A3F44"/>
    <w:rsid w:val="006A6960"/>
    <w:rsid w:val="006A7159"/>
    <w:rsid w:val="006A73C0"/>
    <w:rsid w:val="006B352C"/>
    <w:rsid w:val="006B3F39"/>
    <w:rsid w:val="006B7388"/>
    <w:rsid w:val="006B7E26"/>
    <w:rsid w:val="006C247C"/>
    <w:rsid w:val="006C5F9B"/>
    <w:rsid w:val="006E26D6"/>
    <w:rsid w:val="006E27EE"/>
    <w:rsid w:val="006E5352"/>
    <w:rsid w:val="006E789B"/>
    <w:rsid w:val="006F309A"/>
    <w:rsid w:val="006F439F"/>
    <w:rsid w:val="006F4E24"/>
    <w:rsid w:val="0072499D"/>
    <w:rsid w:val="007364B8"/>
    <w:rsid w:val="0074063E"/>
    <w:rsid w:val="00740645"/>
    <w:rsid w:val="00747388"/>
    <w:rsid w:val="00750974"/>
    <w:rsid w:val="00751EFA"/>
    <w:rsid w:val="00761D2C"/>
    <w:rsid w:val="00783405"/>
    <w:rsid w:val="00787A9F"/>
    <w:rsid w:val="00787B94"/>
    <w:rsid w:val="00790034"/>
    <w:rsid w:val="00791358"/>
    <w:rsid w:val="007915FD"/>
    <w:rsid w:val="007A1A88"/>
    <w:rsid w:val="007A485A"/>
    <w:rsid w:val="007A487E"/>
    <w:rsid w:val="007A6ACF"/>
    <w:rsid w:val="007A7591"/>
    <w:rsid w:val="007B5941"/>
    <w:rsid w:val="007B5A2A"/>
    <w:rsid w:val="007C0520"/>
    <w:rsid w:val="007C0C12"/>
    <w:rsid w:val="007C0DA8"/>
    <w:rsid w:val="007E3E6F"/>
    <w:rsid w:val="007E41AB"/>
    <w:rsid w:val="007E538D"/>
    <w:rsid w:val="007E6362"/>
    <w:rsid w:val="007E6D3F"/>
    <w:rsid w:val="007E717A"/>
    <w:rsid w:val="007F2A2C"/>
    <w:rsid w:val="007F30C2"/>
    <w:rsid w:val="007F75BB"/>
    <w:rsid w:val="00800740"/>
    <w:rsid w:val="00811335"/>
    <w:rsid w:val="00814F2E"/>
    <w:rsid w:val="00816D27"/>
    <w:rsid w:val="00824864"/>
    <w:rsid w:val="008259D4"/>
    <w:rsid w:val="00826864"/>
    <w:rsid w:val="00827BDF"/>
    <w:rsid w:val="008325EC"/>
    <w:rsid w:val="0083327E"/>
    <w:rsid w:val="00834C51"/>
    <w:rsid w:val="008444B1"/>
    <w:rsid w:val="008452CC"/>
    <w:rsid w:val="0084725D"/>
    <w:rsid w:val="00847FB4"/>
    <w:rsid w:val="008533D0"/>
    <w:rsid w:val="0085560E"/>
    <w:rsid w:val="00857284"/>
    <w:rsid w:val="00857500"/>
    <w:rsid w:val="00861625"/>
    <w:rsid w:val="00877BBD"/>
    <w:rsid w:val="008938FB"/>
    <w:rsid w:val="00896242"/>
    <w:rsid w:val="00896CF6"/>
    <w:rsid w:val="008A2520"/>
    <w:rsid w:val="008A438F"/>
    <w:rsid w:val="008A7E42"/>
    <w:rsid w:val="008B0792"/>
    <w:rsid w:val="008B279A"/>
    <w:rsid w:val="008B4C54"/>
    <w:rsid w:val="008C481C"/>
    <w:rsid w:val="008D0714"/>
    <w:rsid w:val="008D1849"/>
    <w:rsid w:val="008D3D76"/>
    <w:rsid w:val="008E4DAB"/>
    <w:rsid w:val="008E614D"/>
    <w:rsid w:val="008F3049"/>
    <w:rsid w:val="008F4B5E"/>
    <w:rsid w:val="008F540A"/>
    <w:rsid w:val="009127BC"/>
    <w:rsid w:val="0091367E"/>
    <w:rsid w:val="0091791A"/>
    <w:rsid w:val="00922EEE"/>
    <w:rsid w:val="009242F0"/>
    <w:rsid w:val="00924C41"/>
    <w:rsid w:val="00935B73"/>
    <w:rsid w:val="00941E56"/>
    <w:rsid w:val="00950FD3"/>
    <w:rsid w:val="00951D5A"/>
    <w:rsid w:val="00952AEC"/>
    <w:rsid w:val="00953022"/>
    <w:rsid w:val="00953076"/>
    <w:rsid w:val="00953B24"/>
    <w:rsid w:val="0095526D"/>
    <w:rsid w:val="00956882"/>
    <w:rsid w:val="00963AA0"/>
    <w:rsid w:val="00967178"/>
    <w:rsid w:val="009709A7"/>
    <w:rsid w:val="00972F33"/>
    <w:rsid w:val="00987449"/>
    <w:rsid w:val="00991236"/>
    <w:rsid w:val="00992673"/>
    <w:rsid w:val="0099501D"/>
    <w:rsid w:val="009A0032"/>
    <w:rsid w:val="009A1440"/>
    <w:rsid w:val="009B5C77"/>
    <w:rsid w:val="009D4532"/>
    <w:rsid w:val="009E2197"/>
    <w:rsid w:val="009F3B8E"/>
    <w:rsid w:val="009F4930"/>
    <w:rsid w:val="009F5748"/>
    <w:rsid w:val="00A00629"/>
    <w:rsid w:val="00A03A6E"/>
    <w:rsid w:val="00A04B14"/>
    <w:rsid w:val="00A05D7F"/>
    <w:rsid w:val="00A11F03"/>
    <w:rsid w:val="00A128EA"/>
    <w:rsid w:val="00A210E0"/>
    <w:rsid w:val="00A2357C"/>
    <w:rsid w:val="00A340C6"/>
    <w:rsid w:val="00A420F3"/>
    <w:rsid w:val="00A50F87"/>
    <w:rsid w:val="00A56440"/>
    <w:rsid w:val="00A57245"/>
    <w:rsid w:val="00A62F10"/>
    <w:rsid w:val="00A67ED9"/>
    <w:rsid w:val="00A73989"/>
    <w:rsid w:val="00A739A7"/>
    <w:rsid w:val="00A7432D"/>
    <w:rsid w:val="00A753F4"/>
    <w:rsid w:val="00A765BC"/>
    <w:rsid w:val="00A77A85"/>
    <w:rsid w:val="00A77D6F"/>
    <w:rsid w:val="00A82206"/>
    <w:rsid w:val="00A841D5"/>
    <w:rsid w:val="00A847D1"/>
    <w:rsid w:val="00A85159"/>
    <w:rsid w:val="00A85389"/>
    <w:rsid w:val="00AA219B"/>
    <w:rsid w:val="00AA7B63"/>
    <w:rsid w:val="00AB0FE1"/>
    <w:rsid w:val="00AC5746"/>
    <w:rsid w:val="00AE34D4"/>
    <w:rsid w:val="00AE404B"/>
    <w:rsid w:val="00AE4B90"/>
    <w:rsid w:val="00AE5CBC"/>
    <w:rsid w:val="00AF1F99"/>
    <w:rsid w:val="00AF4615"/>
    <w:rsid w:val="00B01F61"/>
    <w:rsid w:val="00B05041"/>
    <w:rsid w:val="00B120AF"/>
    <w:rsid w:val="00B14F15"/>
    <w:rsid w:val="00B16754"/>
    <w:rsid w:val="00B2217C"/>
    <w:rsid w:val="00B226CE"/>
    <w:rsid w:val="00B24548"/>
    <w:rsid w:val="00B31419"/>
    <w:rsid w:val="00B31A10"/>
    <w:rsid w:val="00B4494D"/>
    <w:rsid w:val="00B510E1"/>
    <w:rsid w:val="00B54361"/>
    <w:rsid w:val="00B54A67"/>
    <w:rsid w:val="00B62DBD"/>
    <w:rsid w:val="00B64B3E"/>
    <w:rsid w:val="00B726DF"/>
    <w:rsid w:val="00B73062"/>
    <w:rsid w:val="00B74D98"/>
    <w:rsid w:val="00B85F1A"/>
    <w:rsid w:val="00B86A17"/>
    <w:rsid w:val="00B91F6C"/>
    <w:rsid w:val="00BB0957"/>
    <w:rsid w:val="00BB2EDB"/>
    <w:rsid w:val="00BB301A"/>
    <w:rsid w:val="00BB7ABB"/>
    <w:rsid w:val="00BC74F8"/>
    <w:rsid w:val="00BD331F"/>
    <w:rsid w:val="00BF2C94"/>
    <w:rsid w:val="00C0420A"/>
    <w:rsid w:val="00C07BED"/>
    <w:rsid w:val="00C12094"/>
    <w:rsid w:val="00C20E59"/>
    <w:rsid w:val="00C23687"/>
    <w:rsid w:val="00C274D1"/>
    <w:rsid w:val="00C32B6B"/>
    <w:rsid w:val="00C40D4A"/>
    <w:rsid w:val="00C40E18"/>
    <w:rsid w:val="00C515E3"/>
    <w:rsid w:val="00C52E71"/>
    <w:rsid w:val="00C60C5E"/>
    <w:rsid w:val="00C63F6D"/>
    <w:rsid w:val="00C66897"/>
    <w:rsid w:val="00C76FA2"/>
    <w:rsid w:val="00C804EC"/>
    <w:rsid w:val="00C8079A"/>
    <w:rsid w:val="00C95F62"/>
    <w:rsid w:val="00C96A01"/>
    <w:rsid w:val="00CA3BC3"/>
    <w:rsid w:val="00CA4407"/>
    <w:rsid w:val="00CA4466"/>
    <w:rsid w:val="00CA79C3"/>
    <w:rsid w:val="00CA7DF5"/>
    <w:rsid w:val="00CB1FD5"/>
    <w:rsid w:val="00CB43BF"/>
    <w:rsid w:val="00CC58CD"/>
    <w:rsid w:val="00CD7FE1"/>
    <w:rsid w:val="00CE2C01"/>
    <w:rsid w:val="00CE3B80"/>
    <w:rsid w:val="00D10802"/>
    <w:rsid w:val="00D13F13"/>
    <w:rsid w:val="00D1732E"/>
    <w:rsid w:val="00D271A9"/>
    <w:rsid w:val="00D32B81"/>
    <w:rsid w:val="00D332DE"/>
    <w:rsid w:val="00D36F46"/>
    <w:rsid w:val="00D43527"/>
    <w:rsid w:val="00D50266"/>
    <w:rsid w:val="00D53F1B"/>
    <w:rsid w:val="00D541C2"/>
    <w:rsid w:val="00D65F72"/>
    <w:rsid w:val="00D67278"/>
    <w:rsid w:val="00D777DA"/>
    <w:rsid w:val="00D9469E"/>
    <w:rsid w:val="00DC065F"/>
    <w:rsid w:val="00DC32CC"/>
    <w:rsid w:val="00DE09A9"/>
    <w:rsid w:val="00DE2902"/>
    <w:rsid w:val="00DE65DE"/>
    <w:rsid w:val="00E00787"/>
    <w:rsid w:val="00E15A15"/>
    <w:rsid w:val="00E231A4"/>
    <w:rsid w:val="00E26E4F"/>
    <w:rsid w:val="00E436F2"/>
    <w:rsid w:val="00E43801"/>
    <w:rsid w:val="00E4403C"/>
    <w:rsid w:val="00E450F4"/>
    <w:rsid w:val="00E53CC2"/>
    <w:rsid w:val="00E54713"/>
    <w:rsid w:val="00E65D3F"/>
    <w:rsid w:val="00E72311"/>
    <w:rsid w:val="00E87E99"/>
    <w:rsid w:val="00E93E7E"/>
    <w:rsid w:val="00E9477C"/>
    <w:rsid w:val="00EA4F74"/>
    <w:rsid w:val="00EA67A4"/>
    <w:rsid w:val="00EB7919"/>
    <w:rsid w:val="00ED552B"/>
    <w:rsid w:val="00ED6612"/>
    <w:rsid w:val="00EE189D"/>
    <w:rsid w:val="00EF5E84"/>
    <w:rsid w:val="00EF75F1"/>
    <w:rsid w:val="00EF7B8E"/>
    <w:rsid w:val="00EF7D4E"/>
    <w:rsid w:val="00F0004B"/>
    <w:rsid w:val="00F037F9"/>
    <w:rsid w:val="00F04B07"/>
    <w:rsid w:val="00F162A1"/>
    <w:rsid w:val="00F162B3"/>
    <w:rsid w:val="00F24D45"/>
    <w:rsid w:val="00F25C4B"/>
    <w:rsid w:val="00F269DA"/>
    <w:rsid w:val="00F26E86"/>
    <w:rsid w:val="00F332DC"/>
    <w:rsid w:val="00F33CDC"/>
    <w:rsid w:val="00F41601"/>
    <w:rsid w:val="00F439DC"/>
    <w:rsid w:val="00F561F8"/>
    <w:rsid w:val="00F60CBE"/>
    <w:rsid w:val="00F65E46"/>
    <w:rsid w:val="00F66A8F"/>
    <w:rsid w:val="00F773C6"/>
    <w:rsid w:val="00F77766"/>
    <w:rsid w:val="00F779FC"/>
    <w:rsid w:val="00F8037D"/>
    <w:rsid w:val="00F83DC8"/>
    <w:rsid w:val="00F92ADB"/>
    <w:rsid w:val="00F95679"/>
    <w:rsid w:val="00F97447"/>
    <w:rsid w:val="00FA5204"/>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221DC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uiPriority w:val="39"/>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customStyle="1" w:styleId="Heading4Char">
    <w:name w:val="Heading 4 Char"/>
    <w:basedOn w:val="DefaultParagraphFont"/>
    <w:link w:val="Heading4"/>
    <w:semiHidden/>
    <w:rsid w:val="00221DCF"/>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221D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6320">
      <w:bodyDiv w:val="1"/>
      <w:marLeft w:val="0"/>
      <w:marRight w:val="0"/>
      <w:marTop w:val="0"/>
      <w:marBottom w:val="0"/>
      <w:divBdr>
        <w:top w:val="none" w:sz="0" w:space="0" w:color="auto"/>
        <w:left w:val="none" w:sz="0" w:space="0" w:color="auto"/>
        <w:bottom w:val="none" w:sz="0" w:space="0" w:color="auto"/>
        <w:right w:val="none" w:sz="0" w:space="0" w:color="auto"/>
      </w:divBdr>
    </w:div>
    <w:div w:id="58328362">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95054175">
      <w:bodyDiv w:val="1"/>
      <w:marLeft w:val="0"/>
      <w:marRight w:val="0"/>
      <w:marTop w:val="0"/>
      <w:marBottom w:val="0"/>
      <w:divBdr>
        <w:top w:val="none" w:sz="0" w:space="0" w:color="auto"/>
        <w:left w:val="none" w:sz="0" w:space="0" w:color="auto"/>
        <w:bottom w:val="none" w:sz="0" w:space="0" w:color="auto"/>
        <w:right w:val="none" w:sz="0" w:space="0" w:color="auto"/>
      </w:divBdr>
    </w:div>
    <w:div w:id="99222507">
      <w:bodyDiv w:val="1"/>
      <w:marLeft w:val="0"/>
      <w:marRight w:val="0"/>
      <w:marTop w:val="0"/>
      <w:marBottom w:val="0"/>
      <w:divBdr>
        <w:top w:val="none" w:sz="0" w:space="0" w:color="auto"/>
        <w:left w:val="none" w:sz="0" w:space="0" w:color="auto"/>
        <w:bottom w:val="none" w:sz="0" w:space="0" w:color="auto"/>
        <w:right w:val="none" w:sz="0" w:space="0" w:color="auto"/>
      </w:divBdr>
    </w:div>
    <w:div w:id="11483008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07450923">
      <w:bodyDiv w:val="1"/>
      <w:marLeft w:val="0"/>
      <w:marRight w:val="0"/>
      <w:marTop w:val="0"/>
      <w:marBottom w:val="0"/>
      <w:divBdr>
        <w:top w:val="none" w:sz="0" w:space="0" w:color="auto"/>
        <w:left w:val="none" w:sz="0" w:space="0" w:color="auto"/>
        <w:bottom w:val="none" w:sz="0" w:space="0" w:color="auto"/>
        <w:right w:val="none" w:sz="0" w:space="0" w:color="auto"/>
      </w:divBdr>
    </w:div>
    <w:div w:id="215317563">
      <w:bodyDiv w:val="1"/>
      <w:marLeft w:val="0"/>
      <w:marRight w:val="0"/>
      <w:marTop w:val="0"/>
      <w:marBottom w:val="0"/>
      <w:divBdr>
        <w:top w:val="none" w:sz="0" w:space="0" w:color="auto"/>
        <w:left w:val="none" w:sz="0" w:space="0" w:color="auto"/>
        <w:bottom w:val="none" w:sz="0" w:space="0" w:color="auto"/>
        <w:right w:val="none" w:sz="0" w:space="0" w:color="auto"/>
      </w:divBdr>
    </w:div>
    <w:div w:id="255990488">
      <w:bodyDiv w:val="1"/>
      <w:marLeft w:val="0"/>
      <w:marRight w:val="0"/>
      <w:marTop w:val="0"/>
      <w:marBottom w:val="0"/>
      <w:divBdr>
        <w:top w:val="none" w:sz="0" w:space="0" w:color="auto"/>
        <w:left w:val="none" w:sz="0" w:space="0" w:color="auto"/>
        <w:bottom w:val="none" w:sz="0" w:space="0" w:color="auto"/>
        <w:right w:val="none" w:sz="0" w:space="0" w:color="auto"/>
      </w:divBdr>
    </w:div>
    <w:div w:id="256015491">
      <w:bodyDiv w:val="1"/>
      <w:marLeft w:val="0"/>
      <w:marRight w:val="0"/>
      <w:marTop w:val="0"/>
      <w:marBottom w:val="0"/>
      <w:divBdr>
        <w:top w:val="none" w:sz="0" w:space="0" w:color="auto"/>
        <w:left w:val="none" w:sz="0" w:space="0" w:color="auto"/>
        <w:bottom w:val="none" w:sz="0" w:space="0" w:color="auto"/>
        <w:right w:val="none" w:sz="0" w:space="0" w:color="auto"/>
      </w:divBdr>
    </w:div>
    <w:div w:id="288584493">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299921467">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82171562">
      <w:bodyDiv w:val="1"/>
      <w:marLeft w:val="0"/>
      <w:marRight w:val="0"/>
      <w:marTop w:val="0"/>
      <w:marBottom w:val="0"/>
      <w:divBdr>
        <w:top w:val="none" w:sz="0" w:space="0" w:color="auto"/>
        <w:left w:val="none" w:sz="0" w:space="0" w:color="auto"/>
        <w:bottom w:val="none" w:sz="0" w:space="0" w:color="auto"/>
        <w:right w:val="none" w:sz="0" w:space="0" w:color="auto"/>
      </w:divBdr>
    </w:div>
    <w:div w:id="389232979">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14860631">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21881709">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499464323">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68422172">
      <w:bodyDiv w:val="1"/>
      <w:marLeft w:val="0"/>
      <w:marRight w:val="0"/>
      <w:marTop w:val="0"/>
      <w:marBottom w:val="0"/>
      <w:divBdr>
        <w:top w:val="none" w:sz="0" w:space="0" w:color="auto"/>
        <w:left w:val="none" w:sz="0" w:space="0" w:color="auto"/>
        <w:bottom w:val="none" w:sz="0" w:space="0" w:color="auto"/>
        <w:right w:val="none" w:sz="0" w:space="0" w:color="auto"/>
      </w:divBdr>
    </w:div>
    <w:div w:id="583342864">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725603">
      <w:bodyDiv w:val="1"/>
      <w:marLeft w:val="0"/>
      <w:marRight w:val="0"/>
      <w:marTop w:val="0"/>
      <w:marBottom w:val="0"/>
      <w:divBdr>
        <w:top w:val="none" w:sz="0" w:space="0" w:color="auto"/>
        <w:left w:val="none" w:sz="0" w:space="0" w:color="auto"/>
        <w:bottom w:val="none" w:sz="0" w:space="0" w:color="auto"/>
        <w:right w:val="none" w:sz="0" w:space="0" w:color="auto"/>
      </w:divBdr>
    </w:div>
    <w:div w:id="642806583">
      <w:bodyDiv w:val="1"/>
      <w:marLeft w:val="0"/>
      <w:marRight w:val="0"/>
      <w:marTop w:val="0"/>
      <w:marBottom w:val="0"/>
      <w:divBdr>
        <w:top w:val="none" w:sz="0" w:space="0" w:color="auto"/>
        <w:left w:val="none" w:sz="0" w:space="0" w:color="auto"/>
        <w:bottom w:val="none" w:sz="0" w:space="0" w:color="auto"/>
        <w:right w:val="none" w:sz="0" w:space="0" w:color="auto"/>
      </w:divBdr>
    </w:div>
    <w:div w:id="655112823">
      <w:bodyDiv w:val="1"/>
      <w:marLeft w:val="0"/>
      <w:marRight w:val="0"/>
      <w:marTop w:val="0"/>
      <w:marBottom w:val="0"/>
      <w:divBdr>
        <w:top w:val="none" w:sz="0" w:space="0" w:color="auto"/>
        <w:left w:val="none" w:sz="0" w:space="0" w:color="auto"/>
        <w:bottom w:val="none" w:sz="0" w:space="0" w:color="auto"/>
        <w:right w:val="none" w:sz="0" w:space="0" w:color="auto"/>
      </w:divBdr>
    </w:div>
    <w:div w:id="682899191">
      <w:bodyDiv w:val="1"/>
      <w:marLeft w:val="0"/>
      <w:marRight w:val="0"/>
      <w:marTop w:val="0"/>
      <w:marBottom w:val="0"/>
      <w:divBdr>
        <w:top w:val="none" w:sz="0" w:space="0" w:color="auto"/>
        <w:left w:val="none" w:sz="0" w:space="0" w:color="auto"/>
        <w:bottom w:val="none" w:sz="0" w:space="0" w:color="auto"/>
        <w:right w:val="none" w:sz="0" w:space="0" w:color="auto"/>
      </w:divBdr>
    </w:div>
    <w:div w:id="703485188">
      <w:bodyDiv w:val="1"/>
      <w:marLeft w:val="0"/>
      <w:marRight w:val="0"/>
      <w:marTop w:val="0"/>
      <w:marBottom w:val="0"/>
      <w:divBdr>
        <w:top w:val="none" w:sz="0" w:space="0" w:color="auto"/>
        <w:left w:val="none" w:sz="0" w:space="0" w:color="auto"/>
        <w:bottom w:val="none" w:sz="0" w:space="0" w:color="auto"/>
        <w:right w:val="none" w:sz="0" w:space="0" w:color="auto"/>
      </w:divBdr>
    </w:div>
    <w:div w:id="736173288">
      <w:bodyDiv w:val="1"/>
      <w:marLeft w:val="0"/>
      <w:marRight w:val="0"/>
      <w:marTop w:val="0"/>
      <w:marBottom w:val="0"/>
      <w:divBdr>
        <w:top w:val="none" w:sz="0" w:space="0" w:color="auto"/>
        <w:left w:val="none" w:sz="0" w:space="0" w:color="auto"/>
        <w:bottom w:val="none" w:sz="0" w:space="0" w:color="auto"/>
        <w:right w:val="none" w:sz="0" w:space="0" w:color="auto"/>
      </w:divBdr>
    </w:div>
    <w:div w:id="749084062">
      <w:bodyDiv w:val="1"/>
      <w:marLeft w:val="0"/>
      <w:marRight w:val="0"/>
      <w:marTop w:val="0"/>
      <w:marBottom w:val="0"/>
      <w:divBdr>
        <w:top w:val="none" w:sz="0" w:space="0" w:color="auto"/>
        <w:left w:val="none" w:sz="0" w:space="0" w:color="auto"/>
        <w:bottom w:val="none" w:sz="0" w:space="0" w:color="auto"/>
        <w:right w:val="none" w:sz="0" w:space="0" w:color="auto"/>
      </w:divBdr>
    </w:div>
    <w:div w:id="749934117">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123466">
      <w:bodyDiv w:val="1"/>
      <w:marLeft w:val="0"/>
      <w:marRight w:val="0"/>
      <w:marTop w:val="0"/>
      <w:marBottom w:val="0"/>
      <w:divBdr>
        <w:top w:val="none" w:sz="0" w:space="0" w:color="auto"/>
        <w:left w:val="none" w:sz="0" w:space="0" w:color="auto"/>
        <w:bottom w:val="none" w:sz="0" w:space="0" w:color="auto"/>
        <w:right w:val="none" w:sz="0" w:space="0" w:color="auto"/>
      </w:divBdr>
    </w:div>
    <w:div w:id="869296481">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887031934">
      <w:bodyDiv w:val="1"/>
      <w:marLeft w:val="0"/>
      <w:marRight w:val="0"/>
      <w:marTop w:val="0"/>
      <w:marBottom w:val="0"/>
      <w:divBdr>
        <w:top w:val="none" w:sz="0" w:space="0" w:color="auto"/>
        <w:left w:val="none" w:sz="0" w:space="0" w:color="auto"/>
        <w:bottom w:val="none" w:sz="0" w:space="0" w:color="auto"/>
        <w:right w:val="none" w:sz="0" w:space="0" w:color="auto"/>
      </w:divBdr>
    </w:div>
    <w:div w:id="934704796">
      <w:bodyDiv w:val="1"/>
      <w:marLeft w:val="0"/>
      <w:marRight w:val="0"/>
      <w:marTop w:val="0"/>
      <w:marBottom w:val="0"/>
      <w:divBdr>
        <w:top w:val="none" w:sz="0" w:space="0" w:color="auto"/>
        <w:left w:val="none" w:sz="0" w:space="0" w:color="auto"/>
        <w:bottom w:val="none" w:sz="0" w:space="0" w:color="auto"/>
        <w:right w:val="none" w:sz="0" w:space="0" w:color="auto"/>
      </w:divBdr>
    </w:div>
    <w:div w:id="983001164">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51421058">
      <w:bodyDiv w:val="1"/>
      <w:marLeft w:val="0"/>
      <w:marRight w:val="0"/>
      <w:marTop w:val="0"/>
      <w:marBottom w:val="0"/>
      <w:divBdr>
        <w:top w:val="none" w:sz="0" w:space="0" w:color="auto"/>
        <w:left w:val="none" w:sz="0" w:space="0" w:color="auto"/>
        <w:bottom w:val="none" w:sz="0" w:space="0" w:color="auto"/>
        <w:right w:val="none" w:sz="0" w:space="0" w:color="auto"/>
      </w:divBdr>
    </w:div>
    <w:div w:id="1114716593">
      <w:bodyDiv w:val="1"/>
      <w:marLeft w:val="0"/>
      <w:marRight w:val="0"/>
      <w:marTop w:val="0"/>
      <w:marBottom w:val="0"/>
      <w:divBdr>
        <w:top w:val="none" w:sz="0" w:space="0" w:color="auto"/>
        <w:left w:val="none" w:sz="0" w:space="0" w:color="auto"/>
        <w:bottom w:val="none" w:sz="0" w:space="0" w:color="auto"/>
        <w:right w:val="none" w:sz="0" w:space="0" w:color="auto"/>
      </w:divBdr>
    </w:div>
    <w:div w:id="1133014255">
      <w:bodyDiv w:val="1"/>
      <w:marLeft w:val="0"/>
      <w:marRight w:val="0"/>
      <w:marTop w:val="0"/>
      <w:marBottom w:val="0"/>
      <w:divBdr>
        <w:top w:val="none" w:sz="0" w:space="0" w:color="auto"/>
        <w:left w:val="none" w:sz="0" w:space="0" w:color="auto"/>
        <w:bottom w:val="none" w:sz="0" w:space="0" w:color="auto"/>
        <w:right w:val="none" w:sz="0" w:space="0" w:color="auto"/>
      </w:divBdr>
    </w:div>
    <w:div w:id="1145120439">
      <w:bodyDiv w:val="1"/>
      <w:marLeft w:val="0"/>
      <w:marRight w:val="0"/>
      <w:marTop w:val="0"/>
      <w:marBottom w:val="0"/>
      <w:divBdr>
        <w:top w:val="none" w:sz="0" w:space="0" w:color="auto"/>
        <w:left w:val="none" w:sz="0" w:space="0" w:color="auto"/>
        <w:bottom w:val="none" w:sz="0" w:space="0" w:color="auto"/>
        <w:right w:val="none" w:sz="0" w:space="0" w:color="auto"/>
      </w:divBdr>
    </w:div>
    <w:div w:id="1147818456">
      <w:bodyDiv w:val="1"/>
      <w:marLeft w:val="0"/>
      <w:marRight w:val="0"/>
      <w:marTop w:val="0"/>
      <w:marBottom w:val="0"/>
      <w:divBdr>
        <w:top w:val="none" w:sz="0" w:space="0" w:color="auto"/>
        <w:left w:val="none" w:sz="0" w:space="0" w:color="auto"/>
        <w:bottom w:val="none" w:sz="0" w:space="0" w:color="auto"/>
        <w:right w:val="none" w:sz="0" w:space="0" w:color="auto"/>
      </w:divBdr>
    </w:div>
    <w:div w:id="1170801992">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6947728">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47961644">
      <w:bodyDiv w:val="1"/>
      <w:marLeft w:val="0"/>
      <w:marRight w:val="0"/>
      <w:marTop w:val="0"/>
      <w:marBottom w:val="0"/>
      <w:divBdr>
        <w:top w:val="none" w:sz="0" w:space="0" w:color="auto"/>
        <w:left w:val="none" w:sz="0" w:space="0" w:color="auto"/>
        <w:bottom w:val="none" w:sz="0" w:space="0" w:color="auto"/>
        <w:right w:val="none" w:sz="0" w:space="0" w:color="auto"/>
      </w:divBdr>
    </w:div>
    <w:div w:id="1285889744">
      <w:bodyDiv w:val="1"/>
      <w:marLeft w:val="0"/>
      <w:marRight w:val="0"/>
      <w:marTop w:val="0"/>
      <w:marBottom w:val="0"/>
      <w:divBdr>
        <w:top w:val="none" w:sz="0" w:space="0" w:color="auto"/>
        <w:left w:val="none" w:sz="0" w:space="0" w:color="auto"/>
        <w:bottom w:val="none" w:sz="0" w:space="0" w:color="auto"/>
        <w:right w:val="none" w:sz="0" w:space="0" w:color="auto"/>
      </w:divBdr>
    </w:div>
    <w:div w:id="1307121511">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4235069">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0856979">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46267651">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60879350">
      <w:bodyDiv w:val="1"/>
      <w:marLeft w:val="0"/>
      <w:marRight w:val="0"/>
      <w:marTop w:val="0"/>
      <w:marBottom w:val="0"/>
      <w:divBdr>
        <w:top w:val="none" w:sz="0" w:space="0" w:color="auto"/>
        <w:left w:val="none" w:sz="0" w:space="0" w:color="auto"/>
        <w:bottom w:val="none" w:sz="0" w:space="0" w:color="auto"/>
        <w:right w:val="none" w:sz="0" w:space="0" w:color="auto"/>
      </w:divBdr>
    </w:div>
    <w:div w:id="1526015841">
      <w:bodyDiv w:val="1"/>
      <w:marLeft w:val="0"/>
      <w:marRight w:val="0"/>
      <w:marTop w:val="0"/>
      <w:marBottom w:val="0"/>
      <w:divBdr>
        <w:top w:val="none" w:sz="0" w:space="0" w:color="auto"/>
        <w:left w:val="none" w:sz="0" w:space="0" w:color="auto"/>
        <w:bottom w:val="none" w:sz="0" w:space="0" w:color="auto"/>
        <w:right w:val="none" w:sz="0" w:space="0" w:color="auto"/>
      </w:divBdr>
    </w:div>
    <w:div w:id="1587685878">
      <w:bodyDiv w:val="1"/>
      <w:marLeft w:val="0"/>
      <w:marRight w:val="0"/>
      <w:marTop w:val="0"/>
      <w:marBottom w:val="0"/>
      <w:divBdr>
        <w:top w:val="none" w:sz="0" w:space="0" w:color="auto"/>
        <w:left w:val="none" w:sz="0" w:space="0" w:color="auto"/>
        <w:bottom w:val="none" w:sz="0" w:space="0" w:color="auto"/>
        <w:right w:val="none" w:sz="0" w:space="0" w:color="auto"/>
      </w:divBdr>
    </w:div>
    <w:div w:id="1621109115">
      <w:bodyDiv w:val="1"/>
      <w:marLeft w:val="0"/>
      <w:marRight w:val="0"/>
      <w:marTop w:val="0"/>
      <w:marBottom w:val="0"/>
      <w:divBdr>
        <w:top w:val="none" w:sz="0" w:space="0" w:color="auto"/>
        <w:left w:val="none" w:sz="0" w:space="0" w:color="auto"/>
        <w:bottom w:val="none" w:sz="0" w:space="0" w:color="auto"/>
        <w:right w:val="none" w:sz="0" w:space="0" w:color="auto"/>
      </w:divBdr>
    </w:div>
    <w:div w:id="164890083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59535063">
      <w:bodyDiv w:val="1"/>
      <w:marLeft w:val="0"/>
      <w:marRight w:val="0"/>
      <w:marTop w:val="0"/>
      <w:marBottom w:val="0"/>
      <w:divBdr>
        <w:top w:val="none" w:sz="0" w:space="0" w:color="auto"/>
        <w:left w:val="none" w:sz="0" w:space="0" w:color="auto"/>
        <w:bottom w:val="none" w:sz="0" w:space="0" w:color="auto"/>
        <w:right w:val="none" w:sz="0" w:space="0" w:color="auto"/>
      </w:divBdr>
    </w:div>
    <w:div w:id="1725983738">
      <w:bodyDiv w:val="1"/>
      <w:marLeft w:val="0"/>
      <w:marRight w:val="0"/>
      <w:marTop w:val="0"/>
      <w:marBottom w:val="0"/>
      <w:divBdr>
        <w:top w:val="none" w:sz="0" w:space="0" w:color="auto"/>
        <w:left w:val="none" w:sz="0" w:space="0" w:color="auto"/>
        <w:bottom w:val="none" w:sz="0" w:space="0" w:color="auto"/>
        <w:right w:val="none" w:sz="0" w:space="0" w:color="auto"/>
      </w:divBdr>
    </w:div>
    <w:div w:id="1736707651">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01680170">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7672697">
      <w:bodyDiv w:val="1"/>
      <w:marLeft w:val="0"/>
      <w:marRight w:val="0"/>
      <w:marTop w:val="0"/>
      <w:marBottom w:val="0"/>
      <w:divBdr>
        <w:top w:val="none" w:sz="0" w:space="0" w:color="auto"/>
        <w:left w:val="none" w:sz="0" w:space="0" w:color="auto"/>
        <w:bottom w:val="none" w:sz="0" w:space="0" w:color="auto"/>
        <w:right w:val="none" w:sz="0" w:space="0" w:color="auto"/>
      </w:divBdr>
    </w:div>
    <w:div w:id="1889796578">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5250">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386172">
      <w:bodyDiv w:val="1"/>
      <w:marLeft w:val="0"/>
      <w:marRight w:val="0"/>
      <w:marTop w:val="0"/>
      <w:marBottom w:val="0"/>
      <w:divBdr>
        <w:top w:val="none" w:sz="0" w:space="0" w:color="auto"/>
        <w:left w:val="none" w:sz="0" w:space="0" w:color="auto"/>
        <w:bottom w:val="none" w:sz="0" w:space="0" w:color="auto"/>
        <w:right w:val="none" w:sz="0" w:space="0" w:color="auto"/>
      </w:divBdr>
    </w:div>
    <w:div w:id="2111195253">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822188">
      <w:bodyDiv w:val="1"/>
      <w:marLeft w:val="0"/>
      <w:marRight w:val="0"/>
      <w:marTop w:val="0"/>
      <w:marBottom w:val="0"/>
      <w:divBdr>
        <w:top w:val="none" w:sz="0" w:space="0" w:color="auto"/>
        <w:left w:val="none" w:sz="0" w:space="0" w:color="auto"/>
        <w:bottom w:val="none" w:sz="0" w:space="0" w:color="auto"/>
        <w:right w:val="none" w:sz="0" w:space="0" w:color="auto"/>
      </w:divBdr>
    </w:div>
    <w:div w:id="213393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4SQX5P7U7WPY-958212181-817212</_dlc_DocId>
    <_ip_UnifiedCompliancePolicyUIAction xmlns="http://schemas.microsoft.com/sharepoint/v3" xsi:nil="true"/>
    <_dlc_DocIdUrl xmlns="c890fddd-4e87-4e08-8b51-545f2a3f7b06">
      <Url>https://senpr.sharepoint.com/sites/obralegislativa/_layouts/15/DocIdRedir.aspx?ID=4SQX5P7U7WPY-958212181-817212</Url>
      <Description>4SQX5P7U7WPY-958212181-817212</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2.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3.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5.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6.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4</TotalTime>
  <Pages>8</Pages>
  <Words>2662</Words>
  <Characters>15445</Characters>
  <Application>Microsoft Office Word</Application>
  <DocSecurity>0</DocSecurity>
  <Lines>128</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(Trámites y Récords)</cp:lastModifiedBy>
  <cp:revision>2</cp:revision>
  <cp:lastPrinted>2025-07-16T20:11:00Z</cp:lastPrinted>
  <dcterms:created xsi:type="dcterms:W3CDTF">2025-08-11T15:04:00Z</dcterms:created>
  <dcterms:modified xsi:type="dcterms:W3CDTF">2025-08-11T15:04:00Z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1d9d9456-04f8-46a8-a43b-27761cbca055</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