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5F33FD84" w:rsidR="00A54AF0" w:rsidRPr="00CB1979" w:rsidRDefault="00A54AF0" w:rsidP="00A54AF0">
      <w:pPr>
        <w:spacing w:after="0" w:line="240" w:lineRule="auto"/>
        <w:jc w:val="center"/>
        <w:rPr>
          <w:rFonts w:ascii="Book Antiqua" w:eastAsia="Times New Roman" w:hAnsi="Book Antiqua" w:cs="Times New Roman"/>
          <w:b/>
          <w:kern w:val="0"/>
          <w:sz w:val="52"/>
          <w:szCs w:val="52"/>
          <w14:ligatures w14:val="none"/>
        </w:rPr>
      </w:pPr>
      <w:r w:rsidRPr="00CB1979">
        <w:rPr>
          <w:rFonts w:ascii="Book Antiqua" w:eastAsia="Times New Roman" w:hAnsi="Book Antiqua" w:cs="Times New Roman"/>
          <w:b/>
          <w:kern w:val="0"/>
          <w:sz w:val="52"/>
          <w:szCs w:val="52"/>
          <w14:ligatures w14:val="none"/>
        </w:rPr>
        <w:t>P. de la C.</w:t>
      </w:r>
      <w:r w:rsidR="00C64058">
        <w:rPr>
          <w:rFonts w:ascii="Book Antiqua" w:eastAsia="Times New Roman" w:hAnsi="Book Antiqua" w:cs="Times New Roman"/>
          <w:b/>
          <w:kern w:val="0"/>
          <w:sz w:val="52"/>
          <w:szCs w:val="52"/>
          <w14:ligatures w14:val="none"/>
        </w:rPr>
        <w:t xml:space="preserve"> </w:t>
      </w:r>
      <w:r w:rsidR="00FC0773">
        <w:rPr>
          <w:rFonts w:ascii="Book Antiqua" w:eastAsia="Times New Roman" w:hAnsi="Book Antiqua" w:cs="Times New Roman"/>
          <w:b/>
          <w:kern w:val="0"/>
          <w:sz w:val="52"/>
          <w:szCs w:val="52"/>
          <w14:ligatures w14:val="none"/>
        </w:rPr>
        <w:t>144</w:t>
      </w:r>
    </w:p>
    <w:p w14:paraId="6A26D0A1" w14:textId="7E61818B" w:rsidR="00A54AF0" w:rsidRPr="00CB1979"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CB1979">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190FB67F" w:rsidR="00A54AF0" w:rsidRPr="00CB1979" w:rsidRDefault="008C70E6"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 xml:space="preserve">14 </w:t>
      </w:r>
      <w:r w:rsidR="00A54AF0" w:rsidRPr="00CB1979">
        <w:rPr>
          <w:rFonts w:ascii="Book Antiqua" w:eastAsia="Times New Roman" w:hAnsi="Book Antiqua" w:cs="Times New Roman"/>
          <w:bCs/>
          <w:color w:val="000000"/>
          <w:kern w:val="0"/>
          <w14:ligatures w14:val="none"/>
        </w:rPr>
        <w:t xml:space="preserve">DE </w:t>
      </w:r>
      <w:r w:rsidR="000925BB">
        <w:rPr>
          <w:rFonts w:ascii="Book Antiqua" w:eastAsia="Times New Roman" w:hAnsi="Book Antiqua" w:cs="Times New Roman"/>
          <w:bCs/>
          <w:color w:val="000000"/>
          <w:kern w:val="0"/>
          <w14:ligatures w14:val="none"/>
        </w:rPr>
        <w:t>MAYO</w:t>
      </w:r>
      <w:r w:rsidR="00663D4E">
        <w:rPr>
          <w:rFonts w:ascii="Book Antiqua" w:eastAsia="Times New Roman" w:hAnsi="Book Antiqua" w:cs="Times New Roman"/>
          <w:bCs/>
          <w:color w:val="000000"/>
          <w:kern w:val="0"/>
          <w14:ligatures w14:val="none"/>
        </w:rPr>
        <w:t xml:space="preserve"> </w:t>
      </w:r>
      <w:r w:rsidR="00A54AF0" w:rsidRPr="00CB1979">
        <w:rPr>
          <w:rFonts w:ascii="Book Antiqua" w:eastAsia="Times New Roman" w:hAnsi="Book Antiqua" w:cs="Times New Roman"/>
          <w:bCs/>
          <w:color w:val="000000"/>
          <w:kern w:val="0"/>
          <w14:ligatures w14:val="none"/>
        </w:rPr>
        <w:t>DE 202</w:t>
      </w:r>
      <w:r w:rsidR="0078577E">
        <w:rPr>
          <w:rFonts w:ascii="Book Antiqua" w:eastAsia="Times New Roman" w:hAnsi="Book Antiqua" w:cs="Times New Roman"/>
          <w:bCs/>
          <w:color w:val="000000"/>
          <w:kern w:val="0"/>
          <w14:ligatures w14:val="none"/>
        </w:rPr>
        <w:t>6</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46B8B719" w:rsidR="00A54AF0" w:rsidRPr="00CB1979" w:rsidRDefault="00A54AF0" w:rsidP="00AB7D4B">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recomienda la </w:t>
      </w:r>
      <w:r w:rsidR="00D278EB" w:rsidRPr="00D278EB">
        <w:rPr>
          <w:rFonts w:ascii="Book Antiqua" w:eastAsia="Times New Roman" w:hAnsi="Book Antiqua" w:cs="Times New Roman"/>
          <w:b/>
          <w:bCs/>
          <w:kern w:val="0"/>
          <w:u w:val="single"/>
          <w14:ligatures w14:val="none"/>
        </w:rPr>
        <w:t xml:space="preserve">aprobación </w:t>
      </w:r>
      <w:r w:rsidRPr="00CB1979">
        <w:rPr>
          <w:rFonts w:ascii="Book Antiqua" w:eastAsia="Times New Roman" w:hAnsi="Book Antiqua" w:cs="Times New Roman"/>
          <w:kern w:val="0"/>
          <w14:ligatures w14:val="none"/>
        </w:rPr>
        <w:t xml:space="preserve">del </w:t>
      </w:r>
      <w:r w:rsidR="00433876" w:rsidRPr="00CB1979">
        <w:rPr>
          <w:rFonts w:ascii="Book Antiqua" w:eastAsia="Times New Roman" w:hAnsi="Book Antiqua" w:cs="Times New Roman"/>
          <w:b/>
          <w:bCs/>
          <w:kern w:val="0"/>
          <w14:ligatures w14:val="none"/>
        </w:rPr>
        <w:t xml:space="preserve">Proyecto de la Cámara </w:t>
      </w:r>
      <w:r w:rsidR="00FC0773">
        <w:rPr>
          <w:rFonts w:ascii="Book Antiqua" w:eastAsia="Times New Roman" w:hAnsi="Book Antiqua" w:cs="Times New Roman"/>
          <w:b/>
          <w:bCs/>
          <w:kern w:val="0"/>
          <w14:ligatures w14:val="none"/>
        </w:rPr>
        <w:t>144</w:t>
      </w:r>
      <w:r w:rsidR="00C64058">
        <w:rPr>
          <w:rFonts w:ascii="Book Antiqua" w:eastAsia="Times New Roman" w:hAnsi="Book Antiqua" w:cs="Times New Roman"/>
          <w:b/>
          <w:bCs/>
          <w:kern w:val="0"/>
          <w14:ligatures w14:val="none"/>
        </w:rPr>
        <w:t xml:space="preserve"> </w:t>
      </w:r>
      <w:r w:rsidR="00792C46">
        <w:rPr>
          <w:rFonts w:ascii="Book Antiqua" w:eastAsia="Times New Roman" w:hAnsi="Book Antiqua" w:cs="Times New Roman"/>
          <w:kern w:val="0"/>
          <w14:ligatures w14:val="none"/>
        </w:rPr>
        <w:t xml:space="preserve">(P. de la C. </w:t>
      </w:r>
      <w:r w:rsidR="00FC0773">
        <w:rPr>
          <w:rFonts w:ascii="Book Antiqua" w:eastAsia="Times New Roman" w:hAnsi="Book Antiqua" w:cs="Times New Roman"/>
          <w:kern w:val="0"/>
          <w14:ligatures w14:val="none"/>
        </w:rPr>
        <w:t>144</w:t>
      </w:r>
      <w:r w:rsidR="00792C46">
        <w:rPr>
          <w:rFonts w:ascii="Book Antiqua" w:eastAsia="Times New Roman" w:hAnsi="Book Antiqua" w:cs="Times New Roman"/>
          <w:kern w:val="0"/>
          <w14:ligatures w14:val="none"/>
        </w:rPr>
        <w:t>)</w:t>
      </w:r>
      <w:r w:rsidR="00D278EB">
        <w:rPr>
          <w:rFonts w:ascii="Book Antiqua" w:eastAsia="Times New Roman" w:hAnsi="Book Antiqua" w:cs="Times New Roman"/>
          <w:kern w:val="0"/>
          <w14:ligatures w14:val="none"/>
        </w:rPr>
        <w:t xml:space="preserve">, con las enmiendas propuestas en el </w:t>
      </w:r>
      <w:proofErr w:type="spellStart"/>
      <w:r w:rsidR="00D278EB">
        <w:rPr>
          <w:rFonts w:ascii="Book Antiqua" w:eastAsia="Times New Roman" w:hAnsi="Book Antiqua" w:cs="Times New Roman"/>
          <w:kern w:val="0"/>
          <w14:ligatures w14:val="none"/>
        </w:rPr>
        <w:t>entirillado</w:t>
      </w:r>
      <w:proofErr w:type="spellEnd"/>
      <w:r w:rsidR="00D278EB">
        <w:rPr>
          <w:rFonts w:ascii="Book Antiqua" w:eastAsia="Times New Roman" w:hAnsi="Book Antiqua" w:cs="Times New Roman"/>
          <w:kern w:val="0"/>
          <w14:ligatures w14:val="none"/>
        </w:rPr>
        <w:t xml:space="preserve"> electrónico que se acompaña. </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59170590" w14:textId="3BA985FB" w:rsidR="00A54AF0" w:rsidRPr="00FC0773" w:rsidRDefault="00FC0773" w:rsidP="00FC0773">
      <w:pPr>
        <w:ind w:left="720" w:hanging="720"/>
        <w:jc w:val="both"/>
        <w:rPr>
          <w:rFonts w:ascii="Book Antiqua" w:hAnsi="Book Antiqua"/>
          <w:lang w:val="es-ES_tradnl"/>
        </w:rPr>
      </w:pPr>
      <w:r w:rsidRPr="009818D1">
        <w:rPr>
          <w:rFonts w:ascii="Book Antiqua" w:hAnsi="Book Antiqua"/>
          <w:lang w:val="es-ES_tradnl"/>
        </w:rPr>
        <w:t xml:space="preserve">Para enmendar el Artículo 2.001 de la Ley 107-2020, según enmendada, conocida como “Código Municipal de Puerto Rico”, a los fines de clarificar, definir, impartir certeza y ampliar las facultades y deberes conferidos a los comités de transición entrantes, cuando dichos procesos de transición se produzcan porque un Alcalde Incumbente no es reelecto o por la muerte, renuncia, destitución o incapacidad total y permanente del Alcalde; disponer que todos los alcaldes, sus representantes, funcionarios designados, así como cualesquiera otros funcionarios o empleados municipales, tienen la obligación y el deber ministerial de participar en el proceso de transición de su municipio, incluyendo, pero sin limitarse a, comparecer a testificar, contestar preguntas relacionadas al estado general de las finanzas y de la administración municipal, y a producir los libros, papeles, récords o documentos u objetos, según se les requiera para estos fines; establecer que todo Alcalde Interino tendrá la obligación y el deber ministerial de rendir un informe </w:t>
      </w:r>
      <w:r w:rsidRPr="009818D1">
        <w:rPr>
          <w:rFonts w:ascii="Book Antiqua" w:hAnsi="Book Antiqua"/>
          <w:lang w:val="es-ES_tradnl"/>
        </w:rPr>
        <w:lastRenderedPageBreak/>
        <w:t>escrito sobre el estado general de las finanzas y de la administración municipal, a radicarse en o antes de los diez (10) días naturales siguientes al cese en funciones del Alcalde Saliente, en la Secretaría Municipal y en la Secretaría de la Legislatura Municipal, el cual será de carácter público</w:t>
      </w:r>
      <w:r w:rsidRPr="009818D1">
        <w:rPr>
          <w:rFonts w:ascii="Book Antiqua" w:hAnsi="Book Antiqua"/>
          <w:lang w:val="es-ES"/>
        </w:rPr>
        <w:t>; y para otros fines relacionados</w:t>
      </w:r>
      <w:r w:rsidRPr="009818D1">
        <w:rPr>
          <w:rFonts w:ascii="Book Antiqua" w:hAnsi="Book Antiqua"/>
          <w:lang w:val="es-ES_tradnl"/>
        </w:rPr>
        <w:t xml:space="preserve">. </w:t>
      </w: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250EF16B" w14:textId="77777777" w:rsidR="00F95E98" w:rsidRDefault="005E118E" w:rsidP="00FA0580">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P</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FC0773">
        <w:rPr>
          <w:rFonts w:ascii="Book Antiqua" w:eastAsia="Times New Roman" w:hAnsi="Book Antiqua" w:cs="Times New Roman"/>
          <w:b/>
          <w:bCs/>
          <w:kern w:val="0"/>
          <w14:ligatures w14:val="none"/>
        </w:rPr>
        <w:t>144</w:t>
      </w:r>
      <w:r w:rsidR="00792C46">
        <w:rPr>
          <w:rFonts w:ascii="Book Antiqua" w:eastAsia="Times New Roman" w:hAnsi="Book Antiqua" w:cs="Times New Roman"/>
          <w:b/>
          <w:bCs/>
          <w:kern w:val="0"/>
          <w14:ligatures w14:val="none"/>
        </w:rPr>
        <w:t xml:space="preserve"> </w:t>
      </w:r>
      <w:r w:rsidRPr="00CB1979">
        <w:rPr>
          <w:rFonts w:ascii="Book Antiqua" w:eastAsia="Times New Roman" w:hAnsi="Book Antiqua" w:cs="Times New Roman"/>
          <w:kern w:val="0"/>
          <w14:ligatures w14:val="none"/>
        </w:rPr>
        <w:t xml:space="preserve">propone </w:t>
      </w:r>
      <w:r w:rsidR="00D10EEB">
        <w:rPr>
          <w:rFonts w:ascii="Book Antiqua" w:eastAsia="Times New Roman" w:hAnsi="Book Antiqua" w:cs="Times New Roman"/>
          <w:kern w:val="0"/>
          <w14:ligatures w14:val="none"/>
        </w:rPr>
        <w:t xml:space="preserve">modificar </w:t>
      </w:r>
      <w:r w:rsidR="00F95E98">
        <w:rPr>
          <w:rFonts w:ascii="Book Antiqua" w:eastAsia="Times New Roman" w:hAnsi="Book Antiqua" w:cs="Times New Roman"/>
          <w:kern w:val="0"/>
          <w14:ligatures w14:val="none"/>
        </w:rPr>
        <w:t xml:space="preserve">el Código Municipal de Puerto Rico para fortalecer el proceso de transición entre gobiernos municipales entrantes y salientes; incrementar la transparencia del proceso, requiriendo que los informes de transición sean públicos y más accesibles y ampliando las herramientas para la obtención de información durante el proceso de transición. </w:t>
      </w:r>
    </w:p>
    <w:p w14:paraId="2841EF18" w14:textId="198A94B5" w:rsidR="004A4E99" w:rsidRPr="00EE647C" w:rsidRDefault="00F95E98" w:rsidP="00EE647C">
      <w:pPr>
        <w:spacing w:after="200" w:line="360" w:lineRule="auto"/>
        <w:ind w:firstLine="720"/>
        <w:jc w:val="both"/>
        <w:rPr>
          <w:rFonts w:ascii="Book Antiqua" w:hAnsi="Book Antiqua" w:cs="Times New Roman"/>
          <w:lang w:val="es-ES_tradnl"/>
        </w:rPr>
      </w:pPr>
      <w:r w:rsidRPr="005F1042">
        <w:rPr>
          <w:rFonts w:ascii="Book Antiqua" w:hAnsi="Book Antiqua" w:cs="Times New Roman"/>
          <w:lang w:val="es-ES_tradnl"/>
        </w:rPr>
        <w:t>La</w:t>
      </w:r>
      <w:r>
        <w:rPr>
          <w:rFonts w:ascii="Book Antiqua" w:hAnsi="Book Antiqua" w:cs="Times New Roman"/>
          <w:lang w:val="es-ES_tradnl"/>
        </w:rPr>
        <w:t xml:space="preserve"> Comisión de Reorganización, Eficiencia y Diligencia</w:t>
      </w:r>
      <w:r>
        <w:rPr>
          <w:rStyle w:val="FootnoteReference"/>
          <w:rFonts w:ascii="Book Antiqua" w:hAnsi="Book Antiqua"/>
          <w:lang w:val="es-ES_tradnl"/>
        </w:rPr>
        <w:footnoteReference w:id="1"/>
      </w:r>
      <w:r>
        <w:rPr>
          <w:rFonts w:ascii="Book Antiqua" w:hAnsi="Book Antiqua" w:cs="Times New Roman"/>
          <w:lang w:val="es-ES_tradnl"/>
        </w:rPr>
        <w:t xml:space="preserve"> </w:t>
      </w:r>
      <w:r w:rsidRPr="005F1042">
        <w:rPr>
          <w:rFonts w:ascii="Book Antiqua" w:hAnsi="Book Antiqua" w:cs="Times New Roman"/>
          <w:lang w:val="es-ES_tradnl"/>
        </w:rPr>
        <w:t xml:space="preserve">recibió y consideró el insumo de las siguientes entidades: </w:t>
      </w:r>
      <w:r>
        <w:rPr>
          <w:rFonts w:ascii="Book Antiqua" w:hAnsi="Book Antiqua" w:cs="Times New Roman"/>
          <w:lang w:val="es-ES_tradnl"/>
        </w:rPr>
        <w:t>la Comisión Estatal de Elecciones (CEE); la Oficina del Contralor Electoral (OCE); la Oficina de la Contralora de Puerto Rico (OCPR); la Oficina de</w:t>
      </w:r>
      <w:r w:rsidR="00C545C2">
        <w:rPr>
          <w:rFonts w:ascii="Book Antiqua" w:hAnsi="Book Antiqua" w:cs="Times New Roman"/>
          <w:lang w:val="es-ES_tradnl"/>
        </w:rPr>
        <w:t xml:space="preserve">l Comisionado </w:t>
      </w:r>
      <w:r>
        <w:rPr>
          <w:rFonts w:ascii="Book Antiqua" w:hAnsi="Book Antiqua" w:cs="Times New Roman"/>
          <w:lang w:val="es-ES_tradnl"/>
        </w:rPr>
        <w:t xml:space="preserve">Electoral del Partido Nuevo Progresista, el Partido Popular Democrático y el Partido Independentista Puertorriqueño; la Asociación de </w:t>
      </w:r>
      <w:proofErr w:type="gramStart"/>
      <w:r>
        <w:rPr>
          <w:rFonts w:ascii="Book Antiqua" w:hAnsi="Book Antiqua" w:cs="Times New Roman"/>
          <w:lang w:val="es-ES_tradnl"/>
        </w:rPr>
        <w:t>Alcaldes</w:t>
      </w:r>
      <w:proofErr w:type="gramEnd"/>
      <w:r>
        <w:rPr>
          <w:rFonts w:ascii="Book Antiqua" w:hAnsi="Book Antiqua" w:cs="Times New Roman"/>
          <w:lang w:val="es-ES_tradnl"/>
        </w:rPr>
        <w:t xml:space="preserve"> de Puerto Rico, y la Oficina de Servicios de Legislativos. Se solicitó, además, el insumo del Departamento de Justicia y la Federación de </w:t>
      </w:r>
      <w:proofErr w:type="gramStart"/>
      <w:r>
        <w:rPr>
          <w:rFonts w:ascii="Book Antiqua" w:hAnsi="Book Antiqua" w:cs="Times New Roman"/>
          <w:lang w:val="es-ES_tradnl"/>
        </w:rPr>
        <w:t>Alcaldes</w:t>
      </w:r>
      <w:proofErr w:type="gramEnd"/>
      <w:r>
        <w:rPr>
          <w:rFonts w:ascii="Book Antiqua" w:hAnsi="Book Antiqua" w:cs="Times New Roman"/>
          <w:lang w:val="es-ES_tradnl"/>
        </w:rPr>
        <w:t xml:space="preserve"> de Puerto Rico., mas no se recibió memorial alguno.</w:t>
      </w:r>
    </w:p>
    <w:p w14:paraId="6D3F4264" w14:textId="7B51B0DB" w:rsidR="00A54AF0" w:rsidRPr="00CB1979"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 xml:space="preserve">PONENCIAS O </w:t>
      </w:r>
      <w:r w:rsidR="00A54AF0" w:rsidRPr="00CB1979">
        <w:rPr>
          <w:rFonts w:ascii="Book Antiqua" w:eastAsia="Times New Roman" w:hAnsi="Book Antiqua" w:cs="Times New Roman"/>
          <w:b/>
          <w:kern w:val="0"/>
          <w14:ligatures w14:val="none"/>
        </w:rPr>
        <w:t>MEMORIALES RECIBID</w:t>
      </w:r>
      <w:r w:rsidRPr="00CB1979">
        <w:rPr>
          <w:rFonts w:ascii="Book Antiqua" w:eastAsia="Times New Roman" w:hAnsi="Book Antiqua" w:cs="Times New Roman"/>
          <w:b/>
          <w:kern w:val="0"/>
          <w14:ligatures w14:val="none"/>
        </w:rPr>
        <w:t>O</w:t>
      </w:r>
      <w:r w:rsidR="00A54AF0" w:rsidRPr="00CB1979">
        <w:rPr>
          <w:rFonts w:ascii="Book Antiqua" w:eastAsia="Times New Roman" w:hAnsi="Book Antiqua" w:cs="Times New Roman"/>
          <w:b/>
          <w:kern w:val="0"/>
          <w14:ligatures w14:val="none"/>
        </w:rPr>
        <w:t>S</w:t>
      </w:r>
    </w:p>
    <w:p w14:paraId="2EE2EDEA"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2E9A2C6B" w14:textId="77777777" w:rsidR="00792C46" w:rsidRPr="00CB1979" w:rsidRDefault="00792C46" w:rsidP="00792C46">
      <w:pPr>
        <w:spacing w:after="200" w:line="276" w:lineRule="auto"/>
        <w:ind w:left="360"/>
        <w:contextualSpacing/>
        <w:rPr>
          <w:rFonts w:ascii="Book Antiqua" w:eastAsia="Times New Roman" w:hAnsi="Book Antiqua" w:cs="Times New Roman"/>
          <w:bCs/>
          <w:i/>
          <w:iCs/>
          <w:kern w:val="0"/>
          <w14:ligatures w14:val="none"/>
        </w:rPr>
      </w:pPr>
    </w:p>
    <w:p w14:paraId="388D5C94" w14:textId="30BBEE04" w:rsidR="002753B7" w:rsidRPr="00D15048" w:rsidRDefault="00FC0773"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Comisión Estatal de Elecciones</w:t>
      </w:r>
      <w:r w:rsidR="00D52E9E">
        <w:rPr>
          <w:rFonts w:ascii="Book Antiqua" w:eastAsia="Times New Roman" w:hAnsi="Book Antiqua" w:cs="Times New Roman"/>
          <w:kern w:val="0"/>
          <w:u w:val="single"/>
          <w14:ligatures w14:val="none"/>
        </w:rPr>
        <w:t xml:space="preserve"> (CEE)</w:t>
      </w:r>
    </w:p>
    <w:p w14:paraId="11FC275C" w14:textId="77777777" w:rsidR="00D15048" w:rsidRPr="00C37CBA" w:rsidRDefault="00D15048" w:rsidP="00D15048">
      <w:pPr>
        <w:spacing w:after="200" w:line="276" w:lineRule="auto"/>
        <w:ind w:left="360"/>
        <w:contextualSpacing/>
        <w:rPr>
          <w:rFonts w:ascii="Book Antiqua" w:eastAsia="Times New Roman" w:hAnsi="Book Antiqua" w:cs="Times New Roman"/>
          <w:bCs/>
          <w:kern w:val="0"/>
          <w:u w:val="single"/>
          <w14:ligatures w14:val="none"/>
        </w:rPr>
      </w:pPr>
    </w:p>
    <w:p w14:paraId="56D8D849" w14:textId="3F0A1F66" w:rsidR="00C37CBA" w:rsidRDefault="001F42A7" w:rsidP="00A776CF">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La Comisión Estatal de Elecciones </w:t>
      </w:r>
      <w:r w:rsidR="001A1C71">
        <w:rPr>
          <w:rFonts w:ascii="Book Antiqua" w:eastAsia="Times New Roman" w:hAnsi="Book Antiqua" w:cs="Times New Roman"/>
          <w:bCs/>
          <w:kern w:val="0"/>
          <w14:ligatures w14:val="none"/>
        </w:rPr>
        <w:t>expresó</w:t>
      </w:r>
      <w:r w:rsidR="00C545C2">
        <w:rPr>
          <w:rFonts w:ascii="Book Antiqua" w:eastAsia="Times New Roman" w:hAnsi="Book Antiqua" w:cs="Times New Roman"/>
          <w:bCs/>
          <w:kern w:val="0"/>
          <w14:ligatures w14:val="none"/>
        </w:rPr>
        <w:t>,</w:t>
      </w:r>
      <w:r w:rsidR="001A1C71">
        <w:rPr>
          <w:rFonts w:ascii="Book Antiqua" w:eastAsia="Times New Roman" w:hAnsi="Book Antiqua" w:cs="Times New Roman"/>
          <w:bCs/>
          <w:kern w:val="0"/>
          <w14:ligatures w14:val="none"/>
        </w:rPr>
        <w:t xml:space="preserve"> luego de analizar la </w:t>
      </w:r>
      <w:r w:rsidR="00874C4B">
        <w:rPr>
          <w:rFonts w:ascii="Book Antiqua" w:eastAsia="Times New Roman" w:hAnsi="Book Antiqua" w:cs="Times New Roman"/>
          <w:bCs/>
          <w:kern w:val="0"/>
          <w14:ligatures w14:val="none"/>
        </w:rPr>
        <w:t>medida</w:t>
      </w:r>
      <w:r w:rsidR="001A1C71">
        <w:rPr>
          <w:rFonts w:ascii="Book Antiqua" w:eastAsia="Times New Roman" w:hAnsi="Book Antiqua" w:cs="Times New Roman"/>
          <w:bCs/>
          <w:kern w:val="0"/>
          <w14:ligatures w14:val="none"/>
        </w:rPr>
        <w:t xml:space="preserve"> legislativa</w:t>
      </w:r>
      <w:r w:rsidR="00C545C2">
        <w:rPr>
          <w:rFonts w:ascii="Book Antiqua" w:eastAsia="Times New Roman" w:hAnsi="Book Antiqua" w:cs="Times New Roman"/>
          <w:bCs/>
          <w:kern w:val="0"/>
          <w14:ligatures w14:val="none"/>
        </w:rPr>
        <w:t>,</w:t>
      </w:r>
      <w:r w:rsidR="00874C4B">
        <w:rPr>
          <w:rFonts w:ascii="Book Antiqua" w:eastAsia="Times New Roman" w:hAnsi="Book Antiqua" w:cs="Times New Roman"/>
          <w:bCs/>
          <w:kern w:val="0"/>
          <w14:ligatures w14:val="none"/>
        </w:rPr>
        <w:t xml:space="preserve"> </w:t>
      </w:r>
      <w:r w:rsidR="00C545C2">
        <w:rPr>
          <w:rFonts w:ascii="Book Antiqua" w:eastAsia="Times New Roman" w:hAnsi="Book Antiqua" w:cs="Times New Roman"/>
          <w:bCs/>
          <w:kern w:val="0"/>
          <w14:ligatures w14:val="none"/>
        </w:rPr>
        <w:t>que el P. de la C. 144</w:t>
      </w:r>
      <w:r w:rsidR="00D73EA8">
        <w:rPr>
          <w:rFonts w:ascii="Book Antiqua" w:eastAsia="Times New Roman" w:hAnsi="Book Antiqua" w:cs="Times New Roman"/>
          <w:bCs/>
          <w:kern w:val="0"/>
          <w14:ligatures w14:val="none"/>
        </w:rPr>
        <w:t xml:space="preserve"> </w:t>
      </w:r>
      <w:r w:rsidR="004860CB">
        <w:rPr>
          <w:rFonts w:ascii="Book Antiqua" w:eastAsia="Times New Roman" w:hAnsi="Book Antiqua" w:cs="Times New Roman"/>
          <w:bCs/>
          <w:kern w:val="0"/>
          <w14:ligatures w14:val="none"/>
        </w:rPr>
        <w:t>no</w:t>
      </w:r>
      <w:r w:rsidR="00D73EA8">
        <w:rPr>
          <w:rFonts w:ascii="Book Antiqua" w:eastAsia="Times New Roman" w:hAnsi="Book Antiqua" w:cs="Times New Roman"/>
          <w:bCs/>
          <w:kern w:val="0"/>
          <w14:ligatures w14:val="none"/>
        </w:rPr>
        <w:t xml:space="preserve"> propone cambios al Código </w:t>
      </w:r>
      <w:r w:rsidR="004860CB">
        <w:rPr>
          <w:rFonts w:ascii="Book Antiqua" w:eastAsia="Times New Roman" w:hAnsi="Book Antiqua" w:cs="Times New Roman"/>
          <w:bCs/>
          <w:kern w:val="0"/>
          <w14:ligatures w14:val="none"/>
        </w:rPr>
        <w:t>Electoral</w:t>
      </w:r>
      <w:r w:rsidR="00D73EA8">
        <w:rPr>
          <w:rFonts w:ascii="Book Antiqua" w:eastAsia="Times New Roman" w:hAnsi="Book Antiqua" w:cs="Times New Roman"/>
          <w:bCs/>
          <w:kern w:val="0"/>
          <w14:ligatures w14:val="none"/>
        </w:rPr>
        <w:t xml:space="preserve"> que administra la CEE, sino </w:t>
      </w:r>
      <w:r w:rsidR="00D73EA8">
        <w:rPr>
          <w:rFonts w:ascii="Book Antiqua" w:eastAsia="Times New Roman" w:hAnsi="Book Antiqua" w:cs="Times New Roman"/>
          <w:bCs/>
          <w:kern w:val="0"/>
          <w14:ligatures w14:val="none"/>
        </w:rPr>
        <w:lastRenderedPageBreak/>
        <w:t>que plantea cambios al Código Municipal de Puerto Rico</w:t>
      </w:r>
      <w:r w:rsidR="004860CB">
        <w:rPr>
          <w:rFonts w:ascii="Book Antiqua" w:eastAsia="Times New Roman" w:hAnsi="Book Antiqua" w:cs="Times New Roman"/>
          <w:bCs/>
          <w:kern w:val="0"/>
          <w14:ligatures w14:val="none"/>
        </w:rPr>
        <w:t>, principalmente en materia del proceso de transición en el ámbito municipal.</w:t>
      </w:r>
      <w:r w:rsidR="004860CB">
        <w:rPr>
          <w:rStyle w:val="FootnoteReference"/>
          <w:rFonts w:ascii="Book Antiqua" w:eastAsia="Times New Roman" w:hAnsi="Book Antiqua"/>
          <w:bCs/>
          <w:kern w:val="0"/>
          <w14:ligatures w14:val="none"/>
        </w:rPr>
        <w:footnoteReference w:id="2"/>
      </w:r>
      <w:r w:rsidR="00A776CF">
        <w:rPr>
          <w:rFonts w:ascii="Book Antiqua" w:eastAsia="Times New Roman" w:hAnsi="Book Antiqua" w:cs="Times New Roman"/>
          <w:bCs/>
          <w:kern w:val="0"/>
          <w14:ligatures w14:val="none"/>
        </w:rPr>
        <w:t xml:space="preserve"> A ello añadió: </w:t>
      </w:r>
    </w:p>
    <w:p w14:paraId="5D7E3242" w14:textId="76F39085" w:rsidR="00A776CF" w:rsidRDefault="00A776CF" w:rsidP="00A776CF">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Entendemos que la determinación de cómo operarán los comités de transición, bajo qué parámetros estos funcionarán o los informes o documentos que se emitirán en dicho proceso de transición, según lo propuesto en la pieza legislativa, es ciertamente una cuestión de política pública o materia legislativa que está sujeta a la determinación de la presente Asamblea Legislativa. En ese sentido, expresamos sobre la deseabilidad, viabilidad o conveniencia de un cambio de política pública o de la norma aplicable en esta materia. No está dentro del alcance, función y jurisdicción de la CEE.</w:t>
      </w:r>
    </w:p>
    <w:p w14:paraId="002B886D" w14:textId="77777777" w:rsidR="00D15048" w:rsidRDefault="00D15048" w:rsidP="00A776CF">
      <w:pPr>
        <w:spacing w:after="200" w:line="276" w:lineRule="auto"/>
        <w:ind w:left="720" w:right="720"/>
        <w:contextualSpacing/>
        <w:jc w:val="both"/>
        <w:rPr>
          <w:rFonts w:ascii="Book Antiqua" w:eastAsia="Times New Roman" w:hAnsi="Book Antiqua" w:cs="Times New Roman"/>
          <w:bCs/>
          <w:kern w:val="0"/>
          <w14:ligatures w14:val="none"/>
        </w:rPr>
      </w:pPr>
    </w:p>
    <w:p w14:paraId="7E4BDCD1" w14:textId="134B98F8" w:rsidR="00D15048" w:rsidRDefault="00D15048" w:rsidP="00A776CF">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 . .]</w:t>
      </w:r>
    </w:p>
    <w:p w14:paraId="43A870CB" w14:textId="77777777" w:rsidR="00D15048" w:rsidRDefault="00D15048" w:rsidP="00A776CF">
      <w:pPr>
        <w:spacing w:after="200" w:line="276" w:lineRule="auto"/>
        <w:ind w:left="720" w:right="720"/>
        <w:contextualSpacing/>
        <w:jc w:val="both"/>
        <w:rPr>
          <w:rFonts w:ascii="Book Antiqua" w:eastAsia="Times New Roman" w:hAnsi="Book Antiqua" w:cs="Times New Roman"/>
          <w:bCs/>
          <w:kern w:val="0"/>
          <w14:ligatures w14:val="none"/>
        </w:rPr>
      </w:pPr>
    </w:p>
    <w:p w14:paraId="745EEC2D" w14:textId="6FB50606" w:rsidR="00D15048" w:rsidRDefault="00D15048" w:rsidP="00D15048">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Aunque ciertamente la CEE siempre defenderá la completa transparencia y acceso completo a la información pública, en los distintos ámbitos del quehacer gubernamental, no es menos cierto que la legislación propuesta aborda, esencialmente, una materia de política pública que compete estrictamente a la Asamblea Legislativa decidir en sus méritos, por lo no amerita comentarios específicos de parte de la CEE.</w:t>
      </w:r>
      <w:r>
        <w:rPr>
          <w:rStyle w:val="FootnoteReference"/>
          <w:rFonts w:ascii="Book Antiqua" w:eastAsia="Times New Roman" w:hAnsi="Book Antiqua"/>
          <w:bCs/>
          <w:kern w:val="0"/>
          <w14:ligatures w14:val="none"/>
        </w:rPr>
        <w:footnoteReference w:id="3"/>
      </w:r>
    </w:p>
    <w:p w14:paraId="220EB9A9" w14:textId="77777777" w:rsidR="00241A75" w:rsidRDefault="00241A75" w:rsidP="00D15048">
      <w:pPr>
        <w:spacing w:after="200" w:line="276" w:lineRule="auto"/>
        <w:ind w:left="720" w:right="720"/>
        <w:contextualSpacing/>
        <w:jc w:val="both"/>
        <w:rPr>
          <w:rFonts w:ascii="Book Antiqua" w:eastAsia="Times New Roman" w:hAnsi="Book Antiqua" w:cs="Times New Roman"/>
          <w:bCs/>
          <w:kern w:val="0"/>
          <w14:ligatures w14:val="none"/>
        </w:rPr>
      </w:pPr>
    </w:p>
    <w:p w14:paraId="1064D29E" w14:textId="74779547" w:rsidR="00241A75" w:rsidRPr="00241A75" w:rsidRDefault="00D15048" w:rsidP="00C545C2">
      <w:pPr>
        <w:spacing w:after="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Asimismo, recomendó obtener el insumo de la Federación y la Asociación de </w:t>
      </w:r>
      <w:proofErr w:type="gramStart"/>
      <w:r>
        <w:rPr>
          <w:rFonts w:ascii="Book Antiqua" w:eastAsia="Times New Roman" w:hAnsi="Book Antiqua" w:cs="Times New Roman"/>
          <w:bCs/>
          <w:kern w:val="0"/>
          <w14:ligatures w14:val="none"/>
        </w:rPr>
        <w:t>Alcaldes</w:t>
      </w:r>
      <w:proofErr w:type="gramEnd"/>
      <w:r>
        <w:rPr>
          <w:rFonts w:ascii="Book Antiqua" w:eastAsia="Times New Roman" w:hAnsi="Book Antiqua" w:cs="Times New Roman"/>
          <w:bCs/>
          <w:kern w:val="0"/>
          <w14:ligatures w14:val="none"/>
        </w:rPr>
        <w:t>, la Oficina del Contralor, la Oficina de Ética Gubernamental</w:t>
      </w:r>
      <w:r w:rsidR="00C545C2">
        <w:rPr>
          <w:rFonts w:ascii="Book Antiqua" w:eastAsia="Times New Roman" w:hAnsi="Book Antiqua" w:cs="Times New Roman"/>
          <w:bCs/>
          <w:kern w:val="0"/>
          <w14:ligatures w14:val="none"/>
        </w:rPr>
        <w:t>,</w:t>
      </w:r>
      <w:r>
        <w:rPr>
          <w:rFonts w:ascii="Book Antiqua" w:eastAsia="Times New Roman" w:hAnsi="Book Antiqua" w:cs="Times New Roman"/>
          <w:bCs/>
          <w:kern w:val="0"/>
          <w14:ligatures w14:val="none"/>
        </w:rPr>
        <w:t xml:space="preserve"> y el Departamento de Justicia.</w:t>
      </w:r>
      <w:r>
        <w:rPr>
          <w:rStyle w:val="FootnoteReference"/>
          <w:rFonts w:ascii="Book Antiqua" w:eastAsia="Times New Roman" w:hAnsi="Book Antiqua"/>
          <w:bCs/>
          <w:kern w:val="0"/>
          <w14:ligatures w14:val="none"/>
        </w:rPr>
        <w:footnoteReference w:id="4"/>
      </w:r>
    </w:p>
    <w:p w14:paraId="59087E29" w14:textId="1A4C3722" w:rsidR="00D52E9E" w:rsidRDefault="00D52E9E" w:rsidP="00241A75">
      <w:pPr>
        <w:numPr>
          <w:ilvl w:val="0"/>
          <w:numId w:val="1"/>
        </w:numPr>
        <w:spacing w:after="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Oficina de</w:t>
      </w:r>
      <w:r w:rsidR="00F95E98">
        <w:rPr>
          <w:rFonts w:ascii="Book Antiqua" w:eastAsia="Times New Roman" w:hAnsi="Book Antiqua" w:cs="Times New Roman"/>
          <w:bCs/>
          <w:kern w:val="0"/>
          <w:u w:val="single"/>
          <w14:ligatures w14:val="none"/>
        </w:rPr>
        <w:t xml:space="preserve"> la</w:t>
      </w:r>
      <w:r>
        <w:rPr>
          <w:rFonts w:ascii="Book Antiqua" w:eastAsia="Times New Roman" w:hAnsi="Book Antiqua" w:cs="Times New Roman"/>
          <w:bCs/>
          <w:kern w:val="0"/>
          <w:u w:val="single"/>
          <w14:ligatures w14:val="none"/>
        </w:rPr>
        <w:t xml:space="preserve"> Contralor</w:t>
      </w:r>
      <w:r w:rsidR="00F95E98">
        <w:rPr>
          <w:rFonts w:ascii="Book Antiqua" w:eastAsia="Times New Roman" w:hAnsi="Book Antiqua" w:cs="Times New Roman"/>
          <w:bCs/>
          <w:kern w:val="0"/>
          <w:u w:val="single"/>
          <w14:ligatures w14:val="none"/>
        </w:rPr>
        <w:t>a</w:t>
      </w:r>
      <w:r>
        <w:rPr>
          <w:rFonts w:ascii="Book Antiqua" w:eastAsia="Times New Roman" w:hAnsi="Book Antiqua" w:cs="Times New Roman"/>
          <w:bCs/>
          <w:kern w:val="0"/>
          <w:u w:val="single"/>
          <w14:ligatures w14:val="none"/>
        </w:rPr>
        <w:t xml:space="preserve"> de Puerto Rico (OCPR)</w:t>
      </w:r>
    </w:p>
    <w:p w14:paraId="51E3C20B" w14:textId="77777777" w:rsidR="00D52E9E" w:rsidRDefault="00D52E9E" w:rsidP="00D52E9E">
      <w:pPr>
        <w:spacing w:after="200" w:line="276" w:lineRule="auto"/>
        <w:contextualSpacing/>
        <w:rPr>
          <w:rFonts w:ascii="Book Antiqua" w:eastAsia="Times New Roman" w:hAnsi="Book Antiqua" w:cs="Times New Roman"/>
          <w:bCs/>
          <w:kern w:val="0"/>
          <w:u w:val="single"/>
          <w14:ligatures w14:val="none"/>
        </w:rPr>
      </w:pPr>
    </w:p>
    <w:p w14:paraId="49CDB095" w14:textId="4A419944" w:rsidR="00D52E9E" w:rsidRDefault="00D52E9E" w:rsidP="00413AC3">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Oficina de</w:t>
      </w:r>
      <w:r w:rsidR="00F95E98">
        <w:rPr>
          <w:rFonts w:ascii="Book Antiqua" w:eastAsia="Times New Roman" w:hAnsi="Book Antiqua" w:cs="Times New Roman"/>
          <w:bCs/>
          <w:kern w:val="0"/>
          <w14:ligatures w14:val="none"/>
        </w:rPr>
        <w:t xml:space="preserve"> la</w:t>
      </w:r>
      <w:r>
        <w:rPr>
          <w:rFonts w:ascii="Book Antiqua" w:eastAsia="Times New Roman" w:hAnsi="Book Antiqua" w:cs="Times New Roman"/>
          <w:bCs/>
          <w:kern w:val="0"/>
          <w14:ligatures w14:val="none"/>
        </w:rPr>
        <w:t xml:space="preserve"> Contralor</w:t>
      </w:r>
      <w:r w:rsidR="00F95E98">
        <w:rPr>
          <w:rFonts w:ascii="Book Antiqua" w:eastAsia="Times New Roman" w:hAnsi="Book Antiqua" w:cs="Times New Roman"/>
          <w:bCs/>
          <w:kern w:val="0"/>
          <w14:ligatures w14:val="none"/>
        </w:rPr>
        <w:t>a</w:t>
      </w:r>
      <w:r>
        <w:rPr>
          <w:rFonts w:ascii="Book Antiqua" w:eastAsia="Times New Roman" w:hAnsi="Book Antiqua" w:cs="Times New Roman"/>
          <w:bCs/>
          <w:kern w:val="0"/>
          <w14:ligatures w14:val="none"/>
        </w:rPr>
        <w:t xml:space="preserve"> de Puerto Rico (OCPR) analizó y resumió la pieza legislativa, y luego reiteró que la OCPR no define ni promulga política pública.</w:t>
      </w:r>
      <w:r>
        <w:rPr>
          <w:rStyle w:val="FootnoteReference"/>
          <w:rFonts w:ascii="Book Antiqua" w:eastAsia="Times New Roman" w:hAnsi="Book Antiqua"/>
          <w:bCs/>
          <w:kern w:val="0"/>
          <w14:ligatures w14:val="none"/>
        </w:rPr>
        <w:footnoteReference w:id="5"/>
      </w:r>
      <w:r>
        <w:rPr>
          <w:rFonts w:ascii="Book Antiqua" w:eastAsia="Times New Roman" w:hAnsi="Book Antiqua" w:cs="Times New Roman"/>
          <w:bCs/>
          <w:kern w:val="0"/>
          <w14:ligatures w14:val="none"/>
        </w:rPr>
        <w:t xml:space="preserve"> Sin embargo, indicó que la OCPR era consistente en “avalar todo esfuerzo que promueva la sana administración pública y la buena utilización de los recursos en beneficio de nuestro </w:t>
      </w:r>
      <w:r>
        <w:rPr>
          <w:rFonts w:ascii="Book Antiqua" w:eastAsia="Times New Roman" w:hAnsi="Book Antiqua" w:cs="Times New Roman"/>
          <w:bCs/>
          <w:kern w:val="0"/>
          <w14:ligatures w14:val="none"/>
        </w:rPr>
        <w:lastRenderedPageBreak/>
        <w:t>pueblo.”</w:t>
      </w:r>
      <w:r>
        <w:rPr>
          <w:rStyle w:val="FootnoteReference"/>
          <w:rFonts w:ascii="Book Antiqua" w:eastAsia="Times New Roman" w:hAnsi="Book Antiqua"/>
          <w:bCs/>
          <w:kern w:val="0"/>
          <w14:ligatures w14:val="none"/>
        </w:rPr>
        <w:footnoteReference w:id="6"/>
      </w:r>
      <w:r>
        <w:rPr>
          <w:rFonts w:ascii="Book Antiqua" w:eastAsia="Times New Roman" w:hAnsi="Book Antiqua" w:cs="Times New Roman"/>
          <w:bCs/>
          <w:kern w:val="0"/>
          <w14:ligatures w14:val="none"/>
        </w:rPr>
        <w:t xml:space="preserve"> Además, expresó que la OCPR avala ‘toda iniciativa legislativa que tenga el propósito de contribuir a la transparencia e integridad en los procesos gubernamentales.”</w:t>
      </w:r>
      <w:r>
        <w:rPr>
          <w:rStyle w:val="FootnoteReference"/>
          <w:rFonts w:ascii="Book Antiqua" w:eastAsia="Times New Roman" w:hAnsi="Book Antiqua"/>
          <w:bCs/>
          <w:kern w:val="0"/>
          <w14:ligatures w14:val="none"/>
        </w:rPr>
        <w:footnoteReference w:id="7"/>
      </w:r>
      <w:r>
        <w:rPr>
          <w:rFonts w:ascii="Book Antiqua" w:eastAsia="Times New Roman" w:hAnsi="Book Antiqua" w:cs="Times New Roman"/>
          <w:bCs/>
          <w:kern w:val="0"/>
          <w14:ligatures w14:val="none"/>
        </w:rPr>
        <w:t xml:space="preserve"> De igual manera, ofreció las siguientes recomendaciones: </w:t>
      </w:r>
    </w:p>
    <w:p w14:paraId="7CB47CEB" w14:textId="77777777" w:rsidR="00D52E9E" w:rsidRDefault="00D52E9E" w:rsidP="00D52E9E">
      <w:pPr>
        <w:spacing w:after="200" w:line="276" w:lineRule="auto"/>
        <w:contextualSpacing/>
        <w:jc w:val="both"/>
        <w:rPr>
          <w:rFonts w:ascii="Book Antiqua" w:eastAsia="Times New Roman" w:hAnsi="Book Antiqua" w:cs="Times New Roman"/>
          <w:bCs/>
          <w:kern w:val="0"/>
          <w14:ligatures w14:val="none"/>
        </w:rPr>
      </w:pPr>
    </w:p>
    <w:p w14:paraId="51D88726" w14:textId="0A301641" w:rsidR="00D52E9E" w:rsidRDefault="00D52E9E" w:rsidP="00413AC3">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En los</w:t>
      </w:r>
      <w:r w:rsidR="00431CEA">
        <w:rPr>
          <w:rFonts w:ascii="Book Antiqua" w:eastAsia="Times New Roman" w:hAnsi="Book Antiqua" w:cs="Times New Roman"/>
          <w:bCs/>
          <w:kern w:val="0"/>
          <w14:ligatures w14:val="none"/>
        </w:rPr>
        <w:t xml:space="preserve"> Informe de Transición debe incluirse una disposición que requiera información relacionada a la liquidación de los balances de licencias por vacaciones y enfermedad a los funcionarios que culminan sus labores desde la fecha de las elecciones hasta la toma de posesión del nuevo incumbente. </w:t>
      </w:r>
    </w:p>
    <w:p w14:paraId="2F78887D" w14:textId="77777777" w:rsidR="00431CEA" w:rsidRDefault="00431CEA" w:rsidP="00413AC3">
      <w:pPr>
        <w:spacing w:after="200" w:line="276" w:lineRule="auto"/>
        <w:ind w:left="720" w:right="720"/>
        <w:contextualSpacing/>
        <w:jc w:val="both"/>
        <w:rPr>
          <w:rFonts w:ascii="Book Antiqua" w:eastAsia="Times New Roman" w:hAnsi="Book Antiqua" w:cs="Times New Roman"/>
          <w:bCs/>
          <w:kern w:val="0"/>
          <w14:ligatures w14:val="none"/>
        </w:rPr>
      </w:pPr>
    </w:p>
    <w:p w14:paraId="5CCCF38C" w14:textId="17A752DE" w:rsidR="00431CEA" w:rsidRDefault="00431CEA" w:rsidP="00413AC3">
      <w:pPr>
        <w:spacing w:after="200" w:line="276" w:lineRule="auto"/>
        <w:ind w:left="720" w:right="720"/>
        <w:contextualSpacing/>
        <w:jc w:val="both"/>
        <w:rPr>
          <w:rFonts w:ascii="Book Antiqua" w:eastAsia="Times New Roman" w:hAnsi="Book Antiqua" w:cs="Times New Roman"/>
          <w:bCs/>
          <w:kern w:val="0"/>
          <w14:ligatures w14:val="none"/>
        </w:rPr>
      </w:pPr>
      <w:r w:rsidRPr="00431CEA">
        <w:rPr>
          <w:rFonts w:ascii="Book Antiqua" w:eastAsia="Times New Roman" w:hAnsi="Book Antiqua" w:cs="Times New Roman"/>
          <w:bCs/>
          <w:kern w:val="0"/>
          <w14:ligatures w14:val="none"/>
        </w:rPr>
        <w:t>Nos preocupa, por falta de especificidad, lo que se dispone en la</w:t>
      </w:r>
      <w:r>
        <w:rPr>
          <w:rFonts w:ascii="Book Antiqua" w:eastAsia="Times New Roman" w:hAnsi="Book Antiqua" w:cs="Times New Roman"/>
          <w:bCs/>
          <w:kern w:val="0"/>
          <w14:ligatures w14:val="none"/>
        </w:rPr>
        <w:t xml:space="preserve"> Sección de la medida sobre derogar cualquier otra ley, o parte de ley, que sea </w:t>
      </w:r>
      <w:r w:rsidR="00F71091">
        <w:rPr>
          <w:rFonts w:ascii="Book Antiqua" w:eastAsia="Times New Roman" w:hAnsi="Book Antiqua" w:cs="Times New Roman"/>
          <w:bCs/>
          <w:kern w:val="0"/>
          <w14:ligatures w14:val="none"/>
        </w:rPr>
        <w:t xml:space="preserve">incompatible con este proyecto. Entendemos que lo expresado en la Sección 3, relacionada a que las disposiciones de esta Ley prevalecerán sobre cualquier otra disposición de ley que no estuviere en armonía con lo aquí establecido, se estaría otorgando la preeminencia que se pretende otorgar. Por lo que entendemos que no se debería incluir esta sección 2 de la medida. </w:t>
      </w:r>
    </w:p>
    <w:p w14:paraId="16754C2D" w14:textId="2F4B8110" w:rsidR="00F71091" w:rsidRPr="00431CEA" w:rsidRDefault="00F71091" w:rsidP="00413AC3">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Entendemos, que como parte del informe de esta comisión sobre la pieza legislativa se recomiende a la oficina de Gerencia Municipal que ausculte la posibilidad de enmendar el Reglamento Núm. 8235 de 30 de julio de 2012, Reglamento para la Transición de los Gobiernos Municipales o redactar una nuevo, ya que este reglamento se redactó bajo la Ley 81-1991 que fue derogada por el Código Municipal. Esto, sería de beneficio porque se podría incluir toda regla procesal relacionada con el Comité de Transición Municipal.</w:t>
      </w:r>
      <w:r w:rsidR="00413AC3">
        <w:rPr>
          <w:rStyle w:val="FootnoteReference"/>
          <w:rFonts w:ascii="Book Antiqua" w:eastAsia="Times New Roman" w:hAnsi="Book Antiqua"/>
          <w:bCs/>
          <w:kern w:val="0"/>
          <w14:ligatures w14:val="none"/>
        </w:rPr>
        <w:footnoteReference w:id="8"/>
      </w:r>
    </w:p>
    <w:p w14:paraId="61F521EA" w14:textId="77777777" w:rsidR="00431CEA" w:rsidRPr="00431CEA" w:rsidRDefault="00431CEA" w:rsidP="00D52E9E">
      <w:pPr>
        <w:spacing w:after="200" w:line="276" w:lineRule="auto"/>
        <w:contextualSpacing/>
        <w:jc w:val="both"/>
        <w:rPr>
          <w:rFonts w:ascii="Book Antiqua" w:eastAsia="Times New Roman" w:hAnsi="Book Antiqua" w:cs="Times New Roman"/>
          <w:bCs/>
          <w:kern w:val="0"/>
          <w14:ligatures w14:val="none"/>
        </w:rPr>
      </w:pPr>
    </w:p>
    <w:p w14:paraId="42D0D62B" w14:textId="15E30B78" w:rsidR="00D15048" w:rsidRPr="00413AC3" w:rsidRDefault="00413AC3" w:rsidP="00D15048">
      <w:pPr>
        <w:spacing w:after="200" w:line="360" w:lineRule="auto"/>
        <w:ind w:firstLine="720"/>
        <w:contextualSpacing/>
        <w:jc w:val="both"/>
        <w:rPr>
          <w:rFonts w:ascii="Book Antiqua" w:eastAsia="Times New Roman" w:hAnsi="Book Antiqua" w:cs="Times New Roman"/>
          <w:bCs/>
          <w:kern w:val="0"/>
          <w14:ligatures w14:val="none"/>
        </w:rPr>
      </w:pPr>
      <w:r w:rsidRPr="00413AC3">
        <w:rPr>
          <w:rFonts w:ascii="Book Antiqua" w:eastAsia="Times New Roman" w:hAnsi="Book Antiqua" w:cs="Times New Roman"/>
          <w:bCs/>
          <w:kern w:val="0"/>
          <w14:ligatures w14:val="none"/>
        </w:rPr>
        <w:t xml:space="preserve">De igual modo, recomendó que solicitar </w:t>
      </w:r>
      <w:r>
        <w:rPr>
          <w:rFonts w:ascii="Book Antiqua" w:eastAsia="Times New Roman" w:hAnsi="Book Antiqua" w:cs="Times New Roman"/>
          <w:bCs/>
          <w:kern w:val="0"/>
          <w14:ligatures w14:val="none"/>
        </w:rPr>
        <w:t>“</w:t>
      </w:r>
      <w:r w:rsidRPr="00413AC3">
        <w:rPr>
          <w:rFonts w:ascii="Book Antiqua" w:eastAsia="Times New Roman" w:hAnsi="Book Antiqua" w:cs="Times New Roman"/>
          <w:bCs/>
          <w:kern w:val="0"/>
          <w14:ligatures w14:val="none"/>
        </w:rPr>
        <w:t>comentarios a la Asociación y la Federación de [A]</w:t>
      </w:r>
      <w:proofErr w:type="spellStart"/>
      <w:r w:rsidRPr="00413AC3">
        <w:rPr>
          <w:rFonts w:ascii="Book Antiqua" w:eastAsia="Times New Roman" w:hAnsi="Book Antiqua" w:cs="Times New Roman"/>
          <w:bCs/>
          <w:kern w:val="0"/>
          <w14:ligatures w14:val="none"/>
        </w:rPr>
        <w:t>lcaldes</w:t>
      </w:r>
      <w:proofErr w:type="spellEnd"/>
      <w:r w:rsidRPr="00413AC3">
        <w:rPr>
          <w:rFonts w:ascii="Book Antiqua" w:eastAsia="Times New Roman" w:hAnsi="Book Antiqua" w:cs="Times New Roman"/>
          <w:bCs/>
          <w:kern w:val="0"/>
          <w14:ligatures w14:val="none"/>
        </w:rPr>
        <w:t xml:space="preserve"> de Puerto Rico, la Oficina de Gerencia Municipal, la Comisión Estatal de Elecciones y el Departamento de Justicia, para que se expresen sobre las disposiciones contenidas en el proyecto.</w:t>
      </w:r>
      <w:r>
        <w:rPr>
          <w:rFonts w:ascii="Book Antiqua" w:eastAsia="Times New Roman" w:hAnsi="Book Antiqua" w:cs="Times New Roman"/>
          <w:bCs/>
          <w:kern w:val="0"/>
          <w14:ligatures w14:val="none"/>
        </w:rPr>
        <w:t>”</w:t>
      </w:r>
      <w:r>
        <w:rPr>
          <w:rStyle w:val="FootnoteReference"/>
          <w:rFonts w:ascii="Book Antiqua" w:eastAsia="Times New Roman" w:hAnsi="Book Antiqua"/>
          <w:bCs/>
          <w:kern w:val="0"/>
          <w14:ligatures w14:val="none"/>
        </w:rPr>
        <w:footnoteReference w:id="9"/>
      </w:r>
    </w:p>
    <w:p w14:paraId="3B676B1C" w14:textId="7B72B1F5" w:rsidR="00433876" w:rsidRPr="00413AC3" w:rsidRDefault="00FC0773"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Oficina del Contralor Electoral</w:t>
      </w:r>
      <w:r w:rsidR="00D52E9E">
        <w:rPr>
          <w:rFonts w:ascii="Book Antiqua" w:eastAsia="Times New Roman" w:hAnsi="Book Antiqua" w:cs="Times New Roman"/>
          <w:kern w:val="0"/>
          <w:u w:val="single"/>
          <w14:ligatures w14:val="none"/>
        </w:rPr>
        <w:t xml:space="preserve"> (OCE)</w:t>
      </w:r>
    </w:p>
    <w:p w14:paraId="5630CB10" w14:textId="77777777" w:rsidR="00413AC3" w:rsidRDefault="00413AC3" w:rsidP="00413AC3">
      <w:pPr>
        <w:spacing w:after="200" w:line="276" w:lineRule="auto"/>
        <w:contextualSpacing/>
        <w:rPr>
          <w:rFonts w:ascii="Book Antiqua" w:eastAsia="Times New Roman" w:hAnsi="Book Antiqua" w:cs="Times New Roman"/>
          <w:kern w:val="0"/>
          <w:u w:val="single"/>
          <w14:ligatures w14:val="none"/>
        </w:rPr>
      </w:pPr>
    </w:p>
    <w:p w14:paraId="2BB41309" w14:textId="001470DA" w:rsidR="00F523E4" w:rsidRDefault="00F178FD" w:rsidP="00F178FD">
      <w:pPr>
        <w:spacing w:after="200" w:line="360" w:lineRule="auto"/>
        <w:ind w:firstLine="720"/>
        <w:contextualSpacing/>
        <w:jc w:val="both"/>
        <w:rPr>
          <w:rFonts w:ascii="Book Antiqua" w:eastAsia="Times New Roman" w:hAnsi="Book Antiqua" w:cs="Times New Roman"/>
          <w:kern w:val="0"/>
          <w14:ligatures w14:val="none"/>
        </w:rPr>
      </w:pPr>
      <w:r w:rsidRPr="00F178FD">
        <w:rPr>
          <w:rFonts w:ascii="Book Antiqua" w:eastAsia="Times New Roman" w:hAnsi="Book Antiqua" w:cs="Times New Roman"/>
          <w:kern w:val="0"/>
          <w14:ligatures w14:val="none"/>
        </w:rPr>
        <w:lastRenderedPageBreak/>
        <w:t xml:space="preserve">La Oficina del Contralor Electoral se abstuvo </w:t>
      </w:r>
      <w:r>
        <w:rPr>
          <w:rFonts w:ascii="Book Antiqua" w:eastAsia="Times New Roman" w:hAnsi="Book Antiqua" w:cs="Times New Roman"/>
          <w:kern w:val="0"/>
          <w14:ligatures w14:val="none"/>
        </w:rPr>
        <w:t>de expresarse con respecto al proyecto de ley dado que éste presenta asuntos de política pública “que no afectan ni inciden sobre los deberes y funciones de la Oficina del Contralor Electoral.”</w:t>
      </w:r>
      <w:r>
        <w:rPr>
          <w:rStyle w:val="FootnoteReference"/>
          <w:rFonts w:ascii="Book Antiqua" w:eastAsia="Times New Roman" w:hAnsi="Book Antiqua"/>
          <w:kern w:val="0"/>
          <w14:ligatures w14:val="none"/>
        </w:rPr>
        <w:footnoteReference w:id="10"/>
      </w:r>
      <w:r>
        <w:rPr>
          <w:rFonts w:ascii="Book Antiqua" w:eastAsia="Times New Roman" w:hAnsi="Book Antiqua" w:cs="Times New Roman"/>
          <w:kern w:val="0"/>
          <w14:ligatures w14:val="none"/>
        </w:rPr>
        <w:t xml:space="preserve"> Añadió que daba “total deferencia a la Asamblea Legislativa a los fines de decidir, como cuerpo colegiado, si adopta o no las políticas públicas propuestas en los Proyectos.”</w:t>
      </w:r>
      <w:r>
        <w:rPr>
          <w:rStyle w:val="FootnoteReference"/>
          <w:rFonts w:ascii="Book Antiqua" w:eastAsia="Times New Roman" w:hAnsi="Book Antiqua"/>
          <w:kern w:val="0"/>
          <w14:ligatures w14:val="none"/>
        </w:rPr>
        <w:footnoteReference w:id="11"/>
      </w:r>
    </w:p>
    <w:p w14:paraId="71D01619" w14:textId="77777777" w:rsidR="00BC3D58" w:rsidRPr="00F178FD" w:rsidRDefault="00BC3D58" w:rsidP="00F178FD">
      <w:pPr>
        <w:spacing w:after="200" w:line="360" w:lineRule="auto"/>
        <w:ind w:firstLine="720"/>
        <w:contextualSpacing/>
        <w:jc w:val="both"/>
        <w:rPr>
          <w:rFonts w:ascii="Book Antiqua" w:eastAsia="Times New Roman" w:hAnsi="Book Antiqua" w:cs="Times New Roman"/>
          <w:bCs/>
          <w:kern w:val="0"/>
          <w14:ligatures w14:val="none"/>
        </w:rPr>
      </w:pPr>
    </w:p>
    <w:p w14:paraId="7CC8029E" w14:textId="01549520" w:rsidR="00433876" w:rsidRPr="000E68A9" w:rsidRDefault="00B92A1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 xml:space="preserve">Oficina de los </w:t>
      </w:r>
      <w:r w:rsidR="00FC0773">
        <w:rPr>
          <w:rFonts w:ascii="Book Antiqua" w:eastAsia="Times New Roman" w:hAnsi="Book Antiqua" w:cs="Times New Roman"/>
          <w:kern w:val="0"/>
          <w:u w:val="single"/>
          <w14:ligatures w14:val="none"/>
        </w:rPr>
        <w:t>Comisionado</w:t>
      </w:r>
      <w:r>
        <w:rPr>
          <w:rFonts w:ascii="Book Antiqua" w:eastAsia="Times New Roman" w:hAnsi="Book Antiqua" w:cs="Times New Roman"/>
          <w:kern w:val="0"/>
          <w:u w:val="single"/>
          <w14:ligatures w14:val="none"/>
        </w:rPr>
        <w:t>s Electorales</w:t>
      </w:r>
      <w:r w:rsidR="00FC0773">
        <w:rPr>
          <w:rFonts w:ascii="Book Antiqua" w:eastAsia="Times New Roman" w:hAnsi="Book Antiqua" w:cs="Times New Roman"/>
          <w:kern w:val="0"/>
          <w:u w:val="single"/>
          <w14:ligatures w14:val="none"/>
        </w:rPr>
        <w:t xml:space="preserve"> del Partido Nuevo Progresista (</w:t>
      </w:r>
      <w:r>
        <w:rPr>
          <w:rFonts w:ascii="Book Antiqua" w:eastAsia="Times New Roman" w:hAnsi="Book Antiqua" w:cs="Times New Roman"/>
          <w:kern w:val="0"/>
          <w:u w:val="single"/>
          <w14:ligatures w14:val="none"/>
        </w:rPr>
        <w:t>OCE</w:t>
      </w:r>
      <w:r w:rsidR="00FC0773">
        <w:rPr>
          <w:rFonts w:ascii="Book Antiqua" w:eastAsia="Times New Roman" w:hAnsi="Book Antiqua" w:cs="Times New Roman"/>
          <w:kern w:val="0"/>
          <w:u w:val="single"/>
          <w14:ligatures w14:val="none"/>
        </w:rPr>
        <w:t>PNP)</w:t>
      </w:r>
    </w:p>
    <w:p w14:paraId="508FC441" w14:textId="77777777" w:rsidR="000E68A9" w:rsidRDefault="000E68A9" w:rsidP="000E68A9">
      <w:pPr>
        <w:spacing w:after="200" w:line="276" w:lineRule="auto"/>
        <w:contextualSpacing/>
        <w:rPr>
          <w:rFonts w:ascii="Book Antiqua" w:eastAsia="Times New Roman" w:hAnsi="Book Antiqua" w:cs="Times New Roman"/>
          <w:kern w:val="0"/>
          <w:u w:val="single"/>
          <w14:ligatures w14:val="none"/>
        </w:rPr>
      </w:pPr>
    </w:p>
    <w:p w14:paraId="6D2C42D2" w14:textId="56ECAAED" w:rsidR="00E771EE" w:rsidRDefault="00DD1888" w:rsidP="00852ADC">
      <w:pPr>
        <w:spacing w:after="200" w:line="360" w:lineRule="auto"/>
        <w:ind w:firstLine="720"/>
        <w:contextualSpacing/>
        <w:jc w:val="both"/>
        <w:rPr>
          <w:rFonts w:ascii="Book Antiqua" w:eastAsia="Times New Roman" w:hAnsi="Book Antiqua" w:cs="Times New Roman"/>
          <w:bCs/>
          <w:kern w:val="0"/>
          <w14:ligatures w14:val="none"/>
        </w:rPr>
      </w:pPr>
      <w:r w:rsidRPr="00DD1888">
        <w:rPr>
          <w:rFonts w:ascii="Book Antiqua" w:eastAsia="Times New Roman" w:hAnsi="Book Antiqua" w:cs="Times New Roman"/>
          <w:bCs/>
          <w:kern w:val="0"/>
          <w14:ligatures w14:val="none"/>
        </w:rPr>
        <w:t>La</w:t>
      </w:r>
      <w:r>
        <w:rPr>
          <w:rFonts w:ascii="Book Antiqua" w:eastAsia="Times New Roman" w:hAnsi="Book Antiqua" w:cs="Times New Roman"/>
          <w:bCs/>
          <w:kern w:val="0"/>
          <w14:ligatures w14:val="none"/>
        </w:rPr>
        <w:t xml:space="preserve"> Oficina de</w:t>
      </w:r>
      <w:r w:rsidR="00F551CD">
        <w:rPr>
          <w:rFonts w:ascii="Book Antiqua" w:eastAsia="Times New Roman" w:hAnsi="Book Antiqua" w:cs="Times New Roman"/>
          <w:bCs/>
          <w:kern w:val="0"/>
          <w14:ligatures w14:val="none"/>
        </w:rPr>
        <w:t xml:space="preserve"> los</w:t>
      </w:r>
      <w:r>
        <w:rPr>
          <w:rFonts w:ascii="Book Antiqua" w:eastAsia="Times New Roman" w:hAnsi="Book Antiqua" w:cs="Times New Roman"/>
          <w:bCs/>
          <w:kern w:val="0"/>
          <w14:ligatures w14:val="none"/>
        </w:rPr>
        <w:t xml:space="preserve"> Comisionado</w:t>
      </w:r>
      <w:r w:rsidR="00F551CD">
        <w:rPr>
          <w:rFonts w:ascii="Book Antiqua" w:eastAsia="Times New Roman" w:hAnsi="Book Antiqua" w:cs="Times New Roman"/>
          <w:bCs/>
          <w:kern w:val="0"/>
          <w14:ligatures w14:val="none"/>
        </w:rPr>
        <w:t>s</w:t>
      </w:r>
      <w:r>
        <w:rPr>
          <w:rFonts w:ascii="Book Antiqua" w:eastAsia="Times New Roman" w:hAnsi="Book Antiqua" w:cs="Times New Roman"/>
          <w:bCs/>
          <w:kern w:val="0"/>
          <w14:ligatures w14:val="none"/>
        </w:rPr>
        <w:t xml:space="preserve"> Electoral</w:t>
      </w:r>
      <w:r w:rsidR="00F551CD">
        <w:rPr>
          <w:rFonts w:ascii="Book Antiqua" w:eastAsia="Times New Roman" w:hAnsi="Book Antiqua" w:cs="Times New Roman"/>
          <w:bCs/>
          <w:kern w:val="0"/>
          <w14:ligatures w14:val="none"/>
        </w:rPr>
        <w:t>es</w:t>
      </w:r>
      <w:r>
        <w:rPr>
          <w:rFonts w:ascii="Book Antiqua" w:eastAsia="Times New Roman" w:hAnsi="Book Antiqua" w:cs="Times New Roman"/>
          <w:bCs/>
          <w:kern w:val="0"/>
          <w14:ligatures w14:val="none"/>
        </w:rPr>
        <w:t xml:space="preserve"> del </w:t>
      </w:r>
      <w:r w:rsidR="008F2431">
        <w:rPr>
          <w:rFonts w:ascii="Book Antiqua" w:eastAsia="Times New Roman" w:hAnsi="Book Antiqua" w:cs="Times New Roman"/>
          <w:bCs/>
          <w:kern w:val="0"/>
          <w14:ligatures w14:val="none"/>
        </w:rPr>
        <w:t>Partido</w:t>
      </w:r>
      <w:r>
        <w:rPr>
          <w:rFonts w:ascii="Book Antiqua" w:eastAsia="Times New Roman" w:hAnsi="Book Antiqua" w:cs="Times New Roman"/>
          <w:bCs/>
          <w:kern w:val="0"/>
          <w14:ligatures w14:val="none"/>
        </w:rPr>
        <w:t xml:space="preserve"> </w:t>
      </w:r>
      <w:r w:rsidR="00F551CD">
        <w:rPr>
          <w:rFonts w:ascii="Book Antiqua" w:eastAsia="Times New Roman" w:hAnsi="Book Antiqua" w:cs="Times New Roman"/>
          <w:bCs/>
          <w:kern w:val="0"/>
          <w14:ligatures w14:val="none"/>
        </w:rPr>
        <w:t>N</w:t>
      </w:r>
      <w:r>
        <w:rPr>
          <w:rFonts w:ascii="Book Antiqua" w:eastAsia="Times New Roman" w:hAnsi="Book Antiqua" w:cs="Times New Roman"/>
          <w:bCs/>
          <w:kern w:val="0"/>
          <w14:ligatures w14:val="none"/>
        </w:rPr>
        <w:t xml:space="preserve">uevo Progresista (OCEPNP) </w:t>
      </w:r>
      <w:r w:rsidR="00852ADC">
        <w:rPr>
          <w:rFonts w:ascii="Book Antiqua" w:eastAsia="Times New Roman" w:hAnsi="Book Antiqua" w:cs="Times New Roman"/>
          <w:bCs/>
          <w:kern w:val="0"/>
          <w14:ligatures w14:val="none"/>
        </w:rPr>
        <w:t>favoreció la aprobación del P. de la C. 144</w:t>
      </w:r>
      <w:r w:rsidR="00BC3D58">
        <w:rPr>
          <w:rStyle w:val="FootnoteReference"/>
          <w:rFonts w:ascii="Book Antiqua" w:eastAsia="Times New Roman" w:hAnsi="Book Antiqua"/>
          <w:bCs/>
          <w:kern w:val="0"/>
          <w14:ligatures w14:val="none"/>
        </w:rPr>
        <w:footnoteReference w:id="12"/>
      </w:r>
      <w:r w:rsidR="00852ADC">
        <w:rPr>
          <w:rFonts w:ascii="Book Antiqua" w:eastAsia="Times New Roman" w:hAnsi="Book Antiqua" w:cs="Times New Roman"/>
          <w:bCs/>
          <w:kern w:val="0"/>
          <w14:ligatures w14:val="none"/>
        </w:rPr>
        <w:t xml:space="preserve"> e indicó que la medida “adelanta una política pública razonable al fortalecer y reducir los espacios de incertidumbre, dilación e incumplimiento que se generan precisamente en el momento que más apremia proteger la continuidad institucional del mandato democrático.”</w:t>
      </w:r>
      <w:r w:rsidR="00852ADC">
        <w:rPr>
          <w:rStyle w:val="FootnoteReference"/>
          <w:rFonts w:ascii="Book Antiqua" w:eastAsia="Times New Roman" w:hAnsi="Book Antiqua"/>
          <w:bCs/>
          <w:kern w:val="0"/>
          <w14:ligatures w14:val="none"/>
        </w:rPr>
        <w:footnoteReference w:id="13"/>
      </w:r>
      <w:r w:rsidR="00E771EE">
        <w:rPr>
          <w:rFonts w:ascii="Book Antiqua" w:eastAsia="Times New Roman" w:hAnsi="Book Antiqua" w:cs="Times New Roman"/>
          <w:bCs/>
          <w:kern w:val="0"/>
          <w14:ligatures w14:val="none"/>
        </w:rPr>
        <w:t xml:space="preserve"> Añadió también que el proyecto de ley </w:t>
      </w:r>
    </w:p>
    <w:p w14:paraId="2A26CBAA" w14:textId="231CA132" w:rsidR="00E771EE" w:rsidRDefault="00E771EE" w:rsidP="00E771EE">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reviste una dimensión electoral porque reglamenta una etapa crítica del periodo posterior a la celebración de un certamen. El derecho al voto no se agota cua</w:t>
      </w:r>
      <w:r w:rsidR="000D56FC">
        <w:rPr>
          <w:rFonts w:ascii="Book Antiqua" w:eastAsia="Times New Roman" w:hAnsi="Book Antiqua" w:cs="Times New Roman"/>
          <w:bCs/>
          <w:kern w:val="0"/>
          <w14:ligatures w14:val="none"/>
        </w:rPr>
        <w:t>n</w:t>
      </w:r>
      <w:r>
        <w:rPr>
          <w:rFonts w:ascii="Book Antiqua" w:eastAsia="Times New Roman" w:hAnsi="Book Antiqua" w:cs="Times New Roman"/>
          <w:bCs/>
          <w:kern w:val="0"/>
          <w14:ligatures w14:val="none"/>
        </w:rPr>
        <w:t>do el elector deposita su papeleta ni cuando la CEE anuncia los resultados. El sistema electoral cumple cabalmente su función cuando la expresión de la voluntad del pueblo genera gobiernos funcionales, continuos y capaces de asumir efectivamente sus responsabilidades. La transición municipal es, pues, una etapa indispensable para que el sufragio produzca su plena eficacia.</w:t>
      </w:r>
      <w:r>
        <w:rPr>
          <w:rStyle w:val="FootnoteReference"/>
          <w:rFonts w:ascii="Book Antiqua" w:eastAsia="Times New Roman" w:hAnsi="Book Antiqua"/>
          <w:bCs/>
          <w:kern w:val="0"/>
          <w14:ligatures w14:val="none"/>
        </w:rPr>
        <w:footnoteReference w:id="14"/>
      </w:r>
    </w:p>
    <w:p w14:paraId="76E5BC4A" w14:textId="77777777" w:rsidR="00E771EE" w:rsidRDefault="00E771EE" w:rsidP="00852ADC">
      <w:pPr>
        <w:spacing w:after="200" w:line="360" w:lineRule="auto"/>
        <w:ind w:firstLine="720"/>
        <w:contextualSpacing/>
        <w:jc w:val="both"/>
        <w:rPr>
          <w:rFonts w:ascii="Book Antiqua" w:eastAsia="Times New Roman" w:hAnsi="Book Antiqua" w:cs="Times New Roman"/>
          <w:bCs/>
          <w:kern w:val="0"/>
          <w14:ligatures w14:val="none"/>
        </w:rPr>
      </w:pPr>
    </w:p>
    <w:p w14:paraId="2A3AE53B" w14:textId="620863B3" w:rsidR="00E771EE" w:rsidRDefault="00B92A14" w:rsidP="00852ADC">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Tras resumir brevemente la medida, la OCEPNP expresó que </w:t>
      </w:r>
    </w:p>
    <w:p w14:paraId="07AB0E14" w14:textId="43E916E8" w:rsidR="00B92A14" w:rsidRDefault="00B92A14" w:rsidP="00E771EE">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la transición en un municipio luego de una elección constituye una etapa postelectoral indispensable para que la voluntad expresada en las urnas se </w:t>
      </w:r>
      <w:r>
        <w:rPr>
          <w:rFonts w:ascii="Book Antiqua" w:eastAsia="Times New Roman" w:hAnsi="Book Antiqua" w:cs="Times New Roman"/>
          <w:bCs/>
          <w:kern w:val="0"/>
          <w14:ligatures w14:val="none"/>
        </w:rPr>
        <w:lastRenderedPageBreak/>
        <w:t xml:space="preserve">traduzca de manera ordenada, transparente y efectiva en el ejercicio real del poder público. La transición no es un asunto colateral </w:t>
      </w:r>
      <w:r w:rsidR="000D56FC">
        <w:rPr>
          <w:rFonts w:ascii="Book Antiqua" w:eastAsia="Times New Roman" w:hAnsi="Book Antiqua" w:cs="Times New Roman"/>
          <w:bCs/>
          <w:kern w:val="0"/>
          <w14:ligatures w14:val="none"/>
        </w:rPr>
        <w:t xml:space="preserve">al </w:t>
      </w:r>
      <w:r w:rsidR="00E771EE">
        <w:rPr>
          <w:rFonts w:ascii="Book Antiqua" w:eastAsia="Times New Roman" w:hAnsi="Book Antiqua" w:cs="Times New Roman"/>
          <w:bCs/>
          <w:kern w:val="0"/>
          <w14:ligatures w14:val="none"/>
        </w:rPr>
        <w:t>proceso electoral; es una de sus consecuencias institucionales de mayor envergadura.</w:t>
      </w:r>
      <w:r w:rsidR="00E771EE">
        <w:rPr>
          <w:rStyle w:val="FootnoteReference"/>
          <w:rFonts w:ascii="Book Antiqua" w:eastAsia="Times New Roman" w:hAnsi="Book Antiqua"/>
          <w:bCs/>
          <w:kern w:val="0"/>
          <w14:ligatures w14:val="none"/>
        </w:rPr>
        <w:footnoteReference w:id="15"/>
      </w:r>
    </w:p>
    <w:p w14:paraId="424FAB3C" w14:textId="77777777" w:rsidR="00E771EE" w:rsidRDefault="00E771EE" w:rsidP="00E771EE">
      <w:pPr>
        <w:spacing w:after="200" w:line="276" w:lineRule="auto"/>
        <w:ind w:right="720"/>
        <w:contextualSpacing/>
        <w:jc w:val="both"/>
        <w:rPr>
          <w:rFonts w:ascii="Book Antiqua" w:eastAsia="Times New Roman" w:hAnsi="Book Antiqua" w:cs="Times New Roman"/>
          <w:bCs/>
          <w:kern w:val="0"/>
          <w14:ligatures w14:val="none"/>
        </w:rPr>
      </w:pPr>
    </w:p>
    <w:p w14:paraId="24271B48" w14:textId="60A84EA4" w:rsidR="00E771EE" w:rsidRDefault="00370DA1" w:rsidP="004E117A">
      <w:pPr>
        <w:spacing w:after="200" w:line="276" w:lineRule="auto"/>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Asimismo, resumen en su Ponencia los objetivos de la medida del siguiente modo:</w:t>
      </w:r>
    </w:p>
    <w:p w14:paraId="378BBA75" w14:textId="77777777" w:rsidR="004E117A" w:rsidRDefault="004E117A" w:rsidP="004E117A">
      <w:pPr>
        <w:spacing w:after="200" w:line="276" w:lineRule="auto"/>
        <w:contextualSpacing/>
        <w:jc w:val="both"/>
        <w:rPr>
          <w:rFonts w:ascii="Book Antiqua" w:eastAsia="Times New Roman" w:hAnsi="Book Antiqua" w:cs="Times New Roman"/>
          <w:bCs/>
          <w:kern w:val="0"/>
          <w14:ligatures w14:val="none"/>
        </w:rPr>
      </w:pPr>
    </w:p>
    <w:p w14:paraId="2BFE834D" w14:textId="6B03A545" w:rsidR="00370DA1" w:rsidRDefault="00370DA1" w:rsidP="004E117A">
      <w:pPr>
        <w:spacing w:after="200" w:line="276" w:lineRule="auto"/>
        <w:ind w:left="990" w:right="720" w:hanging="27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1. </w:t>
      </w:r>
      <w:r w:rsidR="004E117A">
        <w:rPr>
          <w:rFonts w:ascii="Book Antiqua" w:eastAsia="Times New Roman" w:hAnsi="Book Antiqua" w:cs="Times New Roman"/>
          <w:bCs/>
          <w:kern w:val="0"/>
          <w14:ligatures w14:val="none"/>
        </w:rPr>
        <w:t>S</w:t>
      </w:r>
      <w:r>
        <w:rPr>
          <w:rFonts w:ascii="Book Antiqua" w:eastAsia="Times New Roman" w:hAnsi="Book Antiqua" w:cs="Times New Roman"/>
          <w:bCs/>
          <w:kern w:val="0"/>
          <w14:ligatures w14:val="none"/>
        </w:rPr>
        <w:t xml:space="preserve">e precisa el deber ministerial de participar en el proceso de transición, haciéndolo extensivo no solo a los alcaldes y sus representantes, </w:t>
      </w:r>
      <w:proofErr w:type="spellStart"/>
      <w:r>
        <w:rPr>
          <w:rFonts w:ascii="Book Antiqua" w:eastAsia="Times New Roman" w:hAnsi="Book Antiqua" w:cs="Times New Roman"/>
          <w:bCs/>
          <w:kern w:val="0"/>
          <w14:ligatures w14:val="none"/>
        </w:rPr>
        <w:t>si no</w:t>
      </w:r>
      <w:proofErr w:type="spellEnd"/>
      <w:r>
        <w:rPr>
          <w:rFonts w:ascii="Book Antiqua" w:eastAsia="Times New Roman" w:hAnsi="Book Antiqua" w:cs="Times New Roman"/>
          <w:bCs/>
          <w:kern w:val="0"/>
          <w14:ligatures w14:val="none"/>
        </w:rPr>
        <w:t xml:space="preserve"> también a los funcionarios designados y cualesquiera otros empleados municipales. Ese deber incluye comparecer a testificar, contestar preguntas relativas al estado general de las </w:t>
      </w:r>
      <w:r w:rsidR="004E117A">
        <w:rPr>
          <w:rFonts w:ascii="Book Antiqua" w:eastAsia="Times New Roman" w:hAnsi="Book Antiqua" w:cs="Times New Roman"/>
          <w:bCs/>
          <w:kern w:val="0"/>
          <w14:ligatures w14:val="none"/>
        </w:rPr>
        <w:t>finanzas</w:t>
      </w:r>
      <w:r>
        <w:rPr>
          <w:rFonts w:ascii="Book Antiqua" w:eastAsia="Times New Roman" w:hAnsi="Book Antiqua" w:cs="Times New Roman"/>
          <w:bCs/>
          <w:kern w:val="0"/>
          <w14:ligatures w14:val="none"/>
        </w:rPr>
        <w:t xml:space="preserve"> y de la administración municipal, y producir los libros, papeles, récords, documentos u objetos que se les requieran a esos fines. </w:t>
      </w:r>
    </w:p>
    <w:p w14:paraId="27182D4F" w14:textId="187FE090" w:rsidR="004E117A" w:rsidRDefault="004E117A" w:rsidP="004E117A">
      <w:pPr>
        <w:spacing w:after="200" w:line="276" w:lineRule="auto"/>
        <w:ind w:left="990" w:right="720" w:hanging="27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2. Se amplían las herramientas del Comité de Transición Entrante para requerir información adicional no contenida en el Artículo 2.001 vigente, incluyendo la facultad de administrar juramentos, tomar deposiciones y acudir al tribunal a procurar cumplimiento cuando una citación o un requerimiento no sea atendido debidamente. </w:t>
      </w:r>
    </w:p>
    <w:p w14:paraId="51D0237A" w14:textId="51577AF0" w:rsidR="004E117A" w:rsidRDefault="004E117A" w:rsidP="004E117A">
      <w:pPr>
        <w:spacing w:after="200" w:line="276" w:lineRule="auto"/>
        <w:ind w:left="990" w:right="720" w:hanging="27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3. Se regula con mayor especificidad la transición en los casos de muerte, renuncia, destitución o incapacidad total y permanente del </w:t>
      </w:r>
      <w:proofErr w:type="gramStart"/>
      <w:r>
        <w:rPr>
          <w:rFonts w:ascii="Book Antiqua" w:eastAsia="Times New Roman" w:hAnsi="Book Antiqua" w:cs="Times New Roman"/>
          <w:bCs/>
          <w:kern w:val="0"/>
          <w14:ligatures w14:val="none"/>
        </w:rPr>
        <w:t>Alcalde</w:t>
      </w:r>
      <w:proofErr w:type="gramEnd"/>
      <w:r>
        <w:rPr>
          <w:rFonts w:ascii="Book Antiqua" w:eastAsia="Times New Roman" w:hAnsi="Book Antiqua" w:cs="Times New Roman"/>
          <w:bCs/>
          <w:kern w:val="0"/>
          <w14:ligatures w14:val="none"/>
        </w:rPr>
        <w:t xml:space="preserve">, acortando los términos aplicables e imponiendo deberes más concretos y exigibles de </w:t>
      </w:r>
      <w:proofErr w:type="gramStart"/>
      <w:r>
        <w:rPr>
          <w:rFonts w:ascii="Book Antiqua" w:eastAsia="Times New Roman" w:hAnsi="Book Antiqua" w:cs="Times New Roman"/>
          <w:bCs/>
          <w:kern w:val="0"/>
          <w14:ligatures w14:val="none"/>
        </w:rPr>
        <w:t>Alcalde</w:t>
      </w:r>
      <w:proofErr w:type="gramEnd"/>
      <w:r>
        <w:rPr>
          <w:rFonts w:ascii="Book Antiqua" w:eastAsia="Times New Roman" w:hAnsi="Book Antiqua" w:cs="Times New Roman"/>
          <w:bCs/>
          <w:kern w:val="0"/>
          <w14:ligatures w14:val="none"/>
        </w:rPr>
        <w:t xml:space="preserve"> Interino. </w:t>
      </w:r>
    </w:p>
    <w:p w14:paraId="7AFEA870" w14:textId="4C4B79B1" w:rsidR="0016410A" w:rsidRDefault="004E117A" w:rsidP="00D3195C">
      <w:pPr>
        <w:spacing w:after="200" w:line="276" w:lineRule="auto"/>
        <w:ind w:left="990" w:right="720" w:hanging="27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4. Se establece que el </w:t>
      </w:r>
      <w:proofErr w:type="gramStart"/>
      <w:r>
        <w:rPr>
          <w:rFonts w:ascii="Book Antiqua" w:eastAsia="Times New Roman" w:hAnsi="Book Antiqua" w:cs="Times New Roman"/>
          <w:bCs/>
          <w:kern w:val="0"/>
          <w14:ligatures w14:val="none"/>
        </w:rPr>
        <w:t>Alcalde</w:t>
      </w:r>
      <w:proofErr w:type="gramEnd"/>
      <w:r>
        <w:rPr>
          <w:rFonts w:ascii="Book Antiqua" w:eastAsia="Times New Roman" w:hAnsi="Book Antiqua" w:cs="Times New Roman"/>
          <w:bCs/>
          <w:kern w:val="0"/>
          <w14:ligatures w14:val="none"/>
        </w:rPr>
        <w:t xml:space="preserve"> Interino </w:t>
      </w:r>
      <w:proofErr w:type="spellStart"/>
      <w:r>
        <w:rPr>
          <w:rFonts w:ascii="Book Antiqua" w:eastAsia="Times New Roman" w:hAnsi="Book Antiqua" w:cs="Times New Roman"/>
          <w:bCs/>
          <w:kern w:val="0"/>
          <w14:ligatures w14:val="none"/>
        </w:rPr>
        <w:t>Interino</w:t>
      </w:r>
      <w:proofErr w:type="spellEnd"/>
      <w:r>
        <w:rPr>
          <w:rFonts w:ascii="Book Antiqua" w:eastAsia="Times New Roman" w:hAnsi="Book Antiqua" w:cs="Times New Roman"/>
          <w:bCs/>
          <w:kern w:val="0"/>
          <w14:ligatures w14:val="none"/>
        </w:rPr>
        <w:t xml:space="preserve"> tendrá la obligación y el deber ministerial de rendir un informe escrito sobre el estado general de las finanzas y de la administración municipal.  Dicho informe deberá radicarse en o antes de los diez (10) días naturales siguiendo al cese de funciones del </w:t>
      </w:r>
      <w:proofErr w:type="gramStart"/>
      <w:r>
        <w:rPr>
          <w:rFonts w:ascii="Book Antiqua" w:eastAsia="Times New Roman" w:hAnsi="Book Antiqua" w:cs="Times New Roman"/>
          <w:bCs/>
          <w:kern w:val="0"/>
          <w14:ligatures w14:val="none"/>
        </w:rPr>
        <w:t>Alcalde</w:t>
      </w:r>
      <w:proofErr w:type="gramEnd"/>
      <w:r>
        <w:rPr>
          <w:rFonts w:ascii="Book Antiqua" w:eastAsia="Times New Roman" w:hAnsi="Book Antiqua" w:cs="Times New Roman"/>
          <w:bCs/>
          <w:kern w:val="0"/>
          <w14:ligatures w14:val="none"/>
        </w:rPr>
        <w:t xml:space="preserve"> Saliente, tanto en la Secretaría Municipal como en la Secretaría de la Legislatura Municipal, y tendrá carácter público, salvo las limitaciones impuestas por otras leyes vigentes o las que respondan a la protección de derechos de terceros y de investigaciones en cursos.</w:t>
      </w:r>
      <w:r w:rsidR="00241A75">
        <w:rPr>
          <w:rStyle w:val="FootnoteReference"/>
          <w:rFonts w:ascii="Book Antiqua" w:eastAsia="Times New Roman" w:hAnsi="Book Antiqua"/>
          <w:bCs/>
          <w:kern w:val="0"/>
          <w14:ligatures w14:val="none"/>
        </w:rPr>
        <w:footnoteReference w:id="16"/>
      </w:r>
    </w:p>
    <w:p w14:paraId="2FAA4DBC" w14:textId="55AE5FBB" w:rsidR="00D278EB" w:rsidRPr="00D278EB" w:rsidRDefault="001E493E" w:rsidP="004F1E7A">
      <w:pPr>
        <w:spacing w:after="200" w:line="360" w:lineRule="auto"/>
        <w:jc w:val="both"/>
        <w:rPr>
          <w:rFonts w:ascii="Book Antiqua" w:eastAsia="Times New Roman" w:hAnsi="Book Antiqua" w:cs="Times New Roman"/>
          <w:bCs/>
          <w:i/>
          <w:iCs/>
          <w:kern w:val="0"/>
          <w14:ligatures w14:val="none"/>
        </w:rPr>
      </w:pPr>
      <w:r>
        <w:rPr>
          <w:rFonts w:ascii="Book Antiqua" w:eastAsia="Times New Roman" w:hAnsi="Book Antiqua" w:cs="Times New Roman"/>
          <w:bCs/>
          <w:kern w:val="0"/>
          <w14:ligatures w14:val="none"/>
        </w:rPr>
        <w:lastRenderedPageBreak/>
        <w:t xml:space="preserve">De igual modo, la OCEPNP indica que el P. de la C. 144 se alinea con lo resuelto por el Tribunal Supremo de Puerto Rico en </w:t>
      </w:r>
      <w:r w:rsidRPr="004F1E7A">
        <w:rPr>
          <w:rFonts w:ascii="Book Antiqua" w:eastAsia="Times New Roman" w:hAnsi="Book Antiqua" w:cs="Times New Roman"/>
          <w:bCs/>
          <w:i/>
          <w:iCs/>
          <w:kern w:val="0"/>
          <w14:ligatures w14:val="none"/>
        </w:rPr>
        <w:t>Romero Lugo v. Cruz Soto</w:t>
      </w:r>
      <w:r>
        <w:rPr>
          <w:rStyle w:val="FootnoteReference"/>
          <w:rFonts w:ascii="Book Antiqua" w:eastAsia="Times New Roman" w:hAnsi="Book Antiqua"/>
          <w:bCs/>
          <w:kern w:val="0"/>
          <w14:ligatures w14:val="none"/>
        </w:rPr>
        <w:footnoteReference w:id="17"/>
      </w:r>
      <w:r>
        <w:rPr>
          <w:rFonts w:ascii="Book Antiqua" w:eastAsia="Times New Roman" w:hAnsi="Book Antiqua" w:cs="Times New Roman"/>
          <w:bCs/>
          <w:kern w:val="0"/>
          <w14:ligatures w14:val="none"/>
        </w:rPr>
        <w:t>.</w:t>
      </w:r>
      <w:r w:rsidR="004F1E7A">
        <w:rPr>
          <w:rStyle w:val="FootnoteReference"/>
          <w:rFonts w:ascii="Book Antiqua" w:eastAsia="Times New Roman" w:hAnsi="Book Antiqua"/>
          <w:bCs/>
          <w:kern w:val="0"/>
          <w14:ligatures w14:val="none"/>
        </w:rPr>
        <w:footnoteReference w:id="18"/>
      </w:r>
      <w:r w:rsidR="004F1E7A">
        <w:rPr>
          <w:rFonts w:ascii="Book Antiqua" w:eastAsia="Times New Roman" w:hAnsi="Book Antiqua" w:cs="Times New Roman"/>
          <w:bCs/>
          <w:kern w:val="0"/>
          <w14:ligatures w14:val="none"/>
        </w:rPr>
        <w:t xml:space="preserve"> Indica que, </w:t>
      </w:r>
      <w:r w:rsidR="00BC3D58">
        <w:rPr>
          <w:rFonts w:ascii="Book Antiqua" w:eastAsia="Times New Roman" w:hAnsi="Book Antiqua" w:cs="Times New Roman"/>
          <w:bCs/>
          <w:kern w:val="0"/>
          <w14:ligatures w14:val="none"/>
        </w:rPr>
        <w:t>el</w:t>
      </w:r>
      <w:r w:rsidR="004F1E7A">
        <w:rPr>
          <w:rFonts w:ascii="Book Antiqua" w:eastAsia="Times New Roman" w:hAnsi="Book Antiqua" w:cs="Times New Roman"/>
          <w:bCs/>
          <w:kern w:val="0"/>
          <w14:ligatures w14:val="none"/>
        </w:rPr>
        <w:t xml:space="preserve"> Tribunal Supremo</w:t>
      </w:r>
      <w:r w:rsidR="00BC3D58">
        <w:rPr>
          <w:rFonts w:ascii="Book Antiqua" w:eastAsia="Times New Roman" w:hAnsi="Book Antiqua" w:cs="Times New Roman"/>
          <w:bCs/>
          <w:kern w:val="0"/>
          <w14:ligatures w14:val="none"/>
        </w:rPr>
        <w:t xml:space="preserve"> </w:t>
      </w:r>
      <w:r w:rsidR="004F1E7A">
        <w:rPr>
          <w:rFonts w:ascii="Book Antiqua" w:eastAsia="Times New Roman" w:hAnsi="Book Antiqua" w:cs="Times New Roman"/>
          <w:bCs/>
          <w:kern w:val="0"/>
          <w14:ligatures w14:val="none"/>
        </w:rPr>
        <w:t xml:space="preserve">(1) trata </w:t>
      </w:r>
      <w:r w:rsidR="00BC3D58">
        <w:rPr>
          <w:rFonts w:ascii="Book Antiqua" w:eastAsia="Times New Roman" w:hAnsi="Book Antiqua" w:cs="Times New Roman"/>
          <w:bCs/>
          <w:kern w:val="0"/>
          <w14:ligatures w14:val="none"/>
        </w:rPr>
        <w:t xml:space="preserve">la transición municipal como una obligación legal exigible mediante </w:t>
      </w:r>
      <w:proofErr w:type="spellStart"/>
      <w:r w:rsidR="00BC3D58" w:rsidRPr="00BC3D58">
        <w:rPr>
          <w:rFonts w:ascii="Book Antiqua" w:eastAsia="Times New Roman" w:hAnsi="Book Antiqua" w:cs="Times New Roman"/>
          <w:bCs/>
          <w:i/>
          <w:iCs/>
          <w:kern w:val="0"/>
          <w14:ligatures w14:val="none"/>
        </w:rPr>
        <w:t>mandamus</w:t>
      </w:r>
      <w:proofErr w:type="spellEnd"/>
      <w:r w:rsidR="00BC3D58">
        <w:rPr>
          <w:rFonts w:ascii="Book Antiqua" w:eastAsia="Times New Roman" w:hAnsi="Book Antiqua" w:cs="Times New Roman"/>
          <w:bCs/>
          <w:kern w:val="0"/>
          <w14:ligatures w14:val="none"/>
        </w:rPr>
        <w:t>; (2) reconoce que una Certificación Preliminar por la CEE sirve de punto de partida suficiente para activar las consecuencias jurídicas correspondientes dentro del andamiaje pre</w:t>
      </w:r>
      <w:r w:rsidR="00AF35EC">
        <w:rPr>
          <w:rFonts w:ascii="Book Antiqua" w:eastAsia="Times New Roman" w:hAnsi="Book Antiqua" w:cs="Times New Roman"/>
          <w:bCs/>
          <w:kern w:val="0"/>
          <w14:ligatures w14:val="none"/>
        </w:rPr>
        <w:t>e</w:t>
      </w:r>
      <w:r w:rsidR="00BC3D58">
        <w:rPr>
          <w:rFonts w:ascii="Book Antiqua" w:eastAsia="Times New Roman" w:hAnsi="Book Antiqua" w:cs="Times New Roman"/>
          <w:bCs/>
          <w:kern w:val="0"/>
          <w14:ligatures w14:val="none"/>
        </w:rPr>
        <w:t>lectoral, y (3) se establece que no resulta necesaria una Certificación Final  de la elección para dar inicio al proceso de transición.</w:t>
      </w:r>
      <w:r w:rsidR="00BC3D58">
        <w:rPr>
          <w:rStyle w:val="FootnoteReference"/>
          <w:rFonts w:ascii="Book Antiqua" w:eastAsia="Times New Roman" w:hAnsi="Book Antiqua"/>
          <w:bCs/>
          <w:kern w:val="0"/>
          <w14:ligatures w14:val="none"/>
        </w:rPr>
        <w:footnoteReference w:id="19"/>
      </w:r>
      <w:r w:rsidR="00BC3D58">
        <w:rPr>
          <w:rFonts w:ascii="Book Antiqua" w:eastAsia="Times New Roman" w:hAnsi="Book Antiqua" w:cs="Times New Roman"/>
          <w:bCs/>
          <w:kern w:val="0"/>
          <w14:ligatures w14:val="none"/>
        </w:rPr>
        <w:t xml:space="preserve"> Cónsono con ello, el P. de la C. 144 robustece “los mecanismos para requerir comparecencias, documentos e información adicional, y al esclarecer las consecuencias del incumplimiento.”</w:t>
      </w:r>
      <w:r w:rsidR="00BC3D58">
        <w:rPr>
          <w:rStyle w:val="FootnoteReference"/>
          <w:rFonts w:ascii="Book Antiqua" w:eastAsia="Times New Roman" w:hAnsi="Book Antiqua"/>
          <w:bCs/>
          <w:kern w:val="0"/>
          <w14:ligatures w14:val="none"/>
        </w:rPr>
        <w:footnoteReference w:id="20"/>
      </w:r>
      <w:r w:rsidR="00BC3D58">
        <w:rPr>
          <w:rFonts w:ascii="Book Antiqua" w:eastAsia="Times New Roman" w:hAnsi="Book Antiqua" w:cs="Times New Roman"/>
          <w:bCs/>
          <w:kern w:val="0"/>
          <w14:ligatures w14:val="none"/>
        </w:rPr>
        <w:t xml:space="preserve"> Es decir, el proyecto desarrolla, codifica y refuerza lo resuelto en </w:t>
      </w:r>
      <w:r w:rsidR="00BC3D58" w:rsidRPr="004F1E7A">
        <w:rPr>
          <w:rFonts w:ascii="Book Antiqua" w:eastAsia="Times New Roman" w:hAnsi="Book Antiqua" w:cs="Times New Roman"/>
          <w:bCs/>
          <w:i/>
          <w:iCs/>
          <w:kern w:val="0"/>
          <w14:ligatures w14:val="none"/>
        </w:rPr>
        <w:t>Romero Lugo v. Cruz Soto</w:t>
      </w:r>
      <w:r w:rsidR="00BC3D58">
        <w:rPr>
          <w:rFonts w:ascii="Book Antiqua" w:eastAsia="Times New Roman" w:hAnsi="Book Antiqua" w:cs="Times New Roman"/>
          <w:bCs/>
          <w:i/>
          <w:iCs/>
          <w:kern w:val="0"/>
          <w14:ligatures w14:val="none"/>
        </w:rPr>
        <w:t>.</w:t>
      </w:r>
      <w:r w:rsidR="00BC3D58">
        <w:rPr>
          <w:rStyle w:val="FootnoteReference"/>
          <w:rFonts w:ascii="Book Antiqua" w:eastAsia="Times New Roman" w:hAnsi="Book Antiqua"/>
          <w:bCs/>
          <w:i/>
          <w:iCs/>
          <w:kern w:val="0"/>
          <w14:ligatures w14:val="none"/>
        </w:rPr>
        <w:footnoteReference w:id="21"/>
      </w:r>
    </w:p>
    <w:p w14:paraId="2224743B" w14:textId="77944121" w:rsidR="00F178FD" w:rsidRPr="00D15048" w:rsidRDefault="00FC0773" w:rsidP="00C37CBA">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 xml:space="preserve">Comisionado Electoral del Partido </w:t>
      </w:r>
      <w:r w:rsidR="00D15048">
        <w:rPr>
          <w:rFonts w:ascii="Book Antiqua" w:eastAsia="Times New Roman" w:hAnsi="Book Antiqua" w:cs="Times New Roman"/>
          <w:kern w:val="0"/>
          <w:u w:val="single"/>
          <w14:ligatures w14:val="none"/>
        </w:rPr>
        <w:t>P</w:t>
      </w:r>
      <w:r>
        <w:rPr>
          <w:rFonts w:ascii="Book Antiqua" w:eastAsia="Times New Roman" w:hAnsi="Book Antiqua" w:cs="Times New Roman"/>
          <w:kern w:val="0"/>
          <w:u w:val="single"/>
          <w14:ligatures w14:val="none"/>
        </w:rPr>
        <w:t>opular Democrático (</w:t>
      </w:r>
      <w:r w:rsidR="007B1F6C">
        <w:rPr>
          <w:rFonts w:ascii="Book Antiqua" w:eastAsia="Times New Roman" w:hAnsi="Book Antiqua" w:cs="Times New Roman"/>
          <w:kern w:val="0"/>
          <w:u w:val="single"/>
          <w14:ligatures w14:val="none"/>
        </w:rPr>
        <w:t>OCE</w:t>
      </w:r>
      <w:r>
        <w:rPr>
          <w:rFonts w:ascii="Book Antiqua" w:eastAsia="Times New Roman" w:hAnsi="Book Antiqua" w:cs="Times New Roman"/>
          <w:kern w:val="0"/>
          <w:u w:val="single"/>
          <w14:ligatures w14:val="none"/>
        </w:rPr>
        <w:t>PPD)</w:t>
      </w:r>
    </w:p>
    <w:p w14:paraId="19EB800E" w14:textId="77777777" w:rsidR="00D15048" w:rsidRPr="00C37CBA" w:rsidRDefault="00D15048" w:rsidP="00D15048">
      <w:pPr>
        <w:spacing w:after="200" w:line="276" w:lineRule="auto"/>
        <w:ind w:left="360"/>
        <w:contextualSpacing/>
        <w:rPr>
          <w:rFonts w:ascii="Book Antiqua" w:eastAsia="Times New Roman" w:hAnsi="Book Antiqua" w:cs="Times New Roman"/>
          <w:bCs/>
          <w:kern w:val="0"/>
          <w:u w:val="single"/>
          <w14:ligatures w14:val="none"/>
        </w:rPr>
      </w:pPr>
    </w:p>
    <w:p w14:paraId="6EB61E1E" w14:textId="319F4B5E" w:rsidR="00F178FD" w:rsidRPr="00F178FD" w:rsidRDefault="00D3195C" w:rsidP="00B01D60">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kern w:val="0"/>
          <w14:ligatures w14:val="none"/>
        </w:rPr>
        <w:t>La Oficina de los Comisionados Electorales del Partido Popular Democrático indicó que, luego de examinar, entre otros, el P. de la C. 144,</w:t>
      </w:r>
      <w:r w:rsidR="007B1F6C">
        <w:rPr>
          <w:rFonts w:ascii="Book Antiqua" w:eastAsia="Times New Roman" w:hAnsi="Book Antiqua" w:cs="Times New Roman"/>
          <w:kern w:val="0"/>
          <w14:ligatures w14:val="none"/>
        </w:rPr>
        <w:t xml:space="preserve"> expresó</w:t>
      </w:r>
      <w:r>
        <w:rPr>
          <w:rFonts w:ascii="Book Antiqua" w:eastAsia="Times New Roman" w:hAnsi="Book Antiqua" w:cs="Times New Roman"/>
          <w:kern w:val="0"/>
          <w14:ligatures w14:val="none"/>
        </w:rPr>
        <w:t xml:space="preserve"> </w:t>
      </w:r>
      <w:r w:rsidR="007B1F6C">
        <w:rPr>
          <w:rFonts w:ascii="Book Antiqua" w:eastAsia="Times New Roman" w:hAnsi="Book Antiqua" w:cs="Times New Roman"/>
          <w:kern w:val="0"/>
          <w14:ligatures w14:val="none"/>
        </w:rPr>
        <w:t xml:space="preserve">que </w:t>
      </w:r>
      <w:r>
        <w:rPr>
          <w:rFonts w:ascii="Book Antiqua" w:eastAsia="Times New Roman" w:hAnsi="Book Antiqua" w:cs="Times New Roman"/>
          <w:kern w:val="0"/>
          <w14:ligatures w14:val="none"/>
        </w:rPr>
        <w:t>lo propuesto en la medida no gira en torno al Código Electoral ni guarda relación con sus funciones, por lo que entendieron oportuno no emitir un criterio sobre estos.</w:t>
      </w:r>
      <w:r>
        <w:rPr>
          <w:rStyle w:val="FootnoteReference"/>
          <w:rFonts w:ascii="Book Antiqua" w:eastAsia="Times New Roman" w:hAnsi="Book Antiqua"/>
          <w:kern w:val="0"/>
          <w14:ligatures w14:val="none"/>
        </w:rPr>
        <w:footnoteReference w:id="22"/>
      </w:r>
    </w:p>
    <w:p w14:paraId="19ECDB0B" w14:textId="77777777" w:rsidR="00FC0773" w:rsidRPr="00FC0773" w:rsidRDefault="00FC0773" w:rsidP="00FC0773">
      <w:pPr>
        <w:spacing w:after="200" w:line="276" w:lineRule="auto"/>
        <w:ind w:left="360"/>
        <w:contextualSpacing/>
        <w:rPr>
          <w:rFonts w:ascii="Book Antiqua" w:eastAsia="Times New Roman" w:hAnsi="Book Antiqua" w:cs="Times New Roman"/>
          <w:bCs/>
          <w:kern w:val="0"/>
          <w:u w:val="single"/>
          <w14:ligatures w14:val="none"/>
        </w:rPr>
      </w:pPr>
    </w:p>
    <w:p w14:paraId="4796DBFC" w14:textId="48BCF892" w:rsidR="00576978" w:rsidRPr="00D15048" w:rsidRDefault="00FC0773" w:rsidP="00C37CBA">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Comisionado Electoral del Partido Independentista Puertorriqueño (PIP)</w:t>
      </w:r>
    </w:p>
    <w:p w14:paraId="59406156" w14:textId="77777777" w:rsidR="00D15048" w:rsidRPr="00C37CBA" w:rsidRDefault="00D15048" w:rsidP="00D15048">
      <w:pPr>
        <w:spacing w:after="200" w:line="276" w:lineRule="auto"/>
        <w:ind w:left="360"/>
        <w:contextualSpacing/>
        <w:rPr>
          <w:rFonts w:ascii="Book Antiqua" w:eastAsia="Times New Roman" w:hAnsi="Book Antiqua" w:cs="Times New Roman"/>
          <w:bCs/>
          <w:kern w:val="0"/>
          <w:u w:val="single"/>
          <w14:ligatures w14:val="none"/>
        </w:rPr>
      </w:pPr>
    </w:p>
    <w:p w14:paraId="58208FF1" w14:textId="17C83671" w:rsidR="00FC0773" w:rsidRPr="00C37CBA" w:rsidRDefault="000925BB" w:rsidP="00B01D60">
      <w:pPr>
        <w:spacing w:after="200" w:line="360" w:lineRule="auto"/>
        <w:ind w:firstLine="720"/>
        <w:contextualSpacing/>
        <w:jc w:val="both"/>
        <w:rPr>
          <w:rFonts w:ascii="Book Antiqua" w:eastAsia="Times New Roman" w:hAnsi="Book Antiqua" w:cs="Times New Roman"/>
          <w:bCs/>
          <w:kern w:val="0"/>
          <w14:ligatures w14:val="none"/>
        </w:rPr>
      </w:pPr>
      <w:r w:rsidRPr="000925BB">
        <w:rPr>
          <w:rFonts w:ascii="Book Antiqua" w:eastAsia="Times New Roman" w:hAnsi="Book Antiqua" w:cs="Times New Roman"/>
          <w:bCs/>
          <w:kern w:val="0"/>
          <w14:ligatures w14:val="none"/>
        </w:rPr>
        <w:t>L</w:t>
      </w:r>
      <w:r w:rsidR="00D3195C">
        <w:rPr>
          <w:rFonts w:ascii="Book Antiqua" w:eastAsia="Times New Roman" w:hAnsi="Book Antiqua" w:cs="Times New Roman"/>
          <w:bCs/>
          <w:kern w:val="0"/>
          <w14:ligatures w14:val="none"/>
        </w:rPr>
        <w:t>a Oficina de los</w:t>
      </w:r>
      <w:r w:rsidRPr="000925BB">
        <w:rPr>
          <w:rFonts w:ascii="Book Antiqua" w:eastAsia="Times New Roman" w:hAnsi="Book Antiqua" w:cs="Times New Roman"/>
          <w:bCs/>
          <w:kern w:val="0"/>
          <w14:ligatures w14:val="none"/>
        </w:rPr>
        <w:t xml:space="preserve"> Comisionado</w:t>
      </w:r>
      <w:r w:rsidR="00D3195C">
        <w:rPr>
          <w:rFonts w:ascii="Book Antiqua" w:eastAsia="Times New Roman" w:hAnsi="Book Antiqua" w:cs="Times New Roman"/>
          <w:bCs/>
          <w:kern w:val="0"/>
          <w14:ligatures w14:val="none"/>
        </w:rPr>
        <w:t>s</w:t>
      </w:r>
      <w:r w:rsidRPr="000925BB">
        <w:rPr>
          <w:rFonts w:ascii="Book Antiqua" w:eastAsia="Times New Roman" w:hAnsi="Book Antiqua" w:cs="Times New Roman"/>
          <w:bCs/>
          <w:kern w:val="0"/>
          <w14:ligatures w14:val="none"/>
        </w:rPr>
        <w:t xml:space="preserve"> Electoral</w:t>
      </w:r>
      <w:r w:rsidR="00D3195C">
        <w:rPr>
          <w:rFonts w:ascii="Book Antiqua" w:eastAsia="Times New Roman" w:hAnsi="Book Antiqua" w:cs="Times New Roman"/>
          <w:bCs/>
          <w:kern w:val="0"/>
          <w14:ligatures w14:val="none"/>
        </w:rPr>
        <w:t xml:space="preserve">es </w:t>
      </w:r>
      <w:r w:rsidRPr="000925BB">
        <w:rPr>
          <w:rFonts w:ascii="Book Antiqua" w:eastAsia="Times New Roman" w:hAnsi="Book Antiqua" w:cs="Times New Roman"/>
          <w:bCs/>
          <w:kern w:val="0"/>
          <w14:ligatures w14:val="none"/>
        </w:rPr>
        <w:t>del Partido Independentista Puertorriqueño (PIP) expresó mediante correo electrónico que la delegación el PIP en la Cámara de Representantes sería la encargada de plantear su posición con respecto al proyecto de ley.</w:t>
      </w:r>
      <w:r>
        <w:rPr>
          <w:rStyle w:val="FootnoteReference"/>
          <w:rFonts w:ascii="Book Antiqua" w:eastAsia="Times New Roman" w:hAnsi="Book Antiqua"/>
          <w:bCs/>
          <w:kern w:val="0"/>
          <w14:ligatures w14:val="none"/>
        </w:rPr>
        <w:footnoteReference w:id="23"/>
      </w:r>
    </w:p>
    <w:p w14:paraId="791476FE" w14:textId="08480450" w:rsidR="00F178FD" w:rsidRDefault="00FC0773" w:rsidP="00F178FD">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lastRenderedPageBreak/>
        <w:t xml:space="preserve">Federación de </w:t>
      </w:r>
      <w:proofErr w:type="gramStart"/>
      <w:r>
        <w:rPr>
          <w:rFonts w:ascii="Book Antiqua" w:eastAsia="Times New Roman" w:hAnsi="Book Antiqua" w:cs="Times New Roman"/>
          <w:bCs/>
          <w:kern w:val="0"/>
          <w:u w:val="single"/>
          <w14:ligatures w14:val="none"/>
        </w:rPr>
        <w:t>Alcaldes</w:t>
      </w:r>
      <w:proofErr w:type="gramEnd"/>
      <w:r>
        <w:rPr>
          <w:rFonts w:ascii="Book Antiqua" w:eastAsia="Times New Roman" w:hAnsi="Book Antiqua" w:cs="Times New Roman"/>
          <w:bCs/>
          <w:kern w:val="0"/>
          <w:u w:val="single"/>
          <w14:ligatures w14:val="none"/>
        </w:rPr>
        <w:t xml:space="preserve"> de Puerto Rico</w:t>
      </w:r>
    </w:p>
    <w:p w14:paraId="36C75C45" w14:textId="77777777" w:rsidR="00D278EB" w:rsidRPr="00C37CBA" w:rsidRDefault="00D278EB" w:rsidP="00D278EB">
      <w:pPr>
        <w:spacing w:after="200" w:line="276" w:lineRule="auto"/>
        <w:ind w:left="360"/>
        <w:contextualSpacing/>
        <w:rPr>
          <w:rFonts w:ascii="Book Antiqua" w:eastAsia="Times New Roman" w:hAnsi="Book Antiqua" w:cs="Times New Roman"/>
          <w:bCs/>
          <w:kern w:val="0"/>
          <w:u w:val="single"/>
          <w14:ligatures w14:val="none"/>
        </w:rPr>
      </w:pPr>
    </w:p>
    <w:p w14:paraId="3030C7C8" w14:textId="2D99CCE4" w:rsidR="00FC0773" w:rsidRPr="00C37CBA" w:rsidRDefault="00F178FD" w:rsidP="00C37CBA">
      <w:pPr>
        <w:spacing w:after="200" w:line="360" w:lineRule="auto"/>
        <w:ind w:firstLine="720"/>
        <w:contextualSpacing/>
        <w:jc w:val="both"/>
        <w:rPr>
          <w:rFonts w:ascii="Book Antiqua" w:eastAsia="Times New Roman" w:hAnsi="Book Antiqua" w:cs="Times New Roman"/>
          <w:bCs/>
          <w:kern w:val="0"/>
          <w14:ligatures w14:val="none"/>
        </w:rPr>
      </w:pPr>
      <w:r w:rsidRPr="00F178FD">
        <w:rPr>
          <w:rFonts w:ascii="Book Antiqua" w:eastAsia="Times New Roman" w:hAnsi="Book Antiqua" w:cs="Times New Roman"/>
          <w:kern w:val="0"/>
          <w14:ligatures w14:val="none"/>
        </w:rPr>
        <w:t xml:space="preserve">Al momento de </w:t>
      </w:r>
      <w:r>
        <w:rPr>
          <w:rFonts w:ascii="Book Antiqua" w:eastAsia="Times New Roman" w:hAnsi="Book Antiqua" w:cs="Times New Roman"/>
          <w:kern w:val="0"/>
          <w14:ligatures w14:val="none"/>
        </w:rPr>
        <w:t xml:space="preserve">redactarse y </w:t>
      </w:r>
      <w:r w:rsidRPr="00F178FD">
        <w:rPr>
          <w:rFonts w:ascii="Book Antiqua" w:eastAsia="Times New Roman" w:hAnsi="Book Antiqua" w:cs="Times New Roman"/>
          <w:kern w:val="0"/>
          <w14:ligatures w14:val="none"/>
        </w:rPr>
        <w:t xml:space="preserve">evaluarse el presente Informe, la </w:t>
      </w:r>
      <w:r>
        <w:rPr>
          <w:rFonts w:ascii="Book Antiqua" w:eastAsia="Times New Roman" w:hAnsi="Book Antiqua" w:cs="Times New Roman"/>
          <w:kern w:val="0"/>
          <w14:ligatures w14:val="none"/>
        </w:rPr>
        <w:t xml:space="preserve">Federación de </w:t>
      </w:r>
      <w:proofErr w:type="gramStart"/>
      <w:r>
        <w:rPr>
          <w:rFonts w:ascii="Book Antiqua" w:eastAsia="Times New Roman" w:hAnsi="Book Antiqua" w:cs="Times New Roman"/>
          <w:kern w:val="0"/>
          <w14:ligatures w14:val="none"/>
        </w:rPr>
        <w:t>Alcaldes</w:t>
      </w:r>
      <w:proofErr w:type="gramEnd"/>
      <w:r>
        <w:rPr>
          <w:rFonts w:ascii="Book Antiqua" w:eastAsia="Times New Roman" w:hAnsi="Book Antiqua" w:cs="Times New Roman"/>
          <w:kern w:val="0"/>
          <w14:ligatures w14:val="none"/>
        </w:rPr>
        <w:t xml:space="preserve"> de Puerto Rico no presentó un Memorial Explicativo para la consideración de la CRED. </w:t>
      </w:r>
    </w:p>
    <w:p w14:paraId="3353BB62" w14:textId="77271433" w:rsidR="00FC0773" w:rsidRDefault="00FC0773" w:rsidP="00FC0773">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 xml:space="preserve">Asociación de </w:t>
      </w:r>
      <w:proofErr w:type="gramStart"/>
      <w:r>
        <w:rPr>
          <w:rFonts w:ascii="Book Antiqua" w:eastAsia="Times New Roman" w:hAnsi="Book Antiqua" w:cs="Times New Roman"/>
          <w:bCs/>
          <w:kern w:val="0"/>
          <w:u w:val="single"/>
          <w14:ligatures w14:val="none"/>
        </w:rPr>
        <w:t>Alcaldes</w:t>
      </w:r>
      <w:proofErr w:type="gramEnd"/>
      <w:r>
        <w:rPr>
          <w:rFonts w:ascii="Book Antiqua" w:eastAsia="Times New Roman" w:hAnsi="Book Antiqua" w:cs="Times New Roman"/>
          <w:bCs/>
          <w:kern w:val="0"/>
          <w:u w:val="single"/>
          <w14:ligatures w14:val="none"/>
        </w:rPr>
        <w:t xml:space="preserve"> de Puerto Rico</w:t>
      </w:r>
    </w:p>
    <w:p w14:paraId="4B48B57E" w14:textId="77777777" w:rsidR="00600BB3" w:rsidRDefault="00600BB3" w:rsidP="007B1F6C">
      <w:pPr>
        <w:spacing w:after="200" w:line="276" w:lineRule="auto"/>
        <w:contextualSpacing/>
        <w:jc w:val="both"/>
        <w:rPr>
          <w:rFonts w:ascii="Book Antiqua" w:eastAsia="Times New Roman" w:hAnsi="Book Antiqua" w:cs="Times New Roman"/>
          <w:bCs/>
          <w:kern w:val="0"/>
          <w:u w:val="single"/>
          <w14:ligatures w14:val="none"/>
        </w:rPr>
      </w:pPr>
    </w:p>
    <w:p w14:paraId="5C5BD921" w14:textId="6D2077FD" w:rsidR="007B1F6C" w:rsidRPr="007B1F6C" w:rsidRDefault="0010071A" w:rsidP="007B1F6C">
      <w:pPr>
        <w:spacing w:after="200" w:line="360" w:lineRule="auto"/>
        <w:ind w:firstLine="720"/>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 xml:space="preserve">La Asociación de </w:t>
      </w:r>
      <w:proofErr w:type="gramStart"/>
      <w:r w:rsidRPr="007B1F6C">
        <w:rPr>
          <w:rFonts w:ascii="Book Antiqua" w:eastAsia="Times New Roman" w:hAnsi="Book Antiqua" w:cs="Times New Roman"/>
          <w:bCs/>
          <w:kern w:val="0"/>
          <w14:ligatures w14:val="none"/>
        </w:rPr>
        <w:t>Alcaldes</w:t>
      </w:r>
      <w:proofErr w:type="gramEnd"/>
      <w:r w:rsidRPr="007B1F6C">
        <w:rPr>
          <w:rFonts w:ascii="Book Antiqua" w:eastAsia="Times New Roman" w:hAnsi="Book Antiqua" w:cs="Times New Roman"/>
          <w:bCs/>
          <w:kern w:val="0"/>
          <w14:ligatures w14:val="none"/>
        </w:rPr>
        <w:t xml:space="preserve"> de Puerto Rico (AAPR) </w:t>
      </w:r>
      <w:r w:rsidR="008F59AF" w:rsidRPr="007B1F6C">
        <w:rPr>
          <w:rFonts w:ascii="Book Antiqua" w:eastAsia="Times New Roman" w:hAnsi="Book Antiqua" w:cs="Times New Roman"/>
          <w:bCs/>
          <w:kern w:val="0"/>
          <w14:ligatures w14:val="none"/>
        </w:rPr>
        <w:t>presentó su Memorial Explicativo</w:t>
      </w:r>
      <w:r w:rsidR="007B1F6C">
        <w:rPr>
          <w:rFonts w:ascii="Book Antiqua" w:eastAsia="Times New Roman" w:hAnsi="Book Antiqua" w:cs="Times New Roman"/>
          <w:bCs/>
          <w:kern w:val="0"/>
          <w14:ligatures w14:val="none"/>
        </w:rPr>
        <w:t xml:space="preserve">, donde no se opuso al proyecto de ley, y </w:t>
      </w:r>
      <w:r w:rsidR="008F59AF" w:rsidRPr="007B1F6C">
        <w:rPr>
          <w:rFonts w:ascii="Book Antiqua" w:eastAsia="Times New Roman" w:hAnsi="Book Antiqua" w:cs="Times New Roman"/>
          <w:bCs/>
          <w:kern w:val="0"/>
          <w14:ligatures w14:val="none"/>
        </w:rPr>
        <w:t xml:space="preserve">resumió los cambios más significativos del </w:t>
      </w:r>
      <w:r w:rsidR="00AF35EC">
        <w:rPr>
          <w:rFonts w:ascii="Book Antiqua" w:eastAsia="Times New Roman" w:hAnsi="Book Antiqua" w:cs="Times New Roman"/>
          <w:bCs/>
          <w:kern w:val="0"/>
          <w14:ligatures w14:val="none"/>
        </w:rPr>
        <w:t>P</w:t>
      </w:r>
      <w:r w:rsidR="008F59AF" w:rsidRPr="007B1F6C">
        <w:rPr>
          <w:rFonts w:ascii="Book Antiqua" w:eastAsia="Times New Roman" w:hAnsi="Book Antiqua" w:cs="Times New Roman"/>
          <w:bCs/>
          <w:kern w:val="0"/>
          <w14:ligatures w14:val="none"/>
        </w:rPr>
        <w:t xml:space="preserve">. de la C. 144 del siguiente modo: </w:t>
      </w:r>
    </w:p>
    <w:p w14:paraId="7E94EB2C" w14:textId="77777777" w:rsidR="007B1F6C" w:rsidRDefault="008F59AF" w:rsidP="007B1F6C">
      <w:pPr>
        <w:pStyle w:val="ListParagraph"/>
        <w:numPr>
          <w:ilvl w:val="0"/>
          <w:numId w:val="8"/>
        </w:numPr>
        <w:spacing w:after="200" w:line="276" w:lineRule="auto"/>
        <w:ind w:left="720" w:right="720"/>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La obligación de que los alcaldes, representantes y funcionarios municipales participen en el proceso de transición, compareciendo y entregando la documentación requerida.</w:t>
      </w:r>
    </w:p>
    <w:p w14:paraId="0EF0ABF1" w14:textId="77777777" w:rsidR="007B1F6C" w:rsidRDefault="008F59AF" w:rsidP="007B1F6C">
      <w:pPr>
        <w:pStyle w:val="ListParagraph"/>
        <w:numPr>
          <w:ilvl w:val="0"/>
          <w:numId w:val="8"/>
        </w:numPr>
        <w:spacing w:after="200" w:line="276" w:lineRule="auto"/>
        <w:ind w:left="720" w:right="720"/>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 xml:space="preserve">La facultad de los comités de transición entrantes para administrar juramentos, tomar deposiciones y requerir información bajo apercibimiento de desacato. </w:t>
      </w:r>
    </w:p>
    <w:p w14:paraId="67D5BF8B" w14:textId="77777777" w:rsidR="007B1F6C" w:rsidRDefault="007B1F6C" w:rsidP="007B1F6C">
      <w:pPr>
        <w:pStyle w:val="ListParagraph"/>
        <w:numPr>
          <w:ilvl w:val="0"/>
          <w:numId w:val="8"/>
        </w:numPr>
        <w:spacing w:after="200" w:line="276" w:lineRule="auto"/>
        <w:ind w:left="720" w:right="720"/>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 xml:space="preserve">La reducción del tiempo para la entrega de informes de transición en casos de renuncia, muerte o destitución del alcalde, de 30 a 5 días. </w:t>
      </w:r>
    </w:p>
    <w:p w14:paraId="7C20E978" w14:textId="3AAEDBC4" w:rsidR="007B1F6C" w:rsidRPr="007B1F6C" w:rsidRDefault="007B1F6C" w:rsidP="007B1F6C">
      <w:pPr>
        <w:pStyle w:val="ListParagraph"/>
        <w:numPr>
          <w:ilvl w:val="0"/>
          <w:numId w:val="8"/>
        </w:numPr>
        <w:spacing w:after="200" w:line="276" w:lineRule="auto"/>
        <w:ind w:left="720" w:right="720"/>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La obligatoriedad de publicar los informes finales en la Secretaría Municipal, la Legislatura Municipal y plataformas digitales para acceso público.</w:t>
      </w:r>
      <w:r>
        <w:rPr>
          <w:rStyle w:val="FootnoteReference"/>
          <w:rFonts w:ascii="Book Antiqua" w:eastAsia="Times New Roman" w:hAnsi="Book Antiqua"/>
          <w:bCs/>
          <w:kern w:val="0"/>
          <w14:ligatures w14:val="none"/>
        </w:rPr>
        <w:footnoteReference w:id="24"/>
      </w:r>
    </w:p>
    <w:p w14:paraId="24AA3E7C" w14:textId="08D0D5FC" w:rsidR="00FC0773" w:rsidRDefault="007B1F6C" w:rsidP="007B1F6C">
      <w:pPr>
        <w:spacing w:after="200" w:line="360" w:lineRule="auto"/>
        <w:ind w:firstLine="360"/>
        <w:contextualSpacing/>
        <w:jc w:val="both"/>
        <w:rPr>
          <w:rFonts w:ascii="Book Antiqua" w:eastAsia="Times New Roman" w:hAnsi="Book Antiqua" w:cs="Times New Roman"/>
          <w:bCs/>
          <w:kern w:val="0"/>
          <w14:ligatures w14:val="none"/>
        </w:rPr>
      </w:pPr>
      <w:r w:rsidRPr="007B1F6C">
        <w:rPr>
          <w:rFonts w:ascii="Book Antiqua" w:eastAsia="Times New Roman" w:hAnsi="Book Antiqua" w:cs="Times New Roman"/>
          <w:bCs/>
          <w:kern w:val="0"/>
          <w14:ligatures w14:val="none"/>
        </w:rPr>
        <w:t>Asimismo, la AAPR reconoció la importancia del proyecto de ley para fortalecer la transparencia, la rendición de cuentas en los municipios y asegurar la continuidad de los servicios municipales y la continuidad administrativa.</w:t>
      </w:r>
      <w:r>
        <w:rPr>
          <w:rStyle w:val="FootnoteReference"/>
          <w:rFonts w:ascii="Book Antiqua" w:eastAsia="Times New Roman" w:hAnsi="Book Antiqua"/>
          <w:bCs/>
          <w:kern w:val="0"/>
          <w14:ligatures w14:val="none"/>
        </w:rPr>
        <w:footnoteReference w:id="25"/>
      </w:r>
      <w:r w:rsidRPr="007B1F6C">
        <w:rPr>
          <w:rFonts w:ascii="Book Antiqua" w:eastAsia="Times New Roman" w:hAnsi="Book Antiqua" w:cs="Times New Roman"/>
          <w:bCs/>
          <w:kern w:val="0"/>
          <w14:ligatures w14:val="none"/>
        </w:rPr>
        <w:t xml:space="preserve"> </w:t>
      </w:r>
      <w:r>
        <w:rPr>
          <w:rFonts w:ascii="Book Antiqua" w:eastAsia="Times New Roman" w:hAnsi="Book Antiqua" w:cs="Times New Roman"/>
          <w:bCs/>
          <w:kern w:val="0"/>
          <w14:ligatures w14:val="none"/>
        </w:rPr>
        <w:t xml:space="preserve">Por otra parte, la AAPR sugirió las siguientes enmiendas en aras de garantizar un balance entre la fiscalización y </w:t>
      </w:r>
      <w:proofErr w:type="spellStart"/>
      <w:r w:rsidR="00AF35EC">
        <w:rPr>
          <w:rFonts w:ascii="Book Antiqua" w:eastAsia="Times New Roman" w:hAnsi="Book Antiqua" w:cs="Times New Roman"/>
          <w:bCs/>
          <w:kern w:val="0"/>
          <w14:ligatures w14:val="none"/>
        </w:rPr>
        <w:t>al</w:t>
      </w:r>
      <w:r>
        <w:rPr>
          <w:rFonts w:ascii="Book Antiqua" w:eastAsia="Times New Roman" w:hAnsi="Book Antiqua" w:cs="Times New Roman"/>
          <w:bCs/>
          <w:kern w:val="0"/>
          <w14:ligatures w14:val="none"/>
        </w:rPr>
        <w:t>respecto</w:t>
      </w:r>
      <w:proofErr w:type="spellEnd"/>
      <w:r>
        <w:rPr>
          <w:rFonts w:ascii="Book Antiqua" w:eastAsia="Times New Roman" w:hAnsi="Book Antiqua" w:cs="Times New Roman"/>
          <w:bCs/>
          <w:kern w:val="0"/>
          <w14:ligatures w14:val="none"/>
        </w:rPr>
        <w:t xml:space="preserve"> a la estabilidad gubernamental</w:t>
      </w:r>
      <w:r>
        <w:rPr>
          <w:rStyle w:val="FootnoteReference"/>
          <w:rFonts w:ascii="Book Antiqua" w:eastAsia="Times New Roman" w:hAnsi="Book Antiqua"/>
          <w:bCs/>
          <w:kern w:val="0"/>
          <w14:ligatures w14:val="none"/>
        </w:rPr>
        <w:footnoteReference w:id="26"/>
      </w:r>
      <w:r>
        <w:rPr>
          <w:rFonts w:ascii="Book Antiqua" w:eastAsia="Times New Roman" w:hAnsi="Book Antiqua" w:cs="Times New Roman"/>
          <w:bCs/>
          <w:kern w:val="0"/>
          <w14:ligatures w14:val="none"/>
        </w:rPr>
        <w:t xml:space="preserve">: </w:t>
      </w:r>
    </w:p>
    <w:p w14:paraId="43E3A541" w14:textId="119CC01D" w:rsidR="0083649F" w:rsidRDefault="0083649F" w:rsidP="0062757D">
      <w:pPr>
        <w:spacing w:after="200" w:line="240" w:lineRule="auto"/>
        <w:ind w:left="990" w:right="720" w:hanging="27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1. </w:t>
      </w:r>
      <w:r w:rsidRPr="0083649F">
        <w:rPr>
          <w:rFonts w:ascii="Book Antiqua" w:eastAsia="Times New Roman" w:hAnsi="Book Antiqua" w:cs="Times New Roman"/>
          <w:b/>
          <w:kern w:val="0"/>
          <w14:ligatures w14:val="none"/>
        </w:rPr>
        <w:t>Garantía de No Persecución Política:</w:t>
      </w:r>
      <w:r>
        <w:rPr>
          <w:rFonts w:ascii="Book Antiqua" w:eastAsia="Times New Roman" w:hAnsi="Book Antiqua" w:cs="Times New Roman"/>
          <w:bCs/>
          <w:kern w:val="0"/>
          <w14:ligatures w14:val="none"/>
        </w:rPr>
        <w:t xml:space="preserve"> se recomienda incluir una disposición que asegure que el proceso de transición no se utilice con </w:t>
      </w:r>
      <w:r>
        <w:rPr>
          <w:rFonts w:ascii="Book Antiqua" w:eastAsia="Times New Roman" w:hAnsi="Book Antiqua" w:cs="Times New Roman"/>
          <w:bCs/>
          <w:kern w:val="0"/>
          <w14:ligatures w14:val="none"/>
        </w:rPr>
        <w:lastRenderedPageBreak/>
        <w:t xml:space="preserve">fines de persecución política ni represalia contra los empleados municipales. </w:t>
      </w:r>
    </w:p>
    <w:p w14:paraId="405A3A4C" w14:textId="77777777" w:rsidR="0062757D" w:rsidRDefault="0062757D" w:rsidP="0062757D">
      <w:pPr>
        <w:spacing w:after="200" w:line="240" w:lineRule="auto"/>
        <w:ind w:left="990" w:right="720" w:hanging="270"/>
        <w:contextualSpacing/>
        <w:jc w:val="both"/>
        <w:rPr>
          <w:rFonts w:ascii="Book Antiqua" w:eastAsia="Times New Roman" w:hAnsi="Book Antiqua" w:cs="Times New Roman"/>
          <w:bCs/>
          <w:kern w:val="0"/>
          <w14:ligatures w14:val="none"/>
        </w:rPr>
      </w:pPr>
    </w:p>
    <w:p w14:paraId="466EDA09" w14:textId="385BD8D1" w:rsidR="0083649F" w:rsidRDefault="0083649F" w:rsidP="0062757D">
      <w:pPr>
        <w:spacing w:after="200" w:line="240" w:lineRule="auto"/>
        <w:ind w:left="990" w:right="720" w:hanging="27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2</w:t>
      </w:r>
      <w:r w:rsidR="0062757D">
        <w:rPr>
          <w:rFonts w:ascii="Book Antiqua" w:eastAsia="Times New Roman" w:hAnsi="Book Antiqua" w:cs="Times New Roman"/>
          <w:bCs/>
          <w:kern w:val="0"/>
          <w14:ligatures w14:val="none"/>
        </w:rPr>
        <w:t>.</w:t>
      </w:r>
      <w:r>
        <w:rPr>
          <w:rFonts w:ascii="Book Antiqua" w:eastAsia="Times New Roman" w:hAnsi="Book Antiqua" w:cs="Times New Roman"/>
          <w:bCs/>
          <w:kern w:val="0"/>
          <w14:ligatures w14:val="none"/>
        </w:rPr>
        <w:t xml:space="preserve"> </w:t>
      </w:r>
      <w:r w:rsidRPr="0083649F">
        <w:rPr>
          <w:rFonts w:ascii="Book Antiqua" w:eastAsia="Times New Roman" w:hAnsi="Book Antiqua" w:cs="Times New Roman"/>
          <w:b/>
          <w:kern w:val="0"/>
          <w14:ligatures w14:val="none"/>
        </w:rPr>
        <w:t>Tiempo Razonable para Entrega de Informes:</w:t>
      </w:r>
      <w:r>
        <w:rPr>
          <w:rFonts w:ascii="Book Antiqua" w:eastAsia="Times New Roman" w:hAnsi="Book Antiqua" w:cs="Times New Roman"/>
          <w:bCs/>
          <w:kern w:val="0"/>
          <w14:ligatures w14:val="none"/>
        </w:rPr>
        <w:t xml:space="preserve"> La reducción de 30 a 5 días para la entrega de informes en casos de transiciones no electorales es excesivamente corta y poco realista. Se sugiere mantener en 30 días, permitiendo una recopilación de información más precisa y confiable. </w:t>
      </w:r>
    </w:p>
    <w:p w14:paraId="73F773B7" w14:textId="77777777" w:rsidR="0062757D" w:rsidRDefault="0062757D" w:rsidP="0062757D">
      <w:pPr>
        <w:spacing w:after="200" w:line="240" w:lineRule="auto"/>
        <w:ind w:left="990" w:right="720" w:hanging="270"/>
        <w:contextualSpacing/>
        <w:jc w:val="both"/>
        <w:rPr>
          <w:rFonts w:ascii="Book Antiqua" w:eastAsia="Times New Roman" w:hAnsi="Book Antiqua" w:cs="Times New Roman"/>
          <w:bCs/>
          <w:kern w:val="0"/>
          <w14:ligatures w14:val="none"/>
        </w:rPr>
      </w:pPr>
    </w:p>
    <w:p w14:paraId="3EA40DCA" w14:textId="3F730611" w:rsidR="006F6EBC" w:rsidRDefault="006F6EBC" w:rsidP="0062757D">
      <w:pPr>
        <w:spacing w:after="200" w:line="240" w:lineRule="auto"/>
        <w:ind w:left="990" w:right="720" w:hanging="27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3. </w:t>
      </w:r>
      <w:r w:rsidRPr="0062757D">
        <w:rPr>
          <w:rFonts w:ascii="Book Antiqua" w:eastAsia="Times New Roman" w:hAnsi="Book Antiqua" w:cs="Times New Roman"/>
          <w:b/>
          <w:kern w:val="0"/>
          <w14:ligatures w14:val="none"/>
        </w:rPr>
        <w:t>Protección de Información Sensible:</w:t>
      </w:r>
      <w:r>
        <w:rPr>
          <w:rFonts w:ascii="Book Antiqua" w:eastAsia="Times New Roman" w:hAnsi="Book Antiqua" w:cs="Times New Roman"/>
          <w:bCs/>
          <w:kern w:val="0"/>
          <w14:ligatures w14:val="none"/>
        </w:rPr>
        <w:t xml:space="preserve"> Se debe establecer que los datos divulgados en los informes de transición respeten la confidencialidad de la información que, por ley, no puede ser revelada, especialmente aquella relacionada con seguridad municipal, litigios pendientes y datos personales de empleados. </w:t>
      </w:r>
    </w:p>
    <w:p w14:paraId="0305F2A3" w14:textId="77777777" w:rsidR="0062757D" w:rsidRDefault="0062757D" w:rsidP="0062757D">
      <w:pPr>
        <w:spacing w:after="200" w:line="240" w:lineRule="auto"/>
        <w:ind w:left="990" w:right="720" w:hanging="270"/>
        <w:contextualSpacing/>
        <w:jc w:val="both"/>
        <w:rPr>
          <w:rFonts w:ascii="Book Antiqua" w:eastAsia="Times New Roman" w:hAnsi="Book Antiqua" w:cs="Times New Roman"/>
          <w:bCs/>
          <w:kern w:val="0"/>
          <w14:ligatures w14:val="none"/>
        </w:rPr>
      </w:pPr>
    </w:p>
    <w:p w14:paraId="6D878624" w14:textId="4D84E548" w:rsidR="006F6EBC" w:rsidRDefault="006F6EBC" w:rsidP="0062757D">
      <w:pPr>
        <w:spacing w:after="200" w:line="240" w:lineRule="auto"/>
        <w:ind w:left="990" w:right="720" w:hanging="27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4. </w:t>
      </w:r>
      <w:r w:rsidRPr="0062757D">
        <w:rPr>
          <w:rFonts w:ascii="Book Antiqua" w:eastAsia="Times New Roman" w:hAnsi="Book Antiqua" w:cs="Times New Roman"/>
          <w:b/>
          <w:kern w:val="0"/>
          <w14:ligatures w14:val="none"/>
        </w:rPr>
        <w:t xml:space="preserve">Regulación del uso de </w:t>
      </w:r>
      <w:proofErr w:type="spellStart"/>
      <w:r w:rsidRPr="0062757D">
        <w:rPr>
          <w:rFonts w:ascii="Book Antiqua" w:eastAsia="Times New Roman" w:hAnsi="Book Antiqua" w:cs="Times New Roman"/>
          <w:b/>
          <w:kern w:val="0"/>
          <w14:ligatures w14:val="none"/>
        </w:rPr>
        <w:t>Mandamus</w:t>
      </w:r>
      <w:proofErr w:type="spellEnd"/>
      <w:r w:rsidRPr="0062757D">
        <w:rPr>
          <w:rFonts w:ascii="Book Antiqua" w:eastAsia="Times New Roman" w:hAnsi="Book Antiqua" w:cs="Times New Roman"/>
          <w:b/>
          <w:kern w:val="0"/>
          <w14:ligatures w14:val="none"/>
        </w:rPr>
        <w:t xml:space="preserve"> y Procedimientos de Desacato:</w:t>
      </w:r>
      <w:r>
        <w:rPr>
          <w:rFonts w:ascii="Book Antiqua" w:eastAsia="Times New Roman" w:hAnsi="Book Antiqua" w:cs="Times New Roman"/>
          <w:bCs/>
          <w:kern w:val="0"/>
          <w14:ligatures w14:val="none"/>
        </w:rPr>
        <w:t xml:space="preserve"> Se recomienda establecer parámetros claros dentro del mismo proyecto </w:t>
      </w:r>
      <w:r w:rsidR="0062757D">
        <w:rPr>
          <w:rFonts w:ascii="Book Antiqua" w:eastAsia="Times New Roman" w:hAnsi="Book Antiqua" w:cs="Times New Roman"/>
          <w:bCs/>
          <w:kern w:val="0"/>
          <w14:ligatures w14:val="none"/>
        </w:rPr>
        <w:t>sobre la aplicación de estas medidas legales para evitar su uso arbitrario en los procesos de transición.</w:t>
      </w:r>
      <w:r w:rsidR="0062757D">
        <w:rPr>
          <w:rStyle w:val="FootnoteReference"/>
          <w:rFonts w:ascii="Book Antiqua" w:eastAsia="Times New Roman" w:hAnsi="Book Antiqua"/>
          <w:bCs/>
          <w:kern w:val="0"/>
          <w14:ligatures w14:val="none"/>
        </w:rPr>
        <w:footnoteReference w:id="27"/>
      </w:r>
    </w:p>
    <w:p w14:paraId="0148BC33" w14:textId="77777777" w:rsidR="007B1F6C" w:rsidRDefault="007B1F6C" w:rsidP="007B1F6C">
      <w:pPr>
        <w:spacing w:after="200" w:line="276" w:lineRule="auto"/>
        <w:contextualSpacing/>
        <w:rPr>
          <w:rFonts w:ascii="Book Antiqua" w:eastAsia="Times New Roman" w:hAnsi="Book Antiqua" w:cs="Times New Roman"/>
          <w:bCs/>
          <w:kern w:val="0"/>
          <w:u w:val="single"/>
          <w14:ligatures w14:val="none"/>
        </w:rPr>
      </w:pPr>
    </w:p>
    <w:p w14:paraId="46277046" w14:textId="1DB80647" w:rsidR="00C37CBA" w:rsidRDefault="00FC0773" w:rsidP="00C37CBA">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Departamento de Justicia</w:t>
      </w:r>
    </w:p>
    <w:p w14:paraId="3DE18D89" w14:textId="77777777" w:rsidR="00D278EB" w:rsidRPr="00C37CBA" w:rsidRDefault="00D278EB" w:rsidP="00D278EB">
      <w:pPr>
        <w:spacing w:after="200" w:line="276" w:lineRule="auto"/>
        <w:ind w:left="360"/>
        <w:contextualSpacing/>
        <w:rPr>
          <w:rFonts w:ascii="Book Antiqua" w:eastAsia="Times New Roman" w:hAnsi="Book Antiqua" w:cs="Times New Roman"/>
          <w:bCs/>
          <w:kern w:val="0"/>
          <w:u w:val="single"/>
          <w14:ligatures w14:val="none"/>
        </w:rPr>
      </w:pPr>
    </w:p>
    <w:p w14:paraId="5DD79044" w14:textId="5A3904C2" w:rsidR="00C37CBA" w:rsidRPr="00C37CBA" w:rsidRDefault="00C37CBA" w:rsidP="00C37CBA">
      <w:pPr>
        <w:spacing w:after="200" w:line="360" w:lineRule="auto"/>
        <w:ind w:firstLine="720"/>
        <w:contextualSpacing/>
        <w:jc w:val="both"/>
        <w:rPr>
          <w:rFonts w:ascii="Book Antiqua" w:eastAsia="Times New Roman" w:hAnsi="Book Antiqua" w:cs="Times New Roman"/>
          <w:bCs/>
          <w:kern w:val="0"/>
          <w14:ligatures w14:val="none"/>
        </w:rPr>
      </w:pPr>
      <w:r w:rsidRPr="00F178FD">
        <w:rPr>
          <w:rFonts w:ascii="Book Antiqua" w:eastAsia="Times New Roman" w:hAnsi="Book Antiqua" w:cs="Times New Roman"/>
          <w:kern w:val="0"/>
          <w14:ligatures w14:val="none"/>
        </w:rPr>
        <w:t xml:space="preserve">Al momento de </w:t>
      </w:r>
      <w:r>
        <w:rPr>
          <w:rFonts w:ascii="Book Antiqua" w:eastAsia="Times New Roman" w:hAnsi="Book Antiqua" w:cs="Times New Roman"/>
          <w:kern w:val="0"/>
          <w14:ligatures w14:val="none"/>
        </w:rPr>
        <w:t xml:space="preserve">redactarse y </w:t>
      </w:r>
      <w:r w:rsidRPr="00F178FD">
        <w:rPr>
          <w:rFonts w:ascii="Book Antiqua" w:eastAsia="Times New Roman" w:hAnsi="Book Antiqua" w:cs="Times New Roman"/>
          <w:kern w:val="0"/>
          <w14:ligatures w14:val="none"/>
        </w:rPr>
        <w:t xml:space="preserve">evaluarse el presente Informe, </w:t>
      </w:r>
      <w:r>
        <w:rPr>
          <w:rFonts w:ascii="Book Antiqua" w:eastAsia="Times New Roman" w:hAnsi="Book Antiqua" w:cs="Times New Roman"/>
          <w:kern w:val="0"/>
          <w14:ligatures w14:val="none"/>
        </w:rPr>
        <w:t xml:space="preserve">el Departamento de Justicia no presentó un Memorial Explicativo para la consideración de la CRED. </w:t>
      </w:r>
    </w:p>
    <w:p w14:paraId="5B3BFBB0" w14:textId="77777777" w:rsidR="00FC0773" w:rsidRPr="00FC0773" w:rsidRDefault="00FC0773" w:rsidP="00C37CBA">
      <w:pPr>
        <w:spacing w:after="200" w:line="276" w:lineRule="auto"/>
        <w:contextualSpacing/>
        <w:rPr>
          <w:rFonts w:ascii="Book Antiqua" w:eastAsia="Times New Roman" w:hAnsi="Book Antiqua" w:cs="Times New Roman"/>
          <w:bCs/>
          <w:kern w:val="0"/>
          <w:u w:val="single"/>
          <w14:ligatures w14:val="none"/>
        </w:rPr>
      </w:pPr>
    </w:p>
    <w:p w14:paraId="0FBA92F6" w14:textId="71FBECCC" w:rsidR="00852ADC" w:rsidRDefault="00FC0773" w:rsidP="00852ADC">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Oficina de Servicios Legislativos</w:t>
      </w:r>
    </w:p>
    <w:p w14:paraId="3C921CDC" w14:textId="77777777" w:rsidR="001C06A7" w:rsidRPr="001C06A7" w:rsidRDefault="001C06A7" w:rsidP="001C06A7">
      <w:pPr>
        <w:spacing w:after="200" w:line="276" w:lineRule="auto"/>
        <w:ind w:left="360"/>
        <w:contextualSpacing/>
        <w:rPr>
          <w:rFonts w:ascii="Book Antiqua" w:eastAsia="Times New Roman" w:hAnsi="Book Antiqua" w:cs="Times New Roman"/>
          <w:bCs/>
          <w:kern w:val="0"/>
          <w14:ligatures w14:val="none"/>
        </w:rPr>
      </w:pPr>
    </w:p>
    <w:p w14:paraId="33DB0412" w14:textId="1D31464C" w:rsidR="001C06A7" w:rsidRDefault="001C06A7" w:rsidP="00316553">
      <w:pPr>
        <w:spacing w:after="200" w:line="360" w:lineRule="auto"/>
        <w:ind w:firstLine="720"/>
        <w:contextualSpacing/>
        <w:jc w:val="both"/>
        <w:rPr>
          <w:rFonts w:ascii="Book Antiqua" w:eastAsia="Times New Roman" w:hAnsi="Book Antiqua" w:cs="Times New Roman"/>
          <w:bCs/>
          <w:kern w:val="0"/>
          <w14:ligatures w14:val="none"/>
        </w:rPr>
      </w:pPr>
      <w:r w:rsidRPr="001C06A7">
        <w:rPr>
          <w:rFonts w:ascii="Book Antiqua" w:eastAsia="Times New Roman" w:hAnsi="Book Antiqua" w:cs="Times New Roman"/>
          <w:bCs/>
          <w:kern w:val="0"/>
          <w14:ligatures w14:val="none"/>
        </w:rPr>
        <w:t>La Oficina de Servicios Legislativos (OSL)</w:t>
      </w:r>
      <w:r>
        <w:rPr>
          <w:rFonts w:ascii="Book Antiqua" w:eastAsia="Times New Roman" w:hAnsi="Book Antiqua" w:cs="Times New Roman"/>
          <w:bCs/>
          <w:kern w:val="0"/>
          <w14:ligatures w14:val="none"/>
        </w:rPr>
        <w:t xml:space="preserve"> indica </w:t>
      </w:r>
      <w:r w:rsidR="00B01D60">
        <w:rPr>
          <w:rFonts w:ascii="Book Antiqua" w:eastAsia="Times New Roman" w:hAnsi="Book Antiqua" w:cs="Times New Roman"/>
          <w:bCs/>
          <w:kern w:val="0"/>
          <w14:ligatures w14:val="none"/>
        </w:rPr>
        <w:t>que</w:t>
      </w:r>
      <w:r w:rsidR="00316553">
        <w:rPr>
          <w:rFonts w:ascii="Book Antiqua" w:eastAsia="Times New Roman" w:hAnsi="Book Antiqua" w:cs="Times New Roman"/>
          <w:bCs/>
          <w:kern w:val="0"/>
          <w14:ligatures w14:val="none"/>
        </w:rPr>
        <w:t xml:space="preserve"> “</w:t>
      </w:r>
      <w:r w:rsidRPr="001C06A7">
        <w:rPr>
          <w:rFonts w:ascii="Book Antiqua" w:eastAsia="Times New Roman" w:hAnsi="Book Antiqua" w:cs="Times New Roman"/>
          <w:bCs/>
          <w:kern w:val="0"/>
          <w14:ligatures w14:val="none"/>
        </w:rPr>
        <w:t>[l]os procesos de los</w:t>
      </w:r>
      <w:r>
        <w:rPr>
          <w:rFonts w:ascii="Book Antiqua" w:eastAsia="Times New Roman" w:hAnsi="Book Antiqua" w:cs="Times New Roman"/>
          <w:bCs/>
          <w:kern w:val="0"/>
          <w14:ligatures w14:val="none"/>
        </w:rPr>
        <w:t xml:space="preserve"> Comités de Transición de los gobiernos municipales constituyen uno de los momentos más importantes para el gobierno entrante que asume la dirección del componente municipal</w:t>
      </w:r>
      <w:r w:rsidR="00316553">
        <w:rPr>
          <w:rFonts w:ascii="Book Antiqua" w:eastAsia="Times New Roman" w:hAnsi="Book Antiqua" w:cs="Times New Roman"/>
          <w:bCs/>
          <w:kern w:val="0"/>
          <w14:ligatures w14:val="none"/>
        </w:rPr>
        <w:t>.”</w:t>
      </w:r>
      <w:r w:rsidR="00316553">
        <w:rPr>
          <w:rStyle w:val="FootnoteReference"/>
          <w:rFonts w:ascii="Book Antiqua" w:eastAsia="Times New Roman" w:hAnsi="Book Antiqua"/>
          <w:bCs/>
          <w:kern w:val="0"/>
          <w14:ligatures w14:val="none"/>
        </w:rPr>
        <w:footnoteReference w:id="28"/>
      </w:r>
      <w:r w:rsidR="00316553">
        <w:rPr>
          <w:rFonts w:ascii="Book Antiqua" w:eastAsia="Times New Roman" w:hAnsi="Book Antiqua" w:cs="Times New Roman"/>
          <w:bCs/>
          <w:kern w:val="0"/>
          <w14:ligatures w14:val="none"/>
        </w:rPr>
        <w:t xml:space="preserve"> Es por ello </w:t>
      </w:r>
      <w:r w:rsidR="00787C4C">
        <w:rPr>
          <w:rFonts w:ascii="Book Antiqua" w:eastAsia="Times New Roman" w:hAnsi="Book Antiqua" w:cs="Times New Roman"/>
          <w:bCs/>
          <w:kern w:val="0"/>
          <w14:ligatures w14:val="none"/>
        </w:rPr>
        <w:t>que</w:t>
      </w:r>
      <w:r w:rsidR="00316553">
        <w:rPr>
          <w:rFonts w:ascii="Book Antiqua" w:eastAsia="Times New Roman" w:hAnsi="Book Antiqua" w:cs="Times New Roman"/>
          <w:bCs/>
          <w:kern w:val="0"/>
          <w14:ligatures w14:val="none"/>
        </w:rPr>
        <w:t xml:space="preserve"> el Art. 2.001 </w:t>
      </w:r>
      <w:r w:rsidR="00787C4C">
        <w:rPr>
          <w:rFonts w:ascii="Book Antiqua" w:eastAsia="Times New Roman" w:hAnsi="Book Antiqua" w:cs="Times New Roman"/>
          <w:bCs/>
          <w:kern w:val="0"/>
          <w14:ligatures w14:val="none"/>
        </w:rPr>
        <w:t xml:space="preserve">del </w:t>
      </w:r>
      <w:r w:rsidR="00316553">
        <w:rPr>
          <w:rFonts w:ascii="Book Antiqua" w:eastAsia="Times New Roman" w:hAnsi="Book Antiqua" w:cs="Times New Roman"/>
          <w:bCs/>
          <w:kern w:val="0"/>
          <w14:ligatures w14:val="none"/>
        </w:rPr>
        <w:t>Código Municipal de Puerto Rico</w:t>
      </w:r>
      <w:r w:rsidR="00316553">
        <w:rPr>
          <w:rStyle w:val="FootnoteReference"/>
          <w:rFonts w:ascii="Book Antiqua" w:eastAsia="Times New Roman" w:hAnsi="Book Antiqua"/>
          <w:bCs/>
          <w:kern w:val="0"/>
          <w14:ligatures w14:val="none"/>
        </w:rPr>
        <w:footnoteReference w:id="29"/>
      </w:r>
      <w:r w:rsidR="00316553">
        <w:rPr>
          <w:rFonts w:ascii="Book Antiqua" w:eastAsia="Times New Roman" w:hAnsi="Book Antiqua" w:cs="Times New Roman"/>
          <w:bCs/>
          <w:kern w:val="0"/>
          <w14:ligatures w14:val="none"/>
        </w:rPr>
        <w:t xml:space="preserve"> impone a todo integrante la obligación de cumplir con sus responsabilidades en sus respectivos </w:t>
      </w:r>
      <w:r w:rsidR="00316553">
        <w:rPr>
          <w:rFonts w:ascii="Book Antiqua" w:eastAsia="Times New Roman" w:hAnsi="Book Antiqua" w:cs="Times New Roman"/>
          <w:bCs/>
          <w:kern w:val="0"/>
          <w14:ligatures w14:val="none"/>
        </w:rPr>
        <w:lastRenderedPageBreak/>
        <w:t>comités, a tal punto que considera la imposición de multas de entre mil ($1,000) a diez mil ($10,000.00) dólares.</w:t>
      </w:r>
      <w:r w:rsidR="00316553">
        <w:rPr>
          <w:rStyle w:val="FootnoteReference"/>
          <w:rFonts w:ascii="Book Antiqua" w:eastAsia="Times New Roman" w:hAnsi="Book Antiqua"/>
          <w:bCs/>
          <w:kern w:val="0"/>
          <w14:ligatures w14:val="none"/>
        </w:rPr>
        <w:footnoteReference w:id="30"/>
      </w:r>
      <w:r w:rsidR="00787C4C">
        <w:rPr>
          <w:rFonts w:ascii="Book Antiqua" w:eastAsia="Times New Roman" w:hAnsi="Book Antiqua" w:cs="Times New Roman"/>
          <w:bCs/>
          <w:kern w:val="0"/>
          <w14:ligatures w14:val="none"/>
        </w:rPr>
        <w:t xml:space="preserve"> </w:t>
      </w:r>
    </w:p>
    <w:p w14:paraId="75EAE6CD" w14:textId="5CC9DD66" w:rsidR="007C0836" w:rsidRDefault="00787C4C" w:rsidP="0062757D">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Ante ello, la OSL entiende que </w:t>
      </w:r>
      <w:r w:rsidR="00AF35EC">
        <w:rPr>
          <w:rFonts w:ascii="Book Antiqua" w:eastAsia="Times New Roman" w:hAnsi="Book Antiqua" w:cs="Times New Roman"/>
          <w:bCs/>
          <w:kern w:val="0"/>
          <w14:ligatures w14:val="none"/>
        </w:rPr>
        <w:t>el</w:t>
      </w:r>
      <w:r>
        <w:rPr>
          <w:rFonts w:ascii="Book Antiqua" w:eastAsia="Times New Roman" w:hAnsi="Book Antiqua" w:cs="Times New Roman"/>
          <w:bCs/>
          <w:kern w:val="0"/>
          <w14:ligatures w14:val="none"/>
        </w:rPr>
        <w:t xml:space="preserve"> proyecto de ley plantea clarificar el texto del Art. 2.001 del Código Municipal para propósitos de certeza y especificidad en las funciones de cada integrante del Comité de Transición saliente.</w:t>
      </w:r>
      <w:r>
        <w:rPr>
          <w:rStyle w:val="FootnoteReference"/>
          <w:rFonts w:ascii="Book Antiqua" w:eastAsia="Times New Roman" w:hAnsi="Book Antiqua"/>
          <w:bCs/>
          <w:kern w:val="0"/>
          <w14:ligatures w14:val="none"/>
        </w:rPr>
        <w:footnoteReference w:id="31"/>
      </w:r>
      <w:r w:rsidR="00181516">
        <w:rPr>
          <w:rFonts w:ascii="Book Antiqua" w:eastAsia="Times New Roman" w:hAnsi="Book Antiqua" w:cs="Times New Roman"/>
          <w:bCs/>
          <w:kern w:val="0"/>
          <w14:ligatures w14:val="none"/>
        </w:rPr>
        <w:t xml:space="preserve"> Igualmente,</w:t>
      </w:r>
      <w:r w:rsidR="003E380A">
        <w:rPr>
          <w:rFonts w:ascii="Book Antiqua" w:eastAsia="Times New Roman" w:hAnsi="Book Antiqua" w:cs="Times New Roman"/>
          <w:bCs/>
          <w:kern w:val="0"/>
          <w14:ligatures w14:val="none"/>
        </w:rPr>
        <w:t xml:space="preserve"> añade, que</w:t>
      </w:r>
    </w:p>
    <w:p w14:paraId="27FDD90B" w14:textId="4734246E" w:rsidR="00852ADC" w:rsidRDefault="003E380A" w:rsidP="0062757D">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[e]l</w:t>
      </w:r>
      <w:r w:rsidR="00181516">
        <w:rPr>
          <w:rFonts w:ascii="Book Antiqua" w:eastAsia="Times New Roman" w:hAnsi="Book Antiqua" w:cs="Times New Roman"/>
          <w:bCs/>
          <w:kern w:val="0"/>
          <w14:ligatures w14:val="none"/>
        </w:rPr>
        <w:t xml:space="preserve"> proyecto plantea, respecto a los informes de transición, otorgarle carácter público e imponer al Comité el deber de que dicho informe sea radicado </w:t>
      </w:r>
      <w:r>
        <w:rPr>
          <w:rFonts w:ascii="Book Antiqua" w:eastAsia="Times New Roman" w:hAnsi="Book Antiqua" w:cs="Times New Roman"/>
          <w:bCs/>
          <w:kern w:val="0"/>
          <w14:ligatures w14:val="none"/>
        </w:rPr>
        <w:t>no solo en la secretaría municipal, sino que también se presente en la secretaría de la legislatura municipal.”</w:t>
      </w:r>
      <w:r>
        <w:rPr>
          <w:rStyle w:val="FootnoteReference"/>
          <w:rFonts w:ascii="Book Antiqua" w:eastAsia="Times New Roman" w:hAnsi="Book Antiqua"/>
          <w:bCs/>
          <w:kern w:val="0"/>
          <w14:ligatures w14:val="none"/>
        </w:rPr>
        <w:footnoteReference w:id="32"/>
      </w:r>
      <w:r>
        <w:rPr>
          <w:rFonts w:ascii="Book Antiqua" w:eastAsia="Times New Roman" w:hAnsi="Book Antiqua" w:cs="Times New Roman"/>
          <w:bCs/>
          <w:kern w:val="0"/>
          <w14:ligatures w14:val="none"/>
        </w:rPr>
        <w:t xml:space="preserve"> </w:t>
      </w:r>
      <w:r w:rsidR="00A602A8">
        <w:rPr>
          <w:rFonts w:ascii="Book Antiqua" w:eastAsia="Times New Roman" w:hAnsi="Book Antiqua" w:cs="Times New Roman"/>
          <w:bCs/>
          <w:kern w:val="0"/>
          <w14:ligatures w14:val="none"/>
        </w:rPr>
        <w:t>Con relación a este punto,  la OSLA opina que</w:t>
      </w:r>
      <w:r w:rsidR="007C0836">
        <w:rPr>
          <w:rFonts w:ascii="Book Antiqua" w:eastAsia="Times New Roman" w:hAnsi="Book Antiqua" w:cs="Times New Roman"/>
          <w:bCs/>
          <w:kern w:val="0"/>
          <w14:ligatures w14:val="none"/>
        </w:rPr>
        <w:t xml:space="preserve"> “</w:t>
      </w:r>
      <w:r w:rsidR="00A602A8">
        <w:rPr>
          <w:rFonts w:ascii="Book Antiqua" w:eastAsia="Times New Roman" w:hAnsi="Book Antiqua" w:cs="Times New Roman"/>
          <w:bCs/>
          <w:kern w:val="0"/>
          <w14:ligatures w14:val="none"/>
        </w:rPr>
        <w:t xml:space="preserve">acondicionar la Ley para conferir estas responsabilidades y criterios adicionales </w:t>
      </w:r>
      <w:r w:rsidR="007C0836">
        <w:rPr>
          <w:rFonts w:ascii="Book Antiqua" w:eastAsia="Times New Roman" w:hAnsi="Book Antiqua" w:cs="Times New Roman"/>
          <w:bCs/>
          <w:kern w:val="0"/>
          <w14:ligatures w14:val="none"/>
        </w:rPr>
        <w:t xml:space="preserve">podría redundar en el beneficio de </w:t>
      </w:r>
      <w:r w:rsidR="00AF35EC">
        <w:rPr>
          <w:rFonts w:ascii="Book Antiqua" w:eastAsia="Times New Roman" w:hAnsi="Book Antiqua" w:cs="Times New Roman"/>
          <w:bCs/>
          <w:kern w:val="0"/>
          <w14:ligatures w14:val="none"/>
        </w:rPr>
        <w:t>l</w:t>
      </w:r>
      <w:r w:rsidR="007C0836">
        <w:rPr>
          <w:rFonts w:ascii="Book Antiqua" w:eastAsia="Times New Roman" w:hAnsi="Book Antiqua" w:cs="Times New Roman"/>
          <w:bCs/>
          <w:kern w:val="0"/>
          <w14:ligatures w14:val="none"/>
        </w:rPr>
        <w:t xml:space="preserve">a transparencia y debidas salvaguardas de un proceso de transición </w:t>
      </w:r>
      <w:r w:rsidR="00AF35EC">
        <w:rPr>
          <w:rFonts w:ascii="Book Antiqua" w:eastAsia="Times New Roman" w:hAnsi="Book Antiqua" w:cs="Times New Roman"/>
          <w:bCs/>
          <w:kern w:val="0"/>
          <w14:ligatures w14:val="none"/>
        </w:rPr>
        <w:t>ordenado</w:t>
      </w:r>
      <w:r w:rsidR="007C0836">
        <w:rPr>
          <w:rFonts w:ascii="Book Antiqua" w:eastAsia="Times New Roman" w:hAnsi="Book Antiqua" w:cs="Times New Roman"/>
          <w:bCs/>
          <w:kern w:val="0"/>
          <w14:ligatures w14:val="none"/>
        </w:rPr>
        <w:t>. Por ende, consideramos que la intención de la medida va dirigida a robustecer el paso inicial de una sana administración municipal.</w:t>
      </w:r>
      <w:r w:rsidR="007C0836">
        <w:rPr>
          <w:rStyle w:val="FootnoteReference"/>
          <w:rFonts w:ascii="Book Antiqua" w:eastAsia="Times New Roman" w:hAnsi="Book Antiqua"/>
          <w:bCs/>
          <w:kern w:val="0"/>
          <w14:ligatures w14:val="none"/>
        </w:rPr>
        <w:footnoteReference w:id="33"/>
      </w:r>
    </w:p>
    <w:p w14:paraId="0811B7A9" w14:textId="77777777" w:rsidR="0062757D" w:rsidRDefault="0062757D" w:rsidP="0062757D">
      <w:pPr>
        <w:spacing w:after="200" w:line="276" w:lineRule="auto"/>
        <w:ind w:left="720" w:right="720"/>
        <w:contextualSpacing/>
        <w:jc w:val="both"/>
        <w:rPr>
          <w:rFonts w:ascii="Book Antiqua" w:eastAsia="Times New Roman" w:hAnsi="Book Antiqua" w:cs="Times New Roman"/>
          <w:bCs/>
          <w:kern w:val="0"/>
          <w14:ligatures w14:val="none"/>
        </w:rPr>
      </w:pPr>
    </w:p>
    <w:p w14:paraId="4B5B9DE8" w14:textId="53C41C1F" w:rsidR="007C0836" w:rsidRDefault="007C0836" w:rsidP="007C0836">
      <w:pPr>
        <w:spacing w:after="200" w:line="360" w:lineRule="auto"/>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Sin embargo, planteó preocupación por la reducción del “término otorgado por la Ley para la obligación de los directores de las unidades administrativas en las funciones del cargo al momento de la salida de la administración […] de treinta (30) a cinco (5) días.”</w:t>
      </w:r>
      <w:r>
        <w:rPr>
          <w:rStyle w:val="FootnoteReference"/>
          <w:rFonts w:ascii="Book Antiqua" w:eastAsia="Times New Roman" w:hAnsi="Book Antiqua"/>
          <w:bCs/>
          <w:kern w:val="0"/>
          <w14:ligatures w14:val="none"/>
        </w:rPr>
        <w:footnoteReference w:id="34"/>
      </w:r>
      <w:r w:rsidR="007B6971">
        <w:rPr>
          <w:rFonts w:ascii="Book Antiqua" w:eastAsia="Times New Roman" w:hAnsi="Book Antiqua" w:cs="Times New Roman"/>
          <w:bCs/>
          <w:kern w:val="0"/>
          <w14:ligatures w14:val="none"/>
        </w:rPr>
        <w:t xml:space="preserve"> Respecto a ello expresa: </w:t>
      </w:r>
    </w:p>
    <w:p w14:paraId="07C0FAA9" w14:textId="115CDAAC" w:rsidR="00A043AB" w:rsidRDefault="007B6971" w:rsidP="00A043AB">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Consideramos que una disminución tan drástica de este periodo podría obrar en detrimento de un proceso cuidadoso de transición</w:t>
      </w:r>
      <w:r w:rsidR="00A043AB">
        <w:rPr>
          <w:rFonts w:ascii="Book Antiqua" w:eastAsia="Times New Roman" w:hAnsi="Book Antiqua" w:cs="Times New Roman"/>
          <w:bCs/>
          <w:kern w:val="0"/>
          <w14:ligatures w14:val="none"/>
        </w:rPr>
        <w:t xml:space="preserve">, nublando la intención y el propio espíritu que persogue la Ley Núm. 107[-2020], </w:t>
      </w:r>
      <w:r w:rsidR="00A043AB" w:rsidRPr="00A043AB">
        <w:rPr>
          <w:rFonts w:ascii="Book Antiqua" w:eastAsia="Times New Roman" w:hAnsi="Book Antiqua" w:cs="Times New Roman"/>
          <w:bCs/>
          <w:i/>
          <w:iCs/>
          <w:kern w:val="0"/>
          <w14:ligatures w14:val="none"/>
        </w:rPr>
        <w:t>supra</w:t>
      </w:r>
      <w:r w:rsidR="00A043AB">
        <w:rPr>
          <w:rFonts w:ascii="Book Antiqua" w:eastAsia="Times New Roman" w:hAnsi="Book Antiqua" w:cs="Times New Roman"/>
          <w:bCs/>
          <w:kern w:val="0"/>
          <w14:ligatures w14:val="none"/>
        </w:rPr>
        <w:t>. Ante la diversidad de gobiernos municipales, estos podrían afrontar distintas complejidades para la elaboración del requerido informe, como el tamaño de las finanzas municipales, o los componentes que a su cargo tenga el municipio, entre otros. Sugerimos que este cambio sea reevaluado tomando en consideración los factores que pudiesen influenciar en el proceso de la preparación y entrega del informe.</w:t>
      </w:r>
      <w:r w:rsidR="00A043AB">
        <w:rPr>
          <w:rStyle w:val="FootnoteReference"/>
          <w:rFonts w:ascii="Book Antiqua" w:eastAsia="Times New Roman" w:hAnsi="Book Antiqua"/>
          <w:bCs/>
          <w:kern w:val="0"/>
          <w14:ligatures w14:val="none"/>
        </w:rPr>
        <w:footnoteReference w:id="35"/>
      </w:r>
    </w:p>
    <w:p w14:paraId="03D26458" w14:textId="77777777" w:rsidR="00A043AB" w:rsidRDefault="00A043AB" w:rsidP="00A043AB">
      <w:pPr>
        <w:spacing w:after="200" w:line="276" w:lineRule="auto"/>
        <w:ind w:right="720"/>
        <w:contextualSpacing/>
        <w:jc w:val="both"/>
        <w:rPr>
          <w:rFonts w:ascii="Book Antiqua" w:eastAsia="Times New Roman" w:hAnsi="Book Antiqua" w:cs="Times New Roman"/>
          <w:bCs/>
          <w:kern w:val="0"/>
          <w14:ligatures w14:val="none"/>
        </w:rPr>
      </w:pPr>
    </w:p>
    <w:p w14:paraId="7B1893A6" w14:textId="29C145D6" w:rsidR="00A043AB" w:rsidRPr="001C06A7" w:rsidRDefault="00A043AB" w:rsidP="00A043AB">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lastRenderedPageBreak/>
        <w:t xml:space="preserve">Finalmente, la OSL presentó a esta Comisión un borrador de </w:t>
      </w:r>
      <w:proofErr w:type="spellStart"/>
      <w:r w:rsidR="0043234D">
        <w:rPr>
          <w:rFonts w:ascii="Book Antiqua" w:eastAsia="Times New Roman" w:hAnsi="Book Antiqua" w:cs="Times New Roman"/>
          <w:bCs/>
          <w:kern w:val="0"/>
          <w14:ligatures w14:val="none"/>
        </w:rPr>
        <w:t>e</w:t>
      </w:r>
      <w:r>
        <w:rPr>
          <w:rFonts w:ascii="Book Antiqua" w:eastAsia="Times New Roman" w:hAnsi="Book Antiqua" w:cs="Times New Roman"/>
          <w:bCs/>
          <w:kern w:val="0"/>
          <w14:ligatures w14:val="none"/>
        </w:rPr>
        <w:t>ntirillado</w:t>
      </w:r>
      <w:proofErr w:type="spellEnd"/>
      <w:r>
        <w:rPr>
          <w:rFonts w:ascii="Book Antiqua" w:eastAsia="Times New Roman" w:hAnsi="Book Antiqua" w:cs="Times New Roman"/>
          <w:bCs/>
          <w:kern w:val="0"/>
          <w14:ligatures w14:val="none"/>
        </w:rPr>
        <w:t xml:space="preserve"> </w:t>
      </w:r>
      <w:r w:rsidR="0043234D">
        <w:rPr>
          <w:rFonts w:ascii="Book Antiqua" w:eastAsia="Times New Roman" w:hAnsi="Book Antiqua" w:cs="Times New Roman"/>
          <w:bCs/>
          <w:kern w:val="0"/>
          <w14:ligatures w14:val="none"/>
        </w:rPr>
        <w:t>e</w:t>
      </w:r>
      <w:r>
        <w:rPr>
          <w:rFonts w:ascii="Book Antiqua" w:eastAsia="Times New Roman" w:hAnsi="Book Antiqua" w:cs="Times New Roman"/>
          <w:bCs/>
          <w:kern w:val="0"/>
          <w14:ligatures w14:val="none"/>
        </w:rPr>
        <w:t xml:space="preserve">lectrónico con cambios y modificaciones, el cual fue evaluado al momento de preparar el presente informe. </w:t>
      </w:r>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0" w:name="_Hlk191473974"/>
      <w:r w:rsidRPr="00CB1979">
        <w:rPr>
          <w:rFonts w:ascii="Book Antiqua" w:eastAsia="Times New Roman" w:hAnsi="Book Antiqua" w:cs="Times New Roman"/>
          <w:bCs/>
          <w:i/>
          <w:iCs/>
          <w:kern w:val="0"/>
          <w14:ligatures w14:val="none"/>
        </w:rPr>
        <w:t>Informes</w:t>
      </w:r>
    </w:p>
    <w:p w14:paraId="3880AAAD" w14:textId="29CD4036" w:rsidR="006B79E0" w:rsidRPr="00CB1979"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Oficina de Presupuesto de la Asamblea Legislativa (OPAL)</w:t>
      </w:r>
    </w:p>
    <w:p w14:paraId="0A1EF1C4" w14:textId="3263DBC1" w:rsidR="00884D33" w:rsidRPr="00CB1979" w:rsidRDefault="0062757D" w:rsidP="0062757D">
      <w:pPr>
        <w:spacing w:after="0" w:line="360" w:lineRule="auto"/>
        <w:ind w:firstLine="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Oficina de Presupuesto de la Asamblea Legislativa (OPAL) concluyó que la medida no tiene impacto fiscal.</w:t>
      </w:r>
      <w:r>
        <w:rPr>
          <w:rStyle w:val="FootnoteReference"/>
          <w:rFonts w:ascii="Book Antiqua" w:eastAsia="Times New Roman" w:hAnsi="Book Antiqua"/>
          <w:bCs/>
          <w:kern w:val="0"/>
          <w14:ligatures w14:val="none"/>
        </w:rPr>
        <w:footnoteReference w:id="36"/>
      </w:r>
      <w:r>
        <w:rPr>
          <w:rFonts w:ascii="Book Antiqua" w:eastAsia="Times New Roman" w:hAnsi="Book Antiqua" w:cs="Times New Roman"/>
          <w:bCs/>
          <w:kern w:val="0"/>
          <w14:ligatures w14:val="none"/>
        </w:rPr>
        <w:t xml:space="preserve"> Ello debido a que el proyecto “no crea estructuras ni asignaciones adicionales y se limita a precisar el proceso vigente de transición gubernamental municipal.”</w:t>
      </w:r>
      <w:r>
        <w:rPr>
          <w:rStyle w:val="FootnoteReference"/>
          <w:rFonts w:ascii="Book Antiqua" w:eastAsia="Times New Roman" w:hAnsi="Book Antiqua"/>
          <w:bCs/>
          <w:kern w:val="0"/>
          <w14:ligatures w14:val="none"/>
        </w:rPr>
        <w:footnoteReference w:id="37"/>
      </w:r>
    </w:p>
    <w:bookmarkEnd w:id="0"/>
    <w:p w14:paraId="1FB3A56A" w14:textId="068DD491"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523D9D94"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4C745D19" w14:textId="734D8CC5" w:rsidR="00A54AF0" w:rsidRPr="00CB1979" w:rsidRDefault="00A54AF0" w:rsidP="003B4DD4">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CB1979">
        <w:rPr>
          <w:rFonts w:ascii="Book Antiqua" w:eastAsia="Times New Roman" w:hAnsi="Book Antiqua" w:cs="Times New Roman"/>
          <w:kern w:val="0"/>
          <w14:ligatures w14:val="none"/>
        </w:rPr>
        <w:t xml:space="preserve">que remitieron </w:t>
      </w:r>
      <w:r w:rsidR="00433876" w:rsidRPr="00D278EB">
        <w:rPr>
          <w:rFonts w:ascii="Book Antiqua" w:eastAsia="Times New Roman" w:hAnsi="Book Antiqua" w:cs="Times New Roman"/>
          <w:i/>
          <w:iCs/>
          <w:kern w:val="0"/>
          <w14:ligatures w14:val="none"/>
        </w:rPr>
        <w:t>Memoriales Explicativos</w:t>
      </w:r>
      <w:r w:rsidRPr="00CB1979">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 </w:t>
      </w:r>
    </w:p>
    <w:p w14:paraId="69BBB4F1" w14:textId="6FC7FE81"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2DED5907" w14:textId="77777777"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p>
    <w:p w14:paraId="30C09981" w14:textId="4E761DE2" w:rsidR="00D03212" w:rsidRPr="00CB1979" w:rsidRDefault="0062757D" w:rsidP="00D03212">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Según el informe rendido por la OPAL, el P. de la C. 144 no tiene un impacto fiscal.</w:t>
      </w:r>
      <w:r>
        <w:rPr>
          <w:rStyle w:val="FootnoteReference"/>
          <w:rFonts w:ascii="Book Antiqua" w:eastAsia="Times New Roman" w:hAnsi="Book Antiqua"/>
          <w:bCs/>
          <w:kern w:val="0"/>
          <w14:ligatures w14:val="none"/>
        </w:rPr>
        <w:footnoteReference w:id="38"/>
      </w:r>
    </w:p>
    <w:p w14:paraId="27245D47" w14:textId="498F04A5" w:rsidR="00A54AF0"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ANÁLISIS DE LA MEDIDA</w:t>
      </w:r>
    </w:p>
    <w:p w14:paraId="286419E7" w14:textId="77777777" w:rsidR="003B4DD4" w:rsidRDefault="003B4DD4" w:rsidP="003B4DD4">
      <w:pPr>
        <w:spacing w:after="0" w:line="240" w:lineRule="auto"/>
        <w:rPr>
          <w:rFonts w:ascii="Book Antiqua" w:eastAsia="Times New Roman" w:hAnsi="Book Antiqua" w:cs="Times New Roman"/>
          <w:b/>
          <w:kern w:val="0"/>
          <w14:ligatures w14:val="none"/>
        </w:rPr>
      </w:pPr>
    </w:p>
    <w:p w14:paraId="492CBE93" w14:textId="6E3C4C1B" w:rsidR="003B4DD4" w:rsidRDefault="003B4DD4" w:rsidP="003B4DD4">
      <w:pPr>
        <w:spacing w:after="0" w:line="360" w:lineRule="auto"/>
        <w:jc w:val="both"/>
        <w:rPr>
          <w:rFonts w:ascii="Book Antiqua" w:eastAsia="Times New Roman" w:hAnsi="Book Antiqua" w:cs="Times New Roman"/>
          <w:bCs/>
          <w:kern w:val="0"/>
          <w14:ligatures w14:val="none"/>
        </w:rPr>
      </w:pPr>
      <w:r w:rsidRPr="003B4DD4">
        <w:rPr>
          <w:rFonts w:ascii="Book Antiqua" w:eastAsia="Times New Roman" w:hAnsi="Book Antiqua" w:cs="Times New Roman"/>
          <w:bCs/>
          <w:kern w:val="0"/>
          <w14:ligatures w14:val="none"/>
        </w:rPr>
        <w:tab/>
        <w:t xml:space="preserve">El P. de la C. 144 </w:t>
      </w:r>
      <w:r>
        <w:rPr>
          <w:rFonts w:ascii="Book Antiqua" w:eastAsia="Times New Roman" w:hAnsi="Book Antiqua" w:cs="Times New Roman"/>
          <w:bCs/>
          <w:kern w:val="0"/>
          <w14:ligatures w14:val="none"/>
        </w:rPr>
        <w:t xml:space="preserve">plantea enmiendas al Art. 2.001 del Código Municipal de Puerto Rico con el propósito de brindar mayor estabilidad, celeridad y publicidad al proceso de transición de los gobiernos municipales ante diversos escenarios, tales como muerte, renuncia o elección de un nuevo regente municipal en las elecciones. Asimismo, busca la participación de los integrantes de los gobiernos municipales en el proceso de transición </w:t>
      </w:r>
      <w:r>
        <w:rPr>
          <w:rFonts w:ascii="Book Antiqua" w:eastAsia="Times New Roman" w:hAnsi="Book Antiqua" w:cs="Times New Roman"/>
          <w:bCs/>
          <w:kern w:val="0"/>
          <w14:ligatures w14:val="none"/>
        </w:rPr>
        <w:lastRenderedPageBreak/>
        <w:t xml:space="preserve">y dispone de mecanismos para obligar el cumplimiento con las disposiciones del Código Municipal de Puerto Rico. De igual manera, el P. de la C. 144 resulta cónsono con lo establecido por nuestro Tribunal Supremo en Romero Lugo v. Cruz Soto, y hasta cierto punto codifica lo ahí expresado. </w:t>
      </w:r>
    </w:p>
    <w:p w14:paraId="3A0AB469" w14:textId="55408BD8" w:rsidR="003B4DD4" w:rsidRPr="003B4DD4" w:rsidRDefault="003B4DD4" w:rsidP="003B4DD4">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Esta Comisión estudió los Memoriales Explicativos entregados e integró diversas sugerencias propuestas por los comparecientes</w:t>
      </w:r>
      <w:r w:rsidR="00560742">
        <w:rPr>
          <w:rFonts w:ascii="Book Antiqua" w:eastAsia="Times New Roman" w:hAnsi="Book Antiqua" w:cs="Times New Roman"/>
          <w:bCs/>
          <w:kern w:val="0"/>
          <w14:ligatures w14:val="none"/>
        </w:rPr>
        <w:t xml:space="preserve">, entre las cuales destacamos el aumento del término de cinco (5) a </w:t>
      </w:r>
      <w:r w:rsidR="00391C21">
        <w:rPr>
          <w:rFonts w:ascii="Book Antiqua" w:eastAsia="Times New Roman" w:hAnsi="Book Antiqua" w:cs="Times New Roman"/>
          <w:bCs/>
          <w:kern w:val="0"/>
          <w14:ligatures w14:val="none"/>
        </w:rPr>
        <w:t>diez</w:t>
      </w:r>
      <w:r w:rsidR="00560742">
        <w:rPr>
          <w:rFonts w:ascii="Book Antiqua" w:eastAsia="Times New Roman" w:hAnsi="Book Antiqua" w:cs="Times New Roman"/>
          <w:bCs/>
          <w:kern w:val="0"/>
          <w14:ligatures w14:val="none"/>
        </w:rPr>
        <w:t xml:space="preserve"> (1</w:t>
      </w:r>
      <w:r w:rsidR="00391C21">
        <w:rPr>
          <w:rFonts w:ascii="Book Antiqua" w:eastAsia="Times New Roman" w:hAnsi="Book Antiqua" w:cs="Times New Roman"/>
          <w:bCs/>
          <w:kern w:val="0"/>
          <w14:ligatures w14:val="none"/>
        </w:rPr>
        <w:t>0</w:t>
      </w:r>
      <w:r w:rsidR="00560742">
        <w:rPr>
          <w:rFonts w:ascii="Book Antiqua" w:eastAsia="Times New Roman" w:hAnsi="Book Antiqua" w:cs="Times New Roman"/>
          <w:bCs/>
          <w:kern w:val="0"/>
          <w14:ligatures w14:val="none"/>
        </w:rPr>
        <w:t xml:space="preserve">) días para la entrega de informes.  </w:t>
      </w:r>
      <w:r>
        <w:rPr>
          <w:rFonts w:ascii="Book Antiqua" w:eastAsia="Times New Roman" w:hAnsi="Book Antiqua" w:cs="Times New Roman"/>
          <w:bCs/>
          <w:kern w:val="0"/>
          <w14:ligatures w14:val="none"/>
        </w:rPr>
        <w:t xml:space="preserve">De igual modo, efectuó enmiendas de redacción y estilo con el propósito de brindar mayor claridad al texto. </w:t>
      </w:r>
    </w:p>
    <w:p w14:paraId="115914DA" w14:textId="77777777" w:rsidR="006736F9" w:rsidRPr="00CB1979" w:rsidRDefault="006736F9" w:rsidP="006736F9">
      <w:pPr>
        <w:spacing w:after="0" w:line="240" w:lineRule="auto"/>
        <w:rPr>
          <w:rFonts w:ascii="Book Antiqua" w:eastAsia="Times New Roman" w:hAnsi="Book Antiqua" w:cs="Times New Roman"/>
          <w:b/>
          <w:kern w:val="0"/>
          <w14:ligatures w14:val="none"/>
        </w:rPr>
      </w:pPr>
    </w:p>
    <w:p w14:paraId="6AA413CC" w14:textId="67047936" w:rsidR="00A54AF0" w:rsidRPr="00CB1979"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7B338694" w14:textId="06C5FAC2" w:rsidR="00A54AF0" w:rsidRPr="00CB1979" w:rsidRDefault="00A54AF0" w:rsidP="00D03212">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Por los fundamentos antes expuestos, 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somete el </w:t>
      </w:r>
      <w:r w:rsidR="00B67C4D">
        <w:rPr>
          <w:rFonts w:ascii="Book Antiqua" w:eastAsia="Times New Roman" w:hAnsi="Book Antiqua" w:cs="Times New Roman"/>
          <w:b/>
          <w:bCs/>
          <w:kern w:val="0"/>
          <w:u w:val="single"/>
          <w14:ligatures w14:val="none"/>
        </w:rPr>
        <w:t>Informe</w:t>
      </w:r>
      <w:r w:rsidRPr="00CB1979">
        <w:rPr>
          <w:rFonts w:ascii="Book Antiqua" w:eastAsia="Times New Roman" w:hAnsi="Book Antiqua" w:cs="Times New Roman"/>
          <w:kern w:val="0"/>
          <w14:ligatures w14:val="none"/>
        </w:rPr>
        <w:t xml:space="preserve"> en el que </w:t>
      </w:r>
      <w:r w:rsidR="0043234D" w:rsidRPr="0043234D">
        <w:rPr>
          <w:rFonts w:ascii="Book Antiqua" w:eastAsia="Times New Roman" w:hAnsi="Book Antiqua" w:cs="Times New Roman"/>
          <w:kern w:val="0"/>
          <w14:ligatures w14:val="none"/>
        </w:rPr>
        <w:t xml:space="preserve">se recomienda </w:t>
      </w:r>
      <w:r w:rsidRPr="00CB1979">
        <w:rPr>
          <w:rFonts w:ascii="Book Antiqua" w:eastAsia="Times New Roman" w:hAnsi="Book Antiqua" w:cs="Times New Roman"/>
          <w:kern w:val="0"/>
          <w14:ligatures w14:val="none"/>
        </w:rPr>
        <w:t xml:space="preserve">a esta Cámara de Representantes que </w:t>
      </w:r>
      <w:r w:rsidR="0043234D">
        <w:rPr>
          <w:rFonts w:ascii="Book Antiqua" w:eastAsia="Times New Roman" w:hAnsi="Book Antiqua" w:cs="Times New Roman"/>
          <w:kern w:val="0"/>
          <w:u w:val="single"/>
          <w14:ligatures w14:val="none"/>
        </w:rPr>
        <w:t>apruebe</w:t>
      </w:r>
      <w:r w:rsidRPr="00CB1979">
        <w:rPr>
          <w:rFonts w:ascii="Book Antiqua" w:eastAsia="Times New Roman" w:hAnsi="Book Antiqua" w:cs="Times New Roman"/>
          <w:kern w:val="0"/>
          <w14:ligatures w14:val="none"/>
        </w:rPr>
        <w:t xml:space="preserve"> el </w:t>
      </w:r>
      <w:r w:rsidRPr="00CB1979">
        <w:rPr>
          <w:rFonts w:ascii="Book Antiqua" w:eastAsia="Times New Roman" w:hAnsi="Book Antiqua" w:cs="Times New Roman"/>
          <w:b/>
          <w:bCs/>
          <w:kern w:val="0"/>
          <w14:ligatures w14:val="none"/>
        </w:rPr>
        <w:t xml:space="preserve">Proyecto de la Cámara </w:t>
      </w:r>
      <w:r w:rsidR="00FC0773">
        <w:rPr>
          <w:rFonts w:ascii="Book Antiqua" w:eastAsia="Times New Roman" w:hAnsi="Book Antiqua" w:cs="Times New Roman"/>
          <w:b/>
          <w:bCs/>
          <w:kern w:val="0"/>
          <w14:ligatures w14:val="none"/>
        </w:rPr>
        <w:t>144</w:t>
      </w:r>
      <w:r w:rsidR="0043234D" w:rsidRPr="0043234D">
        <w:rPr>
          <w:rFonts w:ascii="Book Antiqua" w:eastAsia="Times New Roman" w:hAnsi="Book Antiqua" w:cs="Times New Roman"/>
          <w:kern w:val="0"/>
          <w14:ligatures w14:val="none"/>
        </w:rPr>
        <w:t xml:space="preserve">, con las enmiendas propuestas en el </w:t>
      </w:r>
      <w:proofErr w:type="spellStart"/>
      <w:r w:rsidR="0043234D" w:rsidRPr="0043234D">
        <w:rPr>
          <w:rFonts w:ascii="Book Antiqua" w:eastAsia="Times New Roman" w:hAnsi="Book Antiqua" w:cs="Times New Roman"/>
          <w:kern w:val="0"/>
          <w14:ligatures w14:val="none"/>
        </w:rPr>
        <w:t>entirillado</w:t>
      </w:r>
      <w:proofErr w:type="spellEnd"/>
      <w:r w:rsidR="0043234D" w:rsidRPr="0043234D">
        <w:rPr>
          <w:rFonts w:ascii="Book Antiqua" w:eastAsia="Times New Roman" w:hAnsi="Book Antiqua" w:cs="Times New Roman"/>
          <w:kern w:val="0"/>
          <w14:ligatures w14:val="none"/>
        </w:rPr>
        <w:t xml:space="preserve"> electrónico que se acompaña.</w:t>
      </w:r>
      <w:r w:rsidR="0043234D">
        <w:rPr>
          <w:rFonts w:ascii="Book Antiqua" w:eastAsia="Times New Roman" w:hAnsi="Book Antiqua" w:cs="Times New Roman"/>
          <w:b/>
          <w:bCs/>
          <w:kern w:val="0"/>
          <w14:ligatures w14:val="none"/>
        </w:rPr>
        <w:t xml:space="preserve"> </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CB1979" w:rsidRDefault="00A54AF0" w:rsidP="00AC29DB">
      <w:pPr>
        <w:spacing w:after="0" w:line="240" w:lineRule="auto"/>
        <w:ind w:firstLine="720"/>
        <w:rPr>
          <w:rFonts w:ascii="Book Antiqua" w:eastAsia="Times New Roman" w:hAnsi="Book Antiqua" w:cs="Times New Roman"/>
          <w:kern w:val="0"/>
          <w:lang w:eastAsia="x-none"/>
          <w14:ligatures w14:val="none"/>
        </w:rPr>
      </w:pPr>
      <w:r w:rsidRPr="00CB1979">
        <w:rPr>
          <w:rFonts w:ascii="Book Antiqua" w:eastAsia="Times New Roman" w:hAnsi="Book Antiqua" w:cs="Times New Roman"/>
          <w:kern w:val="0"/>
          <w:lang w:eastAsia="x-none"/>
          <w14:ligatures w14:val="none"/>
        </w:rPr>
        <w:t>Respetuosamente sometido,</w:t>
      </w:r>
    </w:p>
    <w:p w14:paraId="58CEE6C4" w14:textId="77777777" w:rsidR="00A54AF0" w:rsidRPr="00CB1979"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CB1979"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CB1979">
        <w:rPr>
          <w:rFonts w:ascii="Book Antiqua" w:eastAsia="Times New Roman" w:hAnsi="Book Antiqua" w:cs="Times New Roman"/>
          <w:b/>
          <w:bCs/>
          <w:kern w:val="0"/>
          <w:sz w:val="22"/>
          <w:szCs w:val="22"/>
          <w:lang w:eastAsia="x-none"/>
          <w14:ligatures w14:val="none"/>
        </w:rPr>
        <w:t>Hon. Ángel A. Morey Noble</w:t>
      </w:r>
      <w:r w:rsidRPr="00CB1979">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CB1979"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CB1979">
        <w:rPr>
          <w:rFonts w:ascii="Book Antiqua" w:eastAsia="Times New Roman" w:hAnsi="Book Antiqua" w:cs="Times New Roman"/>
          <w:i/>
          <w:iCs/>
          <w:kern w:val="0"/>
          <w:sz w:val="22"/>
          <w:szCs w:val="22"/>
          <w:lang w:eastAsia="x-none"/>
          <w14:ligatures w14:val="none"/>
        </w:rPr>
        <w:t>Presidente</w:t>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p>
    <w:p w14:paraId="60E9B1BB" w14:textId="047D4680" w:rsidR="00A54AF0" w:rsidRPr="00CB1979"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CB1979">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C9915" w14:textId="77777777" w:rsidR="008855F4" w:rsidRDefault="008855F4" w:rsidP="00A54AF0">
      <w:pPr>
        <w:spacing w:after="0" w:line="240" w:lineRule="auto"/>
      </w:pPr>
      <w:r>
        <w:separator/>
      </w:r>
    </w:p>
  </w:endnote>
  <w:endnote w:type="continuationSeparator" w:id="0">
    <w:p w14:paraId="5BF3DFF3" w14:textId="77777777" w:rsidR="008855F4" w:rsidRDefault="008855F4"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C1AD9" w14:textId="77777777" w:rsidR="008855F4" w:rsidRDefault="008855F4" w:rsidP="00A54AF0">
      <w:pPr>
        <w:spacing w:after="0" w:line="240" w:lineRule="auto"/>
      </w:pPr>
      <w:r>
        <w:separator/>
      </w:r>
    </w:p>
  </w:footnote>
  <w:footnote w:type="continuationSeparator" w:id="0">
    <w:p w14:paraId="5464CBE8" w14:textId="77777777" w:rsidR="008855F4" w:rsidRDefault="008855F4" w:rsidP="00A54AF0">
      <w:pPr>
        <w:spacing w:after="0" w:line="240" w:lineRule="auto"/>
      </w:pPr>
      <w:r>
        <w:continuationSeparator/>
      </w:r>
    </w:p>
  </w:footnote>
  <w:footnote w:id="1">
    <w:p w14:paraId="3459A400" w14:textId="187B74FB" w:rsidR="00F95E98" w:rsidRPr="00297DB1" w:rsidRDefault="00F95E98" w:rsidP="00F95E98">
      <w:pPr>
        <w:pStyle w:val="FootnoteText"/>
        <w:ind w:left="720" w:hanging="720"/>
        <w:jc w:val="both"/>
        <w:rPr>
          <w:rFonts w:ascii="Book Antiqua" w:hAnsi="Book Antiqua"/>
        </w:rPr>
      </w:pPr>
      <w:r w:rsidRPr="00297DB1">
        <w:rPr>
          <w:rStyle w:val="FootnoteReference"/>
          <w:rFonts w:ascii="Book Antiqua" w:hAnsi="Book Antiqua"/>
        </w:rPr>
        <w:footnoteRef/>
      </w:r>
      <w:r w:rsidRPr="00297DB1">
        <w:rPr>
          <w:rFonts w:ascii="Book Antiqua" w:hAnsi="Book Antiqua"/>
        </w:rPr>
        <w:t xml:space="preserve"> </w:t>
      </w:r>
      <w:r w:rsidRPr="00297DB1">
        <w:rPr>
          <w:rFonts w:ascii="Book Antiqua" w:hAnsi="Book Antiqua"/>
        </w:rPr>
        <w:tab/>
        <w:t xml:space="preserve">Anterior a esta Comisión, participó también la Comisión de </w:t>
      </w:r>
      <w:r>
        <w:rPr>
          <w:rFonts w:ascii="Book Antiqua" w:hAnsi="Book Antiqua"/>
        </w:rPr>
        <w:t xml:space="preserve">Asuntos Municipales </w:t>
      </w:r>
      <w:r w:rsidRPr="00297DB1">
        <w:rPr>
          <w:rFonts w:ascii="Book Antiqua" w:hAnsi="Book Antiqua"/>
        </w:rPr>
        <w:t xml:space="preserve">de la Cámara de Representantes. </w:t>
      </w:r>
    </w:p>
  </w:footnote>
  <w:footnote w:id="2">
    <w:p w14:paraId="2E4D4918" w14:textId="2705BD6C" w:rsidR="004860CB" w:rsidRPr="00D15048" w:rsidRDefault="004860CB" w:rsidP="00D15048">
      <w:pPr>
        <w:pStyle w:val="FootnoteText"/>
        <w:ind w:left="720" w:hanging="720"/>
        <w:jc w:val="both"/>
        <w:rPr>
          <w:rFonts w:ascii="Book Antiqua" w:hAnsi="Book Antiqua"/>
        </w:rPr>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t xml:space="preserve">Comisión Estatal de Elecciones (CEE), </w:t>
      </w:r>
      <w:r w:rsidRPr="00D15048">
        <w:rPr>
          <w:rFonts w:ascii="Book Antiqua" w:hAnsi="Book Antiqua"/>
          <w:i/>
          <w:iCs/>
        </w:rPr>
        <w:t>Re: Comentarios de la Presidencia Alterna de la Comisión Estatal de Elecciones al P. de la C. 144</w:t>
      </w:r>
      <w:r w:rsidRPr="00D15048">
        <w:rPr>
          <w:rFonts w:ascii="Book Antiqua" w:hAnsi="Book Antiqua"/>
        </w:rPr>
        <w:t>, pág. 2 (</w:t>
      </w:r>
      <w:r w:rsidR="000D56FC">
        <w:rPr>
          <w:rFonts w:ascii="Book Antiqua" w:hAnsi="Book Antiqua"/>
        </w:rPr>
        <w:t>12 de febrero de 2025).</w:t>
      </w:r>
    </w:p>
  </w:footnote>
  <w:footnote w:id="3">
    <w:p w14:paraId="7EEBF229" w14:textId="77777777" w:rsidR="00D15048" w:rsidRPr="00D15048" w:rsidRDefault="00D15048" w:rsidP="00D15048">
      <w:pPr>
        <w:pStyle w:val="FootnoteText"/>
        <w:jc w:val="both"/>
        <w:rPr>
          <w:rFonts w:ascii="Book Antiqua" w:hAnsi="Book Antiqua"/>
        </w:rPr>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r>
      <w:r w:rsidRPr="00D15048">
        <w:rPr>
          <w:rFonts w:ascii="Book Antiqua" w:hAnsi="Book Antiqua"/>
          <w:i/>
          <w:iCs/>
        </w:rPr>
        <w:t>Íd</w:t>
      </w:r>
      <w:r w:rsidRPr="00D15048">
        <w:rPr>
          <w:rFonts w:ascii="Book Antiqua" w:hAnsi="Book Antiqua"/>
        </w:rPr>
        <w:t xml:space="preserve">., pág. 2. </w:t>
      </w:r>
    </w:p>
  </w:footnote>
  <w:footnote w:id="4">
    <w:p w14:paraId="65F0CBA1" w14:textId="7CB3BEEA" w:rsidR="00D15048" w:rsidRPr="00D15048" w:rsidRDefault="00D15048">
      <w:pPr>
        <w:pStyle w:val="FootnoteText"/>
        <w:rPr>
          <w:rFonts w:ascii="Book Antiqua" w:hAnsi="Book Antiqua"/>
        </w:rPr>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r>
      <w:r w:rsidRPr="00D15048">
        <w:rPr>
          <w:rFonts w:ascii="Book Antiqua" w:hAnsi="Book Antiqua"/>
          <w:i/>
          <w:iCs/>
        </w:rPr>
        <w:t>Íd</w:t>
      </w:r>
      <w:r w:rsidRPr="00D15048">
        <w:rPr>
          <w:rFonts w:ascii="Book Antiqua" w:hAnsi="Book Antiqua"/>
        </w:rPr>
        <w:t xml:space="preserve">., pág. 3. </w:t>
      </w:r>
    </w:p>
  </w:footnote>
  <w:footnote w:id="5">
    <w:p w14:paraId="26C68F59" w14:textId="05927340" w:rsidR="00D52E9E" w:rsidRPr="00D15048" w:rsidRDefault="00D52E9E" w:rsidP="00D15048">
      <w:pPr>
        <w:pStyle w:val="FootnoteText"/>
        <w:ind w:left="720" w:hanging="720"/>
        <w:jc w:val="both"/>
        <w:rPr>
          <w:rFonts w:ascii="Book Antiqua" w:hAnsi="Book Antiqua"/>
        </w:rPr>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t xml:space="preserve">Oficina del Contralor de Puerto Rico (OCPR), Memorial Explicativo, pág. 3 (13 de febrero de 2025). </w:t>
      </w:r>
    </w:p>
  </w:footnote>
  <w:footnote w:id="6">
    <w:p w14:paraId="0694C836" w14:textId="20E49308" w:rsidR="00D52E9E" w:rsidRPr="00D15048" w:rsidRDefault="00D52E9E" w:rsidP="004860CB">
      <w:pPr>
        <w:pStyle w:val="FootnoteText"/>
        <w:ind w:left="720" w:hanging="720"/>
        <w:jc w:val="both"/>
        <w:rPr>
          <w:rFonts w:ascii="Book Antiqua" w:hAnsi="Book Antiqua"/>
        </w:rPr>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r>
      <w:r w:rsidRPr="00D15048">
        <w:rPr>
          <w:rFonts w:ascii="Book Antiqua" w:hAnsi="Book Antiqua"/>
          <w:i/>
          <w:iCs/>
        </w:rPr>
        <w:t>Íd</w:t>
      </w:r>
      <w:r w:rsidRPr="00D15048">
        <w:rPr>
          <w:rFonts w:ascii="Book Antiqua" w:hAnsi="Book Antiqua"/>
        </w:rPr>
        <w:t xml:space="preserve">. </w:t>
      </w:r>
    </w:p>
  </w:footnote>
  <w:footnote w:id="7">
    <w:p w14:paraId="76D23E2E" w14:textId="679D6445" w:rsidR="00D52E9E" w:rsidRPr="00D52E9E" w:rsidRDefault="00D52E9E" w:rsidP="004860CB">
      <w:pPr>
        <w:pStyle w:val="FootnoteText"/>
        <w:ind w:left="720" w:hanging="720"/>
        <w:jc w:val="both"/>
      </w:pPr>
      <w:r w:rsidRPr="00D15048">
        <w:rPr>
          <w:rStyle w:val="FootnoteReference"/>
          <w:rFonts w:ascii="Book Antiqua" w:hAnsi="Book Antiqua"/>
        </w:rPr>
        <w:footnoteRef/>
      </w:r>
      <w:r w:rsidRPr="00D15048">
        <w:rPr>
          <w:rFonts w:ascii="Book Antiqua" w:hAnsi="Book Antiqua"/>
        </w:rPr>
        <w:t xml:space="preserve"> </w:t>
      </w:r>
      <w:r w:rsidRPr="00D15048">
        <w:rPr>
          <w:rFonts w:ascii="Book Antiqua" w:hAnsi="Book Antiqua"/>
        </w:rPr>
        <w:tab/>
      </w:r>
      <w:r w:rsidRPr="00D15048">
        <w:rPr>
          <w:rFonts w:ascii="Book Antiqua" w:hAnsi="Book Antiqua"/>
          <w:i/>
          <w:iCs/>
        </w:rPr>
        <w:t>Íd</w:t>
      </w:r>
      <w:r w:rsidRPr="00D15048">
        <w:rPr>
          <w:rFonts w:ascii="Book Antiqua" w:hAnsi="Book Antiqua"/>
        </w:rPr>
        <w:t>.</w:t>
      </w:r>
      <w:r>
        <w:t xml:space="preserve"> </w:t>
      </w:r>
    </w:p>
  </w:footnote>
  <w:footnote w:id="8">
    <w:p w14:paraId="7EA31980" w14:textId="582DE9EC" w:rsidR="00413AC3" w:rsidRPr="00BC3D58" w:rsidRDefault="00413AC3" w:rsidP="00BC3D58">
      <w:pPr>
        <w:pStyle w:val="FootnoteText"/>
        <w:ind w:left="720" w:hanging="720"/>
        <w:jc w:val="both"/>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 xml:space="preserve">., pág. 4. </w:t>
      </w:r>
    </w:p>
  </w:footnote>
  <w:footnote w:id="9">
    <w:p w14:paraId="43E2912D" w14:textId="6A9F3A21" w:rsidR="00413AC3" w:rsidRPr="00BC3D58" w:rsidRDefault="00413AC3" w:rsidP="00BC3D58">
      <w:pPr>
        <w:pStyle w:val="FootnoteText"/>
        <w:ind w:left="720" w:hanging="720"/>
        <w:jc w:val="both"/>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w:t>
      </w:r>
    </w:p>
  </w:footnote>
  <w:footnote w:id="10">
    <w:p w14:paraId="1F0AF85B" w14:textId="1AEBF1E4" w:rsidR="00F178FD" w:rsidRPr="00BC3D58" w:rsidRDefault="00F178FD" w:rsidP="00BC3D58">
      <w:pPr>
        <w:pStyle w:val="FootnoteText"/>
        <w:ind w:left="720" w:hanging="720"/>
        <w:jc w:val="both"/>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t xml:space="preserve">Oficina del Contralor Electoral, </w:t>
      </w:r>
      <w:r w:rsidRPr="00BC3D58">
        <w:rPr>
          <w:rFonts w:ascii="Book Antiqua" w:hAnsi="Book Antiqua"/>
          <w:i/>
          <w:iCs/>
        </w:rPr>
        <w:t>P. de la C. 67, 68 y 144</w:t>
      </w:r>
      <w:r w:rsidRPr="00BC3D58">
        <w:rPr>
          <w:rFonts w:ascii="Book Antiqua" w:hAnsi="Book Antiqua"/>
        </w:rPr>
        <w:t xml:space="preserve"> (4 de febrero de 2025). </w:t>
      </w:r>
    </w:p>
  </w:footnote>
  <w:footnote w:id="11">
    <w:p w14:paraId="15D433FB" w14:textId="44B378DD" w:rsidR="00F178FD" w:rsidRPr="00BC3D58" w:rsidRDefault="00F178FD" w:rsidP="00BC3D58">
      <w:pPr>
        <w:pStyle w:val="FootnoteText"/>
        <w:ind w:left="720" w:hanging="720"/>
        <w:jc w:val="both"/>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w:t>
      </w:r>
    </w:p>
  </w:footnote>
  <w:footnote w:id="12">
    <w:p w14:paraId="50662B06" w14:textId="31C2775A" w:rsidR="00BC3D58" w:rsidRPr="00BC3D58" w:rsidRDefault="00BC3D58" w:rsidP="00BC3D58">
      <w:pPr>
        <w:pStyle w:val="FootnoteText"/>
        <w:ind w:left="720" w:hanging="720"/>
        <w:jc w:val="both"/>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t xml:space="preserve">Oficina de los Comisionados Electorales del Partido Nuevo Progresista (OCEPNP), </w:t>
      </w:r>
      <w:r w:rsidRPr="00BC3D58">
        <w:rPr>
          <w:rFonts w:ascii="Book Antiqua" w:hAnsi="Book Antiqua"/>
          <w:i/>
          <w:iCs/>
        </w:rPr>
        <w:t>Ponencia de los comisionados Electorales del partido Nuevo Progresistas, Lcdo. Aníbal Vega Borges y Felixavier Méndez Soto con respecto al Proyecto de la Cámara 144 (P. de la C. 144), de la autoría del Hon. Ángel Morey Noble</w:t>
      </w:r>
      <w:r w:rsidRPr="00BC3D58">
        <w:rPr>
          <w:rFonts w:ascii="Book Antiqua" w:hAnsi="Book Antiqua"/>
        </w:rPr>
        <w:t>, pág. 1 (17 de abril de 2026).</w:t>
      </w:r>
    </w:p>
  </w:footnote>
  <w:footnote w:id="13">
    <w:p w14:paraId="488D8D53" w14:textId="38761A89" w:rsidR="00852ADC" w:rsidRPr="00852ADC" w:rsidRDefault="00852ADC" w:rsidP="00B92A14">
      <w:pPr>
        <w:pStyle w:val="FootnoteText"/>
        <w:ind w:left="720" w:hanging="720"/>
        <w:jc w:val="both"/>
      </w:pPr>
      <w:r w:rsidRPr="00B92A14">
        <w:rPr>
          <w:rStyle w:val="FootnoteReference"/>
          <w:rFonts w:ascii="Book Antiqua" w:hAnsi="Book Antiqua"/>
        </w:rPr>
        <w:footnoteRef/>
      </w:r>
      <w:r w:rsidRPr="00B92A14">
        <w:rPr>
          <w:rFonts w:ascii="Book Antiqua" w:hAnsi="Book Antiqua"/>
        </w:rPr>
        <w:t xml:space="preserve"> </w:t>
      </w:r>
      <w:r w:rsidRPr="00B92A14">
        <w:rPr>
          <w:rFonts w:ascii="Book Antiqua" w:hAnsi="Book Antiqua"/>
        </w:rPr>
        <w:tab/>
      </w:r>
      <w:r w:rsidR="00BC3D58" w:rsidRPr="00BC3D58">
        <w:rPr>
          <w:rFonts w:ascii="Book Antiqua" w:hAnsi="Book Antiqua"/>
          <w:i/>
          <w:iCs/>
        </w:rPr>
        <w:t>Íd</w:t>
      </w:r>
      <w:r w:rsidR="00BC3D58">
        <w:rPr>
          <w:rFonts w:ascii="Book Antiqua" w:hAnsi="Book Antiqua"/>
        </w:rPr>
        <w:t xml:space="preserve">., pág. 2. </w:t>
      </w:r>
      <w:r w:rsidR="00B92A14">
        <w:t xml:space="preserve"> </w:t>
      </w:r>
    </w:p>
  </w:footnote>
  <w:footnote w:id="14">
    <w:p w14:paraId="2AA186AC" w14:textId="4D43B56D" w:rsidR="00E771EE" w:rsidRPr="0043234D" w:rsidRDefault="00E771EE" w:rsidP="00E771EE">
      <w:pPr>
        <w:pStyle w:val="FootnoteText"/>
        <w:ind w:left="720" w:hanging="720"/>
        <w:rPr>
          <w:rFonts w:ascii="Book Antiqua" w:hAnsi="Book Antiqua"/>
        </w:rPr>
      </w:pPr>
      <w:r w:rsidRPr="00E771EE">
        <w:rPr>
          <w:rStyle w:val="FootnoteReference"/>
          <w:rFonts w:ascii="Book Antiqua" w:hAnsi="Book Antiqua"/>
        </w:rPr>
        <w:footnoteRef/>
      </w:r>
      <w:r w:rsidRPr="00E771EE">
        <w:rPr>
          <w:rFonts w:ascii="Book Antiqua" w:hAnsi="Book Antiqua"/>
        </w:rPr>
        <w:t xml:space="preserve"> </w:t>
      </w:r>
      <w:r w:rsidRPr="0043234D">
        <w:rPr>
          <w:rFonts w:ascii="Book Antiqua" w:hAnsi="Book Antiqua"/>
        </w:rPr>
        <w:tab/>
      </w:r>
      <w:r w:rsidRPr="0043234D">
        <w:rPr>
          <w:rFonts w:ascii="Book Antiqua" w:hAnsi="Book Antiqua"/>
          <w:i/>
          <w:iCs/>
        </w:rPr>
        <w:t>Íd</w:t>
      </w:r>
      <w:r w:rsidRPr="0043234D">
        <w:rPr>
          <w:rFonts w:ascii="Book Antiqua" w:hAnsi="Book Antiqua"/>
        </w:rPr>
        <w:t xml:space="preserve">., pág. 4. </w:t>
      </w:r>
    </w:p>
  </w:footnote>
  <w:footnote w:id="15">
    <w:p w14:paraId="3CB79C22" w14:textId="4F991803" w:rsidR="00E771EE" w:rsidRPr="0043234D" w:rsidRDefault="00E771EE" w:rsidP="00E771EE">
      <w:pPr>
        <w:pStyle w:val="FootnoteText"/>
        <w:ind w:left="720" w:hanging="720"/>
        <w:rPr>
          <w:rFonts w:ascii="Book Antiqua" w:hAnsi="Book Antiqua"/>
          <w:lang w:val="pt-BR"/>
        </w:rPr>
      </w:pPr>
      <w:r w:rsidRPr="00E771EE">
        <w:rPr>
          <w:rStyle w:val="FootnoteReference"/>
          <w:rFonts w:ascii="Book Antiqua" w:hAnsi="Book Antiqua"/>
        </w:rPr>
        <w:footnoteRef/>
      </w:r>
      <w:r w:rsidRPr="00E771EE">
        <w:rPr>
          <w:rFonts w:ascii="Book Antiqua" w:hAnsi="Book Antiqua"/>
        </w:rPr>
        <w:t xml:space="preserve"> </w:t>
      </w:r>
      <w:r w:rsidRPr="00E771EE">
        <w:rPr>
          <w:rFonts w:ascii="Book Antiqua" w:hAnsi="Book Antiqua"/>
        </w:rPr>
        <w:tab/>
      </w:r>
      <w:r w:rsidRPr="00E771EE">
        <w:rPr>
          <w:rFonts w:ascii="Book Antiqua" w:hAnsi="Book Antiqua"/>
          <w:i/>
          <w:iCs/>
        </w:rPr>
        <w:t>Íd</w:t>
      </w:r>
      <w:r w:rsidRPr="00E771EE">
        <w:rPr>
          <w:rFonts w:ascii="Book Antiqua" w:hAnsi="Book Antiqua"/>
        </w:rPr>
        <w:t xml:space="preserve">., págs. </w:t>
      </w:r>
      <w:r w:rsidRPr="0043234D">
        <w:rPr>
          <w:rFonts w:ascii="Book Antiqua" w:hAnsi="Book Antiqua"/>
          <w:lang w:val="pt-BR"/>
        </w:rPr>
        <w:t xml:space="preserve">1-2. </w:t>
      </w:r>
    </w:p>
  </w:footnote>
  <w:footnote w:id="16">
    <w:p w14:paraId="48DF74D7" w14:textId="20228135" w:rsidR="00241A75" w:rsidRPr="0043234D" w:rsidRDefault="00241A75">
      <w:pPr>
        <w:pStyle w:val="FootnoteText"/>
        <w:rPr>
          <w:rFonts w:ascii="Book Antiqua" w:hAnsi="Book Antiqua" w:cs="Times New Roman"/>
          <w:lang w:val="pt-BR"/>
        </w:rPr>
      </w:pPr>
      <w:r w:rsidRPr="00BC3D58">
        <w:rPr>
          <w:rStyle w:val="FootnoteReference"/>
          <w:rFonts w:ascii="Book Antiqua" w:hAnsi="Book Antiqua"/>
        </w:rPr>
        <w:footnoteRef/>
      </w:r>
      <w:r w:rsidRPr="0043234D">
        <w:rPr>
          <w:rFonts w:ascii="Book Antiqua" w:hAnsi="Book Antiqua" w:cs="Times New Roman"/>
          <w:lang w:val="pt-BR"/>
        </w:rPr>
        <w:t xml:space="preserve"> </w:t>
      </w:r>
      <w:r w:rsidRPr="0043234D">
        <w:rPr>
          <w:rFonts w:ascii="Book Antiqua" w:hAnsi="Book Antiqua" w:cs="Times New Roman"/>
          <w:lang w:val="pt-BR"/>
        </w:rPr>
        <w:tab/>
      </w:r>
      <w:r w:rsidRPr="0043234D">
        <w:rPr>
          <w:rFonts w:ascii="Book Antiqua" w:hAnsi="Book Antiqua" w:cs="Times New Roman"/>
          <w:i/>
          <w:iCs/>
          <w:lang w:val="pt-BR"/>
        </w:rPr>
        <w:t>Íd</w:t>
      </w:r>
      <w:r w:rsidRPr="0043234D">
        <w:rPr>
          <w:rFonts w:ascii="Book Antiqua" w:hAnsi="Book Antiqua" w:cs="Times New Roman"/>
          <w:lang w:val="pt-BR"/>
        </w:rPr>
        <w:t xml:space="preserve">., </w:t>
      </w:r>
      <w:r w:rsidRPr="0043234D">
        <w:rPr>
          <w:rFonts w:ascii="Book Antiqua" w:hAnsi="Book Antiqua" w:cs="Times New Roman"/>
          <w:lang w:val="pt-BR"/>
        </w:rPr>
        <w:t xml:space="preserve">pág. 3. </w:t>
      </w:r>
    </w:p>
  </w:footnote>
  <w:footnote w:id="17">
    <w:p w14:paraId="18DE6FF5" w14:textId="03BA62BE" w:rsidR="001E493E" w:rsidRPr="00BC3D58" w:rsidRDefault="001E493E">
      <w:pPr>
        <w:pStyle w:val="FootnoteText"/>
        <w:rPr>
          <w:rFonts w:ascii="Book Antiqua" w:hAnsi="Book Antiqua" w:cs="Times New Roman"/>
          <w:lang w:val="pt-BR"/>
        </w:rPr>
      </w:pPr>
      <w:r w:rsidRPr="00BC3D58">
        <w:rPr>
          <w:rStyle w:val="FootnoteReference"/>
          <w:rFonts w:ascii="Book Antiqua" w:hAnsi="Book Antiqua"/>
        </w:rPr>
        <w:footnoteRef/>
      </w:r>
      <w:r w:rsidRPr="00BC3D58">
        <w:rPr>
          <w:rFonts w:ascii="Book Antiqua" w:hAnsi="Book Antiqua" w:cs="Times New Roman"/>
          <w:lang w:val="pt-BR"/>
        </w:rPr>
        <w:t xml:space="preserve"> </w:t>
      </w:r>
      <w:r w:rsidR="004F1E7A" w:rsidRPr="00BC3D58">
        <w:rPr>
          <w:rFonts w:ascii="Book Antiqua" w:hAnsi="Book Antiqua" w:cs="Times New Roman"/>
          <w:lang w:val="pt-BR"/>
        </w:rPr>
        <w:tab/>
      </w:r>
      <w:r w:rsidR="004F1E7A" w:rsidRPr="00BC3D58">
        <w:rPr>
          <w:rFonts w:ascii="Book Antiqua" w:hAnsi="Book Antiqua" w:cs="Times New Roman"/>
          <w:i/>
          <w:iCs/>
          <w:lang w:val="pt-BR"/>
        </w:rPr>
        <w:t xml:space="preserve">Romero </w:t>
      </w:r>
      <w:r w:rsidR="004F1E7A" w:rsidRPr="00BC3D58">
        <w:rPr>
          <w:rFonts w:ascii="Book Antiqua" w:hAnsi="Book Antiqua" w:cs="Times New Roman"/>
          <w:i/>
          <w:iCs/>
          <w:lang w:val="pt-BR"/>
        </w:rPr>
        <w:t>Lugo v. Cruz Soto</w:t>
      </w:r>
      <w:r w:rsidR="004F1E7A" w:rsidRPr="00BC3D58">
        <w:rPr>
          <w:rFonts w:ascii="Book Antiqua" w:hAnsi="Book Antiqua" w:cs="Times New Roman"/>
          <w:lang w:val="pt-BR"/>
        </w:rPr>
        <w:t xml:space="preserve">, 205 DPR 972 (2020). </w:t>
      </w:r>
    </w:p>
  </w:footnote>
  <w:footnote w:id="18">
    <w:p w14:paraId="7CED4D4D" w14:textId="34CAEF9C" w:rsidR="004F1E7A" w:rsidRPr="0043234D" w:rsidRDefault="004F1E7A">
      <w:pPr>
        <w:pStyle w:val="FootnoteText"/>
        <w:rPr>
          <w:rFonts w:ascii="Book Antiqua" w:hAnsi="Book Antiqua"/>
        </w:rPr>
      </w:pPr>
      <w:r w:rsidRPr="00BC3D58">
        <w:rPr>
          <w:rStyle w:val="FootnoteReference"/>
          <w:rFonts w:ascii="Book Antiqua" w:hAnsi="Book Antiqua"/>
        </w:rPr>
        <w:footnoteRef/>
      </w:r>
      <w:r w:rsidRPr="0043234D">
        <w:rPr>
          <w:rFonts w:ascii="Book Antiqua" w:hAnsi="Book Antiqua" w:cs="Times New Roman"/>
        </w:rPr>
        <w:t xml:space="preserve"> </w:t>
      </w:r>
      <w:r w:rsidRPr="0043234D">
        <w:rPr>
          <w:rFonts w:ascii="Book Antiqua" w:hAnsi="Book Antiqua" w:cs="Times New Roman"/>
        </w:rPr>
        <w:tab/>
        <w:t xml:space="preserve">Véase OCEPNP, </w:t>
      </w:r>
      <w:r w:rsidRPr="0043234D">
        <w:rPr>
          <w:rFonts w:ascii="Book Antiqua" w:hAnsi="Book Antiqua" w:cs="Times New Roman"/>
          <w:i/>
          <w:iCs/>
        </w:rPr>
        <w:t>supra</w:t>
      </w:r>
      <w:r w:rsidRPr="0043234D">
        <w:rPr>
          <w:rFonts w:ascii="Book Antiqua" w:hAnsi="Book Antiqua" w:cs="Times New Roman"/>
        </w:rPr>
        <w:t>, págs. 5-6.</w:t>
      </w:r>
    </w:p>
  </w:footnote>
  <w:footnote w:id="19">
    <w:p w14:paraId="21B94633" w14:textId="3399A5D4" w:rsidR="00BC3D58" w:rsidRPr="00BC3D58" w:rsidRDefault="00BC3D58">
      <w:pPr>
        <w:pStyle w:val="FootnoteText"/>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 xml:space="preserve">., pág. 5. </w:t>
      </w:r>
    </w:p>
  </w:footnote>
  <w:footnote w:id="20">
    <w:p w14:paraId="3F9890FD" w14:textId="22CE0748" w:rsidR="00BC3D58" w:rsidRPr="00BC3D58" w:rsidRDefault="00BC3D58">
      <w:pPr>
        <w:pStyle w:val="FootnoteText"/>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w:t>
      </w:r>
    </w:p>
  </w:footnote>
  <w:footnote w:id="21">
    <w:p w14:paraId="18166D53" w14:textId="2A867D1B" w:rsidR="00BC3D58" w:rsidRPr="00BC3D58" w:rsidRDefault="00BC3D58">
      <w:pPr>
        <w:pStyle w:val="FootnoteText"/>
        <w:rPr>
          <w:rFonts w:ascii="Book Antiqua" w:hAnsi="Book Antiqua"/>
        </w:rPr>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r>
      <w:r w:rsidRPr="00BC3D58">
        <w:rPr>
          <w:rFonts w:ascii="Book Antiqua" w:hAnsi="Book Antiqua"/>
          <w:i/>
          <w:iCs/>
        </w:rPr>
        <w:t>Íd</w:t>
      </w:r>
      <w:r w:rsidRPr="00BC3D58">
        <w:rPr>
          <w:rFonts w:ascii="Book Antiqua" w:hAnsi="Book Antiqua"/>
        </w:rPr>
        <w:t xml:space="preserve">., pág. 6. </w:t>
      </w:r>
    </w:p>
  </w:footnote>
  <w:footnote w:id="22">
    <w:p w14:paraId="11CC5A7E" w14:textId="62DCD104" w:rsidR="00D3195C" w:rsidRPr="00D3195C" w:rsidRDefault="00D3195C" w:rsidP="00D3195C">
      <w:pPr>
        <w:pStyle w:val="FootnoteText"/>
        <w:ind w:left="720" w:hanging="720"/>
      </w:pPr>
      <w:r w:rsidRPr="00BC3D58">
        <w:rPr>
          <w:rStyle w:val="FootnoteReference"/>
          <w:rFonts w:ascii="Book Antiqua" w:hAnsi="Book Antiqua"/>
        </w:rPr>
        <w:footnoteRef/>
      </w:r>
      <w:r w:rsidRPr="00BC3D58">
        <w:rPr>
          <w:rFonts w:ascii="Book Antiqua" w:hAnsi="Book Antiqua"/>
        </w:rPr>
        <w:t xml:space="preserve"> </w:t>
      </w:r>
      <w:r w:rsidRPr="00BC3D58">
        <w:rPr>
          <w:rFonts w:ascii="Book Antiqua" w:hAnsi="Book Antiqua"/>
        </w:rPr>
        <w:tab/>
        <w:t xml:space="preserve">Oficina de los Comisionados Electorales del Partido Popular Democrático, </w:t>
      </w:r>
      <w:r w:rsidRPr="00BC3D58">
        <w:rPr>
          <w:rFonts w:ascii="Book Antiqua" w:hAnsi="Book Antiqua"/>
          <w:i/>
          <w:iCs/>
        </w:rPr>
        <w:t>Memorial Explicativo Proyectos de la Cámara 67, 68 y 144</w:t>
      </w:r>
      <w:r w:rsidRPr="00BC3D58">
        <w:rPr>
          <w:rFonts w:ascii="Book Antiqua" w:hAnsi="Book Antiqua"/>
        </w:rPr>
        <w:t xml:space="preserve"> (5 de mayo de 2026).</w:t>
      </w:r>
      <w:r>
        <w:rPr>
          <w:rFonts w:ascii="Book Antiqua" w:hAnsi="Book Antiqua"/>
        </w:rPr>
        <w:t xml:space="preserve"> </w:t>
      </w:r>
    </w:p>
  </w:footnote>
  <w:footnote w:id="23">
    <w:p w14:paraId="7E0580EA" w14:textId="3AC1741F" w:rsidR="000925BB" w:rsidRPr="007B1F6C" w:rsidRDefault="000925BB" w:rsidP="007B1F6C">
      <w:pPr>
        <w:pStyle w:val="FootnoteText"/>
        <w:ind w:left="720" w:hanging="720"/>
        <w:jc w:val="both"/>
        <w:rPr>
          <w:rFonts w:ascii="Book Antiqua" w:hAnsi="Book Antiqua"/>
        </w:rPr>
      </w:pPr>
      <w:r w:rsidRPr="00E771EE">
        <w:rPr>
          <w:rStyle w:val="FootnoteReference"/>
          <w:rFonts w:ascii="Book Antiqua" w:hAnsi="Book Antiqua"/>
        </w:rPr>
        <w:footnoteRef/>
      </w:r>
      <w:r w:rsidRPr="00E771EE">
        <w:rPr>
          <w:rFonts w:ascii="Book Antiqua" w:hAnsi="Book Antiqua"/>
        </w:rPr>
        <w:t xml:space="preserve"> </w:t>
      </w:r>
      <w:r w:rsidRPr="00E771EE">
        <w:rPr>
          <w:rFonts w:ascii="Book Antiqua" w:hAnsi="Book Antiqua"/>
        </w:rPr>
        <w:tab/>
      </w:r>
      <w:r w:rsidR="00D3195C">
        <w:rPr>
          <w:rFonts w:ascii="Book Antiqua" w:hAnsi="Book Antiqua"/>
        </w:rPr>
        <w:t xml:space="preserve">Oficina de los </w:t>
      </w:r>
      <w:r w:rsidRPr="00E771EE">
        <w:rPr>
          <w:rFonts w:ascii="Book Antiqua" w:hAnsi="Book Antiqua"/>
        </w:rPr>
        <w:t>Comisionado</w:t>
      </w:r>
      <w:r w:rsidR="00D3195C">
        <w:rPr>
          <w:rFonts w:ascii="Book Antiqua" w:hAnsi="Book Antiqua"/>
        </w:rPr>
        <w:t>s</w:t>
      </w:r>
      <w:r w:rsidRPr="00E771EE">
        <w:rPr>
          <w:rFonts w:ascii="Book Antiqua" w:hAnsi="Book Antiqua"/>
        </w:rPr>
        <w:t xml:space="preserve"> Electoral</w:t>
      </w:r>
      <w:r w:rsidR="00D3195C">
        <w:rPr>
          <w:rFonts w:ascii="Book Antiqua" w:hAnsi="Book Antiqua"/>
        </w:rPr>
        <w:t>es</w:t>
      </w:r>
      <w:r w:rsidRPr="00E771EE">
        <w:rPr>
          <w:rFonts w:ascii="Book Antiqua" w:hAnsi="Book Antiqua"/>
        </w:rPr>
        <w:t xml:space="preserve"> del Partido Independentista Puertorriqueño, </w:t>
      </w:r>
      <w:r w:rsidRPr="00E771EE">
        <w:rPr>
          <w:rFonts w:ascii="Book Antiqua" w:hAnsi="Book Antiqua"/>
          <w:i/>
          <w:iCs/>
        </w:rPr>
        <w:t xml:space="preserve">Sobre la solicitud de ponencia sobre los Proyectos de la Cámara 67, 68 y 144 le notifico que nuestra delegación en la </w:t>
      </w:r>
      <w:r w:rsidRPr="007B1F6C">
        <w:rPr>
          <w:rFonts w:ascii="Book Antiqua" w:hAnsi="Book Antiqua"/>
          <w:i/>
          <w:iCs/>
        </w:rPr>
        <w:t xml:space="preserve">Cámara será la encargada de </w:t>
      </w:r>
      <w:proofErr w:type="spellStart"/>
      <w:r w:rsidRPr="007B1F6C">
        <w:rPr>
          <w:rFonts w:ascii="Book Antiqua" w:hAnsi="Book Antiqua"/>
          <w:i/>
          <w:iCs/>
        </w:rPr>
        <w:t>de</w:t>
      </w:r>
      <w:proofErr w:type="spellEnd"/>
      <w:r w:rsidRPr="007B1F6C">
        <w:rPr>
          <w:rFonts w:ascii="Book Antiqua" w:hAnsi="Book Antiqua"/>
          <w:i/>
          <w:iCs/>
        </w:rPr>
        <w:t xml:space="preserve"> [sic] plantear nuestra posición con respecto a los proyectos señalados. Gracias por la invitación, Claribel …</w:t>
      </w:r>
      <w:r w:rsidRPr="007B1F6C">
        <w:rPr>
          <w:rFonts w:ascii="Book Antiqua" w:hAnsi="Book Antiqua"/>
        </w:rPr>
        <w:t xml:space="preserve"> (13 de febrero de 2025, 11:40 a.m.). </w:t>
      </w:r>
    </w:p>
  </w:footnote>
  <w:footnote w:id="24">
    <w:p w14:paraId="6131CB1D" w14:textId="38A0F42A" w:rsidR="007B1F6C" w:rsidRPr="007B1F6C" w:rsidRDefault="007B1F6C" w:rsidP="007B1F6C">
      <w:pPr>
        <w:pStyle w:val="FootnoteText"/>
        <w:ind w:left="720" w:hanging="720"/>
        <w:rPr>
          <w:rFonts w:ascii="Book Antiqua" w:hAnsi="Book Antiqua"/>
        </w:rPr>
      </w:pPr>
      <w:r w:rsidRPr="007B1F6C">
        <w:rPr>
          <w:rStyle w:val="FootnoteReference"/>
          <w:rFonts w:ascii="Book Antiqua" w:hAnsi="Book Antiqua"/>
        </w:rPr>
        <w:footnoteRef/>
      </w:r>
      <w:r w:rsidRPr="007B1F6C">
        <w:rPr>
          <w:rFonts w:ascii="Book Antiqua" w:hAnsi="Book Antiqua"/>
        </w:rPr>
        <w:t xml:space="preserve"> </w:t>
      </w:r>
      <w:r w:rsidRPr="007B1F6C">
        <w:rPr>
          <w:rFonts w:ascii="Book Antiqua" w:hAnsi="Book Antiqua"/>
        </w:rPr>
        <w:tab/>
        <w:t xml:space="preserve">Asociación de </w:t>
      </w:r>
      <w:proofErr w:type="gramStart"/>
      <w:r w:rsidRPr="007B1F6C">
        <w:rPr>
          <w:rFonts w:ascii="Book Antiqua" w:hAnsi="Book Antiqua"/>
        </w:rPr>
        <w:t>Alcaldes</w:t>
      </w:r>
      <w:proofErr w:type="gramEnd"/>
      <w:r w:rsidRPr="007B1F6C">
        <w:rPr>
          <w:rFonts w:ascii="Book Antiqua" w:hAnsi="Book Antiqua"/>
        </w:rPr>
        <w:t xml:space="preserve"> de Puerto Rico, </w:t>
      </w:r>
      <w:r w:rsidRPr="007B1F6C">
        <w:rPr>
          <w:rFonts w:ascii="Book Antiqua" w:hAnsi="Book Antiqua"/>
          <w:i/>
          <w:iCs/>
        </w:rPr>
        <w:t>Sobre el Proyecto de la Cámara 144</w:t>
      </w:r>
      <w:r w:rsidRPr="007B1F6C">
        <w:rPr>
          <w:rFonts w:ascii="Book Antiqua" w:hAnsi="Book Antiqua"/>
        </w:rPr>
        <w:t xml:space="preserve">, pág. 1 (15 de febrero de 2025). </w:t>
      </w:r>
    </w:p>
  </w:footnote>
  <w:footnote w:id="25">
    <w:p w14:paraId="10498665" w14:textId="5124DC67" w:rsidR="007B1F6C" w:rsidRPr="007B1F6C" w:rsidRDefault="007B1F6C">
      <w:pPr>
        <w:pStyle w:val="FootnoteText"/>
        <w:rPr>
          <w:rFonts w:ascii="Book Antiqua" w:hAnsi="Book Antiqua"/>
        </w:rPr>
      </w:pPr>
      <w:r w:rsidRPr="007B1F6C">
        <w:rPr>
          <w:rStyle w:val="FootnoteReference"/>
          <w:rFonts w:ascii="Book Antiqua" w:hAnsi="Book Antiqua"/>
        </w:rPr>
        <w:footnoteRef/>
      </w:r>
      <w:r w:rsidRPr="007B1F6C">
        <w:rPr>
          <w:rFonts w:ascii="Book Antiqua" w:hAnsi="Book Antiqua"/>
        </w:rPr>
        <w:t xml:space="preserve"> </w:t>
      </w:r>
      <w:r w:rsidRPr="007B1F6C">
        <w:rPr>
          <w:rFonts w:ascii="Book Antiqua" w:hAnsi="Book Antiqua"/>
        </w:rPr>
        <w:tab/>
      </w:r>
      <w:r w:rsidRPr="007B1F6C">
        <w:rPr>
          <w:rFonts w:ascii="Book Antiqua" w:hAnsi="Book Antiqua"/>
          <w:i/>
          <w:iCs/>
        </w:rPr>
        <w:t>Íd</w:t>
      </w:r>
      <w:r w:rsidRPr="007B1F6C">
        <w:rPr>
          <w:rFonts w:ascii="Book Antiqua" w:hAnsi="Book Antiqua"/>
        </w:rPr>
        <w:t>., pág. 2.</w:t>
      </w:r>
    </w:p>
  </w:footnote>
  <w:footnote w:id="26">
    <w:p w14:paraId="6AAFFE12" w14:textId="123B88B6" w:rsidR="007B1F6C" w:rsidRPr="007B1F6C" w:rsidRDefault="007B1F6C">
      <w:pPr>
        <w:pStyle w:val="FootnoteText"/>
      </w:pPr>
      <w:r w:rsidRPr="007B1F6C">
        <w:rPr>
          <w:rStyle w:val="FootnoteReference"/>
          <w:rFonts w:ascii="Book Antiqua" w:hAnsi="Book Antiqua"/>
        </w:rPr>
        <w:footnoteRef/>
      </w:r>
      <w:r w:rsidRPr="007B1F6C">
        <w:rPr>
          <w:rFonts w:ascii="Book Antiqua" w:hAnsi="Book Antiqua"/>
        </w:rPr>
        <w:t xml:space="preserve"> </w:t>
      </w:r>
      <w:r w:rsidRPr="007B1F6C">
        <w:rPr>
          <w:rFonts w:ascii="Book Antiqua" w:hAnsi="Book Antiqua"/>
        </w:rPr>
        <w:tab/>
      </w:r>
      <w:r w:rsidRPr="007B1F6C">
        <w:rPr>
          <w:rFonts w:ascii="Book Antiqua" w:hAnsi="Book Antiqua"/>
          <w:i/>
          <w:iCs/>
        </w:rPr>
        <w:t>Íd</w:t>
      </w:r>
      <w:r w:rsidRPr="007B1F6C">
        <w:rPr>
          <w:rFonts w:ascii="Book Antiqua" w:hAnsi="Book Antiqua"/>
        </w:rPr>
        <w:t>.</w:t>
      </w:r>
    </w:p>
  </w:footnote>
  <w:footnote w:id="27">
    <w:p w14:paraId="7E5CE45A" w14:textId="62AF9C0D" w:rsidR="0062757D" w:rsidRPr="00560742" w:rsidRDefault="0062757D">
      <w:pPr>
        <w:pStyle w:val="FootnoteText"/>
        <w:rPr>
          <w:rFonts w:ascii="Book Antiqua" w:hAnsi="Book Antiqua"/>
        </w:rPr>
      </w:pPr>
      <w:r w:rsidRPr="0062757D">
        <w:rPr>
          <w:rStyle w:val="FootnoteReference"/>
          <w:rFonts w:ascii="Book Antiqua" w:hAnsi="Book Antiqua"/>
        </w:rPr>
        <w:footnoteRef/>
      </w:r>
      <w:r w:rsidRPr="0062757D">
        <w:rPr>
          <w:rFonts w:ascii="Book Antiqua" w:hAnsi="Book Antiqua"/>
        </w:rPr>
        <w:t xml:space="preserve"> </w:t>
      </w:r>
      <w:r w:rsidRPr="00560742">
        <w:rPr>
          <w:rFonts w:ascii="Book Antiqua" w:hAnsi="Book Antiqua"/>
        </w:rPr>
        <w:tab/>
      </w:r>
      <w:r w:rsidRPr="00560742">
        <w:rPr>
          <w:rFonts w:ascii="Book Antiqua" w:hAnsi="Book Antiqua"/>
          <w:i/>
          <w:iCs/>
        </w:rPr>
        <w:t>Íd.</w:t>
      </w:r>
    </w:p>
  </w:footnote>
  <w:footnote w:id="28">
    <w:p w14:paraId="11DD32BE" w14:textId="005D3C4A" w:rsidR="00316553" w:rsidRPr="00181516" w:rsidRDefault="00316553" w:rsidP="00181516">
      <w:pPr>
        <w:pStyle w:val="FootnoteText"/>
        <w:ind w:left="720" w:hanging="720"/>
        <w:jc w:val="both"/>
        <w:rPr>
          <w:rFonts w:ascii="Book Antiqua" w:hAnsi="Book Antiqua"/>
        </w:rPr>
      </w:pPr>
      <w:r w:rsidRPr="00181516">
        <w:rPr>
          <w:rStyle w:val="FootnoteReference"/>
          <w:rFonts w:ascii="Book Antiqua" w:hAnsi="Book Antiqua"/>
        </w:rPr>
        <w:footnoteRef/>
      </w:r>
      <w:r w:rsidRPr="00181516">
        <w:rPr>
          <w:rFonts w:ascii="Book Antiqua" w:hAnsi="Book Antiqua"/>
        </w:rPr>
        <w:t xml:space="preserve"> </w:t>
      </w:r>
      <w:r w:rsidRPr="00181516">
        <w:rPr>
          <w:rFonts w:ascii="Book Antiqua" w:hAnsi="Book Antiqua"/>
        </w:rPr>
        <w:tab/>
      </w:r>
      <w:r w:rsidR="00787C4C" w:rsidRPr="00181516">
        <w:rPr>
          <w:rFonts w:ascii="Book Antiqua" w:hAnsi="Book Antiqua"/>
        </w:rPr>
        <w:t xml:space="preserve">Oficina de Servicios Legislativos (OSL), </w:t>
      </w:r>
      <w:r w:rsidR="00787C4C" w:rsidRPr="00181516">
        <w:rPr>
          <w:rFonts w:ascii="Book Antiqua" w:hAnsi="Book Antiqua"/>
          <w:i/>
          <w:iCs/>
        </w:rPr>
        <w:t>Memorial explicativo sobre el P. de la C. 144</w:t>
      </w:r>
      <w:r w:rsidR="00787C4C" w:rsidRPr="00181516">
        <w:rPr>
          <w:rFonts w:ascii="Book Antiqua" w:hAnsi="Book Antiqua"/>
        </w:rPr>
        <w:t xml:space="preserve">, pág. 4 (24 de abril de 2026). </w:t>
      </w:r>
    </w:p>
  </w:footnote>
  <w:footnote w:id="29">
    <w:p w14:paraId="2B610400" w14:textId="57987754" w:rsidR="00316553" w:rsidRPr="00181516" w:rsidRDefault="00316553" w:rsidP="00181516">
      <w:pPr>
        <w:pStyle w:val="FootnoteText"/>
        <w:ind w:left="720" w:hanging="720"/>
        <w:jc w:val="both"/>
        <w:rPr>
          <w:rFonts w:ascii="Book Antiqua" w:hAnsi="Book Antiqua"/>
        </w:rPr>
      </w:pPr>
      <w:r w:rsidRPr="00181516">
        <w:rPr>
          <w:rStyle w:val="FootnoteReference"/>
          <w:rFonts w:ascii="Book Antiqua" w:hAnsi="Book Antiqua"/>
        </w:rPr>
        <w:footnoteRef/>
      </w:r>
      <w:r w:rsidRPr="00181516">
        <w:rPr>
          <w:rFonts w:ascii="Book Antiqua" w:hAnsi="Book Antiqua"/>
        </w:rPr>
        <w:t xml:space="preserve"> </w:t>
      </w:r>
      <w:r w:rsidR="00787C4C" w:rsidRPr="00181516">
        <w:rPr>
          <w:rFonts w:ascii="Book Antiqua" w:hAnsi="Book Antiqua"/>
        </w:rPr>
        <w:tab/>
      </w:r>
      <w:r w:rsidR="00951750" w:rsidRPr="00181516">
        <w:rPr>
          <w:rFonts w:ascii="Book Antiqua" w:hAnsi="Book Antiqua"/>
        </w:rPr>
        <w:t xml:space="preserve">Art. 2.001 de la Ley Núm. </w:t>
      </w:r>
      <w:r w:rsidR="00181516" w:rsidRPr="00181516">
        <w:rPr>
          <w:rFonts w:ascii="Book Antiqua" w:hAnsi="Book Antiqua"/>
        </w:rPr>
        <w:t xml:space="preserve">107-2020, según enmendado, conocido como </w:t>
      </w:r>
      <w:r w:rsidR="00181516" w:rsidRPr="00181516">
        <w:rPr>
          <w:rFonts w:ascii="Book Antiqua" w:hAnsi="Book Antiqua"/>
          <w:i/>
          <w:iCs/>
        </w:rPr>
        <w:t>Código Municipal de Puerto Rico</w:t>
      </w:r>
      <w:r w:rsidR="00181516" w:rsidRPr="00181516">
        <w:rPr>
          <w:rFonts w:ascii="Book Antiqua" w:hAnsi="Book Antiqua"/>
        </w:rPr>
        <w:t xml:space="preserve">, 21 LPRA sec. 7141. </w:t>
      </w:r>
    </w:p>
  </w:footnote>
  <w:footnote w:id="30">
    <w:p w14:paraId="1AE9A03F" w14:textId="0CDFA225" w:rsidR="00316553" w:rsidRPr="00181516" w:rsidRDefault="00316553" w:rsidP="00181516">
      <w:pPr>
        <w:pStyle w:val="FootnoteText"/>
        <w:ind w:left="720" w:hanging="720"/>
        <w:jc w:val="both"/>
        <w:rPr>
          <w:rFonts w:ascii="Book Antiqua" w:hAnsi="Book Antiqua"/>
          <w:lang w:val="pt-BR"/>
        </w:rPr>
      </w:pPr>
      <w:r w:rsidRPr="00181516">
        <w:rPr>
          <w:rStyle w:val="FootnoteReference"/>
          <w:rFonts w:ascii="Book Antiqua" w:hAnsi="Book Antiqua"/>
        </w:rPr>
        <w:footnoteRef/>
      </w:r>
      <w:r w:rsidRPr="00181516">
        <w:rPr>
          <w:rFonts w:ascii="Book Antiqua" w:hAnsi="Book Antiqua"/>
          <w:lang w:val="pt-BR"/>
        </w:rPr>
        <w:t xml:space="preserve"> </w:t>
      </w:r>
      <w:r w:rsidR="00787C4C" w:rsidRPr="00181516">
        <w:rPr>
          <w:rFonts w:ascii="Book Antiqua" w:hAnsi="Book Antiqua"/>
          <w:lang w:val="pt-BR"/>
        </w:rPr>
        <w:tab/>
      </w:r>
      <w:r w:rsidR="00787C4C" w:rsidRPr="00181516">
        <w:rPr>
          <w:rFonts w:ascii="Book Antiqua" w:hAnsi="Book Antiqua"/>
          <w:lang w:val="pt-BR"/>
        </w:rPr>
        <w:t xml:space="preserve">OSL, </w:t>
      </w:r>
      <w:r w:rsidR="00787C4C" w:rsidRPr="00181516">
        <w:rPr>
          <w:rFonts w:ascii="Book Antiqua" w:hAnsi="Book Antiqua"/>
          <w:i/>
          <w:iCs/>
          <w:lang w:val="pt-BR"/>
        </w:rPr>
        <w:t>supra</w:t>
      </w:r>
      <w:r w:rsidR="00787C4C" w:rsidRPr="00181516">
        <w:rPr>
          <w:rFonts w:ascii="Book Antiqua" w:hAnsi="Book Antiqua"/>
          <w:lang w:val="pt-BR"/>
        </w:rPr>
        <w:t xml:space="preserve">, pág. 4. </w:t>
      </w:r>
    </w:p>
  </w:footnote>
  <w:footnote w:id="31">
    <w:p w14:paraId="3756A4C1" w14:textId="0F2094BD" w:rsidR="00787C4C" w:rsidRPr="0043234D" w:rsidRDefault="00787C4C" w:rsidP="00181516">
      <w:pPr>
        <w:pStyle w:val="FootnoteText"/>
        <w:jc w:val="both"/>
        <w:rPr>
          <w:lang w:val="pt-BR"/>
        </w:rPr>
      </w:pPr>
      <w:r w:rsidRPr="00181516">
        <w:rPr>
          <w:rStyle w:val="FootnoteReference"/>
          <w:rFonts w:ascii="Book Antiqua" w:hAnsi="Book Antiqua"/>
        </w:rPr>
        <w:footnoteRef/>
      </w:r>
      <w:r w:rsidRPr="0043234D">
        <w:rPr>
          <w:rFonts w:ascii="Book Antiqua" w:hAnsi="Book Antiqua"/>
          <w:lang w:val="pt-BR"/>
        </w:rPr>
        <w:t xml:space="preserve"> </w:t>
      </w:r>
      <w:r w:rsidR="00181516" w:rsidRPr="0043234D">
        <w:rPr>
          <w:rFonts w:ascii="Book Antiqua" w:hAnsi="Book Antiqua"/>
          <w:lang w:val="pt-BR"/>
        </w:rPr>
        <w:tab/>
      </w:r>
      <w:r w:rsidR="00181516" w:rsidRPr="0043234D">
        <w:rPr>
          <w:rFonts w:ascii="Book Antiqua" w:hAnsi="Book Antiqua"/>
          <w:i/>
          <w:iCs/>
          <w:lang w:val="pt-BR"/>
        </w:rPr>
        <w:t>Íd</w:t>
      </w:r>
      <w:r w:rsidR="00181516" w:rsidRPr="0043234D">
        <w:rPr>
          <w:rFonts w:ascii="Book Antiqua" w:hAnsi="Book Antiqua"/>
          <w:lang w:val="pt-BR"/>
        </w:rPr>
        <w:t xml:space="preserve">., </w:t>
      </w:r>
      <w:r w:rsidR="00181516" w:rsidRPr="0043234D">
        <w:rPr>
          <w:rFonts w:ascii="Book Antiqua" w:hAnsi="Book Antiqua"/>
          <w:lang w:val="pt-BR"/>
        </w:rPr>
        <w:t>pág. 4.</w:t>
      </w:r>
      <w:r w:rsidR="00181516" w:rsidRPr="0043234D">
        <w:rPr>
          <w:lang w:val="pt-BR"/>
        </w:rPr>
        <w:t xml:space="preserve"> </w:t>
      </w:r>
    </w:p>
  </w:footnote>
  <w:footnote w:id="32">
    <w:p w14:paraId="4F23A3F8" w14:textId="193247B1" w:rsidR="003E380A" w:rsidRPr="00A043AB" w:rsidRDefault="003E380A">
      <w:pPr>
        <w:pStyle w:val="FootnoteText"/>
        <w:rPr>
          <w:rFonts w:ascii="Book Antiqua" w:hAnsi="Book Antiqua"/>
          <w:lang w:val="pt-BR"/>
        </w:rPr>
      </w:pPr>
      <w:r w:rsidRPr="00A043AB">
        <w:rPr>
          <w:rStyle w:val="FootnoteReference"/>
          <w:rFonts w:ascii="Book Antiqua" w:hAnsi="Book Antiqua"/>
        </w:rPr>
        <w:footnoteRef/>
      </w:r>
      <w:r w:rsidRPr="00A043AB">
        <w:rPr>
          <w:rFonts w:ascii="Book Antiqua" w:hAnsi="Book Antiqua"/>
          <w:lang w:val="pt-BR"/>
        </w:rPr>
        <w:t xml:space="preserve"> </w:t>
      </w:r>
      <w:r w:rsidRPr="00A043AB">
        <w:rPr>
          <w:rFonts w:ascii="Book Antiqua" w:hAnsi="Book Antiqua"/>
          <w:lang w:val="pt-BR"/>
        </w:rPr>
        <w:tab/>
      </w:r>
      <w:r w:rsidR="007C0836" w:rsidRPr="00A043AB">
        <w:rPr>
          <w:rFonts w:ascii="Book Antiqua" w:hAnsi="Book Antiqua"/>
          <w:i/>
          <w:iCs/>
          <w:lang w:val="pt-BR"/>
        </w:rPr>
        <w:t>Íd</w:t>
      </w:r>
      <w:r w:rsidR="007C0836" w:rsidRPr="00A043AB">
        <w:rPr>
          <w:rFonts w:ascii="Book Antiqua" w:hAnsi="Book Antiqua"/>
          <w:lang w:val="pt-BR"/>
        </w:rPr>
        <w:t>.</w:t>
      </w:r>
    </w:p>
  </w:footnote>
  <w:footnote w:id="33">
    <w:p w14:paraId="6CC96D49" w14:textId="7CEAD9B7" w:rsidR="007C0836" w:rsidRPr="00A043AB" w:rsidRDefault="007C0836">
      <w:pPr>
        <w:pStyle w:val="FootnoteText"/>
        <w:rPr>
          <w:rFonts w:ascii="Book Antiqua" w:hAnsi="Book Antiqua"/>
          <w:lang w:val="pt-BR"/>
        </w:rPr>
      </w:pPr>
      <w:r w:rsidRPr="00A043AB">
        <w:rPr>
          <w:rStyle w:val="FootnoteReference"/>
          <w:rFonts w:ascii="Book Antiqua" w:hAnsi="Book Antiqua"/>
        </w:rPr>
        <w:footnoteRef/>
      </w:r>
      <w:r w:rsidRPr="00A043AB">
        <w:rPr>
          <w:rFonts w:ascii="Book Antiqua" w:hAnsi="Book Antiqua"/>
          <w:lang w:val="pt-BR"/>
        </w:rPr>
        <w:t xml:space="preserve"> </w:t>
      </w:r>
      <w:r w:rsidRPr="00A043AB">
        <w:rPr>
          <w:rFonts w:ascii="Book Antiqua" w:hAnsi="Book Antiqua"/>
          <w:lang w:val="pt-BR"/>
        </w:rPr>
        <w:tab/>
      </w:r>
      <w:r w:rsidRPr="00A043AB">
        <w:rPr>
          <w:rFonts w:ascii="Book Antiqua" w:hAnsi="Book Antiqua"/>
          <w:i/>
          <w:iCs/>
          <w:lang w:val="pt-BR"/>
        </w:rPr>
        <w:t>Íd</w:t>
      </w:r>
      <w:r w:rsidRPr="00A043AB">
        <w:rPr>
          <w:rFonts w:ascii="Book Antiqua" w:hAnsi="Book Antiqua"/>
          <w:lang w:val="pt-BR"/>
        </w:rPr>
        <w:t xml:space="preserve">. (Escolios omitidos). </w:t>
      </w:r>
    </w:p>
  </w:footnote>
  <w:footnote w:id="34">
    <w:p w14:paraId="2A657507" w14:textId="48E3E283" w:rsidR="007C0836" w:rsidRPr="00A043AB" w:rsidRDefault="007C0836">
      <w:pPr>
        <w:pStyle w:val="FootnoteText"/>
        <w:rPr>
          <w:rFonts w:ascii="Book Antiqua" w:hAnsi="Book Antiqua"/>
          <w:lang w:val="pt-BR"/>
        </w:rPr>
      </w:pPr>
      <w:r w:rsidRPr="00A043AB">
        <w:rPr>
          <w:rStyle w:val="FootnoteReference"/>
          <w:rFonts w:ascii="Book Antiqua" w:hAnsi="Book Antiqua"/>
        </w:rPr>
        <w:footnoteRef/>
      </w:r>
      <w:r w:rsidRPr="00A043AB">
        <w:rPr>
          <w:rFonts w:ascii="Book Antiqua" w:hAnsi="Book Antiqua"/>
          <w:lang w:val="pt-BR"/>
        </w:rPr>
        <w:t xml:space="preserve"> </w:t>
      </w:r>
      <w:r w:rsidRPr="00A043AB">
        <w:rPr>
          <w:rFonts w:ascii="Book Antiqua" w:hAnsi="Book Antiqua"/>
          <w:lang w:val="pt-BR"/>
        </w:rPr>
        <w:tab/>
      </w:r>
      <w:r w:rsidRPr="00A043AB">
        <w:rPr>
          <w:rFonts w:ascii="Book Antiqua" w:hAnsi="Book Antiqua"/>
          <w:i/>
          <w:iCs/>
          <w:lang w:val="pt-BR"/>
        </w:rPr>
        <w:t>Íd</w:t>
      </w:r>
      <w:r w:rsidRPr="00A043AB">
        <w:rPr>
          <w:rFonts w:ascii="Book Antiqua" w:hAnsi="Book Antiqua"/>
          <w:lang w:val="pt-BR"/>
        </w:rPr>
        <w:t xml:space="preserve">., </w:t>
      </w:r>
      <w:r w:rsidRPr="00A043AB">
        <w:rPr>
          <w:rFonts w:ascii="Book Antiqua" w:hAnsi="Book Antiqua"/>
          <w:lang w:val="pt-BR"/>
        </w:rPr>
        <w:t xml:space="preserve">págs. 5-6. (Escolios omitidos). </w:t>
      </w:r>
    </w:p>
  </w:footnote>
  <w:footnote w:id="35">
    <w:p w14:paraId="6D04178B" w14:textId="3D221430" w:rsidR="00A043AB" w:rsidRPr="00560742" w:rsidRDefault="00A043AB">
      <w:pPr>
        <w:pStyle w:val="FootnoteText"/>
        <w:rPr>
          <w:rFonts w:ascii="Book Antiqua" w:hAnsi="Book Antiqua"/>
        </w:rPr>
      </w:pPr>
      <w:r w:rsidRPr="00A043AB">
        <w:rPr>
          <w:rStyle w:val="FootnoteReference"/>
          <w:rFonts w:ascii="Book Antiqua" w:hAnsi="Book Antiqua"/>
        </w:rPr>
        <w:footnoteRef/>
      </w:r>
      <w:r w:rsidRPr="00A043AB">
        <w:rPr>
          <w:rFonts w:ascii="Book Antiqua" w:hAnsi="Book Antiqua"/>
        </w:rPr>
        <w:t xml:space="preserve"> </w:t>
      </w:r>
      <w:r w:rsidRPr="00560742">
        <w:rPr>
          <w:rFonts w:ascii="Book Antiqua" w:hAnsi="Book Antiqua"/>
        </w:rPr>
        <w:tab/>
      </w:r>
      <w:r w:rsidRPr="00560742">
        <w:rPr>
          <w:rFonts w:ascii="Book Antiqua" w:hAnsi="Book Antiqua"/>
          <w:i/>
          <w:iCs/>
        </w:rPr>
        <w:t>Íd</w:t>
      </w:r>
      <w:r w:rsidRPr="00560742">
        <w:rPr>
          <w:rFonts w:ascii="Book Antiqua" w:hAnsi="Book Antiqua"/>
        </w:rPr>
        <w:t>., pág. 6.</w:t>
      </w:r>
    </w:p>
  </w:footnote>
  <w:footnote w:id="36">
    <w:p w14:paraId="709D582F" w14:textId="0AD7C636" w:rsidR="0062757D" w:rsidRPr="003B4DD4" w:rsidRDefault="0062757D" w:rsidP="0062757D">
      <w:pPr>
        <w:pStyle w:val="FootnoteText"/>
        <w:ind w:left="720" w:hanging="720"/>
        <w:rPr>
          <w:rFonts w:ascii="Book Antiqua" w:hAnsi="Book Antiqua"/>
        </w:rPr>
      </w:pPr>
      <w:r w:rsidRPr="003B4DD4">
        <w:rPr>
          <w:rStyle w:val="FootnoteReference"/>
          <w:rFonts w:ascii="Book Antiqua" w:hAnsi="Book Antiqua"/>
        </w:rPr>
        <w:footnoteRef/>
      </w:r>
      <w:r w:rsidRPr="003B4DD4">
        <w:rPr>
          <w:rFonts w:ascii="Book Antiqua" w:hAnsi="Book Antiqua"/>
        </w:rPr>
        <w:t xml:space="preserve"> </w:t>
      </w:r>
      <w:r w:rsidRPr="003B4DD4">
        <w:rPr>
          <w:rFonts w:ascii="Book Antiqua" w:hAnsi="Book Antiqua"/>
        </w:rPr>
        <w:tab/>
        <w:t>Oficina de Presupuesto de la Asamblea Legislativa</w:t>
      </w:r>
      <w:r w:rsidRPr="003B4DD4">
        <w:rPr>
          <w:rFonts w:ascii="Book Antiqua" w:hAnsi="Book Antiqua"/>
          <w:i/>
          <w:iCs/>
        </w:rPr>
        <w:t>, Informe sobre el costo fiscal del Proyecto de la Cámara 144</w:t>
      </w:r>
      <w:r w:rsidRPr="003B4DD4">
        <w:rPr>
          <w:rFonts w:ascii="Book Antiqua" w:hAnsi="Book Antiqua"/>
        </w:rPr>
        <w:t xml:space="preserve">, Informe 2026-481, págs. 1, 2 y 8. </w:t>
      </w:r>
    </w:p>
  </w:footnote>
  <w:footnote w:id="37">
    <w:p w14:paraId="3BF25494" w14:textId="5E750A0E" w:rsidR="0062757D" w:rsidRPr="008C70E6" w:rsidRDefault="0062757D">
      <w:pPr>
        <w:pStyle w:val="FootnoteText"/>
        <w:rPr>
          <w:rFonts w:ascii="Book Antiqua" w:hAnsi="Book Antiqua"/>
          <w:lang w:val="es-ES"/>
        </w:rPr>
      </w:pPr>
      <w:r w:rsidRPr="003B4DD4">
        <w:rPr>
          <w:rStyle w:val="FootnoteReference"/>
          <w:rFonts w:ascii="Book Antiqua" w:hAnsi="Book Antiqua"/>
        </w:rPr>
        <w:footnoteRef/>
      </w:r>
      <w:r w:rsidRPr="003B4DD4">
        <w:rPr>
          <w:rFonts w:ascii="Book Antiqua" w:hAnsi="Book Antiqua"/>
        </w:rPr>
        <w:t xml:space="preserve"> </w:t>
      </w:r>
      <w:r w:rsidRPr="008C70E6">
        <w:rPr>
          <w:rFonts w:ascii="Book Antiqua" w:hAnsi="Book Antiqua"/>
          <w:lang w:val="es-ES"/>
        </w:rPr>
        <w:tab/>
      </w:r>
      <w:r w:rsidRPr="008C70E6">
        <w:rPr>
          <w:rFonts w:ascii="Book Antiqua" w:hAnsi="Book Antiqua"/>
          <w:i/>
          <w:iCs/>
          <w:lang w:val="es-ES"/>
        </w:rPr>
        <w:t>Íd</w:t>
      </w:r>
      <w:r w:rsidRPr="008C70E6">
        <w:rPr>
          <w:rFonts w:ascii="Book Antiqua" w:hAnsi="Book Antiqua"/>
          <w:lang w:val="es-ES"/>
        </w:rPr>
        <w:t>., pág. 2</w:t>
      </w:r>
    </w:p>
  </w:footnote>
  <w:footnote w:id="38">
    <w:p w14:paraId="2465552D" w14:textId="1A51B130" w:rsidR="0062757D" w:rsidRPr="0062757D" w:rsidRDefault="0062757D">
      <w:pPr>
        <w:pStyle w:val="FootnoteText"/>
      </w:pPr>
      <w:r w:rsidRPr="003B4DD4">
        <w:rPr>
          <w:rStyle w:val="FootnoteReference"/>
          <w:rFonts w:ascii="Book Antiqua" w:hAnsi="Book Antiqua"/>
        </w:rPr>
        <w:footnoteRef/>
      </w:r>
      <w:r w:rsidRPr="003B4DD4">
        <w:rPr>
          <w:rFonts w:ascii="Book Antiqua" w:hAnsi="Book Antiqua"/>
        </w:rPr>
        <w:t xml:space="preserve"> </w:t>
      </w:r>
      <w:r w:rsidRPr="003B4DD4">
        <w:rPr>
          <w:rFonts w:ascii="Book Antiqua" w:hAnsi="Book Antiqua"/>
        </w:rPr>
        <w:tab/>
        <w:t xml:space="preserve">Véase, OPAL, </w:t>
      </w:r>
      <w:r w:rsidRPr="003B4DD4">
        <w:rPr>
          <w:rFonts w:ascii="Book Antiqua" w:hAnsi="Book Antiqua"/>
          <w:i/>
          <w:iCs/>
        </w:rPr>
        <w:t>supra</w:t>
      </w:r>
      <w:r w:rsidRPr="003B4DD4">
        <w:rPr>
          <w:rFonts w:ascii="Book Antiqua" w:hAnsi="Book Antiqua"/>
        </w:rPr>
        <w:t>, págs. 1, 2 y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2BCD"/>
    <w:multiLevelType w:val="hybridMultilevel"/>
    <w:tmpl w:val="4530C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54F6D"/>
    <w:multiLevelType w:val="hybridMultilevel"/>
    <w:tmpl w:val="CBFAC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5"/>
  </w:num>
  <w:num w:numId="2" w16cid:durableId="1796752155">
    <w:abstractNumId w:val="4"/>
  </w:num>
  <w:num w:numId="3" w16cid:durableId="1833058163">
    <w:abstractNumId w:val="7"/>
  </w:num>
  <w:num w:numId="4" w16cid:durableId="151996382">
    <w:abstractNumId w:val="6"/>
  </w:num>
  <w:num w:numId="5" w16cid:durableId="1383552919">
    <w:abstractNumId w:val="3"/>
  </w:num>
  <w:num w:numId="6" w16cid:durableId="760948948">
    <w:abstractNumId w:val="2"/>
  </w:num>
  <w:num w:numId="7" w16cid:durableId="372921983">
    <w:abstractNumId w:val="1"/>
  </w:num>
  <w:num w:numId="8" w16cid:durableId="962463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40D99"/>
    <w:rsid w:val="00047647"/>
    <w:rsid w:val="00053B4D"/>
    <w:rsid w:val="00055081"/>
    <w:rsid w:val="0006062E"/>
    <w:rsid w:val="00083DB6"/>
    <w:rsid w:val="000871EF"/>
    <w:rsid w:val="00087E69"/>
    <w:rsid w:val="000925BB"/>
    <w:rsid w:val="000A235C"/>
    <w:rsid w:val="000B275E"/>
    <w:rsid w:val="000C0ECB"/>
    <w:rsid w:val="000C5343"/>
    <w:rsid w:val="000D56FC"/>
    <w:rsid w:val="000E1BF6"/>
    <w:rsid w:val="000E3027"/>
    <w:rsid w:val="000E68A9"/>
    <w:rsid w:val="0010071A"/>
    <w:rsid w:val="00121035"/>
    <w:rsid w:val="00130008"/>
    <w:rsid w:val="0013170B"/>
    <w:rsid w:val="0014295A"/>
    <w:rsid w:val="00155FF4"/>
    <w:rsid w:val="001578CC"/>
    <w:rsid w:val="0016410A"/>
    <w:rsid w:val="00181516"/>
    <w:rsid w:val="00184D12"/>
    <w:rsid w:val="001A1C71"/>
    <w:rsid w:val="001B0795"/>
    <w:rsid w:val="001B1548"/>
    <w:rsid w:val="001B4EAF"/>
    <w:rsid w:val="001C06A7"/>
    <w:rsid w:val="001D0744"/>
    <w:rsid w:val="001E493E"/>
    <w:rsid w:val="001E5D6C"/>
    <w:rsid w:val="001F12B4"/>
    <w:rsid w:val="001F42A7"/>
    <w:rsid w:val="001F5CAD"/>
    <w:rsid w:val="0020165B"/>
    <w:rsid w:val="00241A75"/>
    <w:rsid w:val="00247570"/>
    <w:rsid w:val="002554B3"/>
    <w:rsid w:val="002753B7"/>
    <w:rsid w:val="002928F0"/>
    <w:rsid w:val="002B5A25"/>
    <w:rsid w:val="002C132D"/>
    <w:rsid w:val="002D3140"/>
    <w:rsid w:val="002D578F"/>
    <w:rsid w:val="002E5A32"/>
    <w:rsid w:val="002F2A50"/>
    <w:rsid w:val="00304481"/>
    <w:rsid w:val="00312586"/>
    <w:rsid w:val="00312DC8"/>
    <w:rsid w:val="00316553"/>
    <w:rsid w:val="003266A4"/>
    <w:rsid w:val="0034567B"/>
    <w:rsid w:val="00352764"/>
    <w:rsid w:val="00370DA1"/>
    <w:rsid w:val="00391C21"/>
    <w:rsid w:val="00392771"/>
    <w:rsid w:val="00394C77"/>
    <w:rsid w:val="003A4282"/>
    <w:rsid w:val="003A73E0"/>
    <w:rsid w:val="003B4DD4"/>
    <w:rsid w:val="003B622A"/>
    <w:rsid w:val="003C54BF"/>
    <w:rsid w:val="003D0453"/>
    <w:rsid w:val="003E380A"/>
    <w:rsid w:val="00406F4D"/>
    <w:rsid w:val="00413AC3"/>
    <w:rsid w:val="00417087"/>
    <w:rsid w:val="004267E1"/>
    <w:rsid w:val="004316C7"/>
    <w:rsid w:val="00431CEA"/>
    <w:rsid w:val="0043234D"/>
    <w:rsid w:val="00433876"/>
    <w:rsid w:val="00440A59"/>
    <w:rsid w:val="00445064"/>
    <w:rsid w:val="0047364B"/>
    <w:rsid w:val="004845E5"/>
    <w:rsid w:val="00485951"/>
    <w:rsid w:val="004860CB"/>
    <w:rsid w:val="004A4E99"/>
    <w:rsid w:val="004A5647"/>
    <w:rsid w:val="004B2A29"/>
    <w:rsid w:val="004D0894"/>
    <w:rsid w:val="004D44C6"/>
    <w:rsid w:val="004E0F19"/>
    <w:rsid w:val="004E117A"/>
    <w:rsid w:val="004E197E"/>
    <w:rsid w:val="004F1E7A"/>
    <w:rsid w:val="00560742"/>
    <w:rsid w:val="00576978"/>
    <w:rsid w:val="00596031"/>
    <w:rsid w:val="005A4F61"/>
    <w:rsid w:val="005B7DE9"/>
    <w:rsid w:val="005C2470"/>
    <w:rsid w:val="005C6849"/>
    <w:rsid w:val="005E118E"/>
    <w:rsid w:val="00600BB3"/>
    <w:rsid w:val="0060366D"/>
    <w:rsid w:val="0061551C"/>
    <w:rsid w:val="0062757D"/>
    <w:rsid w:val="00647DED"/>
    <w:rsid w:val="006548AD"/>
    <w:rsid w:val="00663D4E"/>
    <w:rsid w:val="00667221"/>
    <w:rsid w:val="006736F9"/>
    <w:rsid w:val="00675DC7"/>
    <w:rsid w:val="00683501"/>
    <w:rsid w:val="006B79E0"/>
    <w:rsid w:val="006C6ADE"/>
    <w:rsid w:val="006F61CA"/>
    <w:rsid w:val="006F6EBC"/>
    <w:rsid w:val="00702959"/>
    <w:rsid w:val="007119D0"/>
    <w:rsid w:val="00725BF8"/>
    <w:rsid w:val="00737B6A"/>
    <w:rsid w:val="0076518E"/>
    <w:rsid w:val="007703AC"/>
    <w:rsid w:val="0077572B"/>
    <w:rsid w:val="0078577E"/>
    <w:rsid w:val="00787C4C"/>
    <w:rsid w:val="007908EA"/>
    <w:rsid w:val="00792C46"/>
    <w:rsid w:val="007A354B"/>
    <w:rsid w:val="007B1F6C"/>
    <w:rsid w:val="007B6971"/>
    <w:rsid w:val="007C0836"/>
    <w:rsid w:val="007D7A61"/>
    <w:rsid w:val="007E23F0"/>
    <w:rsid w:val="007F1076"/>
    <w:rsid w:val="008000D0"/>
    <w:rsid w:val="00804BB9"/>
    <w:rsid w:val="0083649F"/>
    <w:rsid w:val="00845457"/>
    <w:rsid w:val="00852ADC"/>
    <w:rsid w:val="00860EC4"/>
    <w:rsid w:val="00862A5F"/>
    <w:rsid w:val="00864F41"/>
    <w:rsid w:val="00874C4B"/>
    <w:rsid w:val="00884D33"/>
    <w:rsid w:val="008855F4"/>
    <w:rsid w:val="00887245"/>
    <w:rsid w:val="008A26CD"/>
    <w:rsid w:val="008A4272"/>
    <w:rsid w:val="008A7707"/>
    <w:rsid w:val="008B2205"/>
    <w:rsid w:val="008C3B2E"/>
    <w:rsid w:val="008C70E6"/>
    <w:rsid w:val="008C735E"/>
    <w:rsid w:val="008D7B18"/>
    <w:rsid w:val="008D7B2F"/>
    <w:rsid w:val="008E59D2"/>
    <w:rsid w:val="008F2431"/>
    <w:rsid w:val="008F5773"/>
    <w:rsid w:val="008F59AF"/>
    <w:rsid w:val="008F6046"/>
    <w:rsid w:val="0091317D"/>
    <w:rsid w:val="009471DA"/>
    <w:rsid w:val="00947E8C"/>
    <w:rsid w:val="00950C35"/>
    <w:rsid w:val="00951750"/>
    <w:rsid w:val="009722AA"/>
    <w:rsid w:val="009735EC"/>
    <w:rsid w:val="0098281E"/>
    <w:rsid w:val="009A0011"/>
    <w:rsid w:val="009A0D1F"/>
    <w:rsid w:val="009B7BD9"/>
    <w:rsid w:val="009C5642"/>
    <w:rsid w:val="009D7122"/>
    <w:rsid w:val="009D76F2"/>
    <w:rsid w:val="009D7DC8"/>
    <w:rsid w:val="00A043AB"/>
    <w:rsid w:val="00A23460"/>
    <w:rsid w:val="00A350FB"/>
    <w:rsid w:val="00A54AF0"/>
    <w:rsid w:val="00A5783E"/>
    <w:rsid w:val="00A602A8"/>
    <w:rsid w:val="00A7082D"/>
    <w:rsid w:val="00A70C64"/>
    <w:rsid w:val="00A776CF"/>
    <w:rsid w:val="00A82641"/>
    <w:rsid w:val="00A92D7C"/>
    <w:rsid w:val="00A931F0"/>
    <w:rsid w:val="00A96E54"/>
    <w:rsid w:val="00AB0792"/>
    <w:rsid w:val="00AB7D4B"/>
    <w:rsid w:val="00AC04B8"/>
    <w:rsid w:val="00AC29DB"/>
    <w:rsid w:val="00AC6B4B"/>
    <w:rsid w:val="00AD79E9"/>
    <w:rsid w:val="00AF35EC"/>
    <w:rsid w:val="00B01D60"/>
    <w:rsid w:val="00B04A14"/>
    <w:rsid w:val="00B07592"/>
    <w:rsid w:val="00B33B22"/>
    <w:rsid w:val="00B33F20"/>
    <w:rsid w:val="00B44FB9"/>
    <w:rsid w:val="00B638D1"/>
    <w:rsid w:val="00B67C4D"/>
    <w:rsid w:val="00B71591"/>
    <w:rsid w:val="00B87248"/>
    <w:rsid w:val="00B92A14"/>
    <w:rsid w:val="00BC15C0"/>
    <w:rsid w:val="00BC3D58"/>
    <w:rsid w:val="00BD214E"/>
    <w:rsid w:val="00C1455B"/>
    <w:rsid w:val="00C36EC1"/>
    <w:rsid w:val="00C37CBA"/>
    <w:rsid w:val="00C545C2"/>
    <w:rsid w:val="00C64058"/>
    <w:rsid w:val="00C75809"/>
    <w:rsid w:val="00C97130"/>
    <w:rsid w:val="00CA0E1C"/>
    <w:rsid w:val="00CA12CB"/>
    <w:rsid w:val="00CB1979"/>
    <w:rsid w:val="00CC52D1"/>
    <w:rsid w:val="00CE4CF6"/>
    <w:rsid w:val="00CF6184"/>
    <w:rsid w:val="00D02CDF"/>
    <w:rsid w:val="00D03212"/>
    <w:rsid w:val="00D10EEB"/>
    <w:rsid w:val="00D11501"/>
    <w:rsid w:val="00D15048"/>
    <w:rsid w:val="00D21B1F"/>
    <w:rsid w:val="00D278EB"/>
    <w:rsid w:val="00D3195C"/>
    <w:rsid w:val="00D36E37"/>
    <w:rsid w:val="00D52E9E"/>
    <w:rsid w:val="00D6171B"/>
    <w:rsid w:val="00D6465F"/>
    <w:rsid w:val="00D71F9A"/>
    <w:rsid w:val="00D73EA8"/>
    <w:rsid w:val="00D92DD5"/>
    <w:rsid w:val="00D97AD8"/>
    <w:rsid w:val="00DA0A06"/>
    <w:rsid w:val="00DA35FB"/>
    <w:rsid w:val="00DD08D2"/>
    <w:rsid w:val="00DD1888"/>
    <w:rsid w:val="00DD76F7"/>
    <w:rsid w:val="00DE18D0"/>
    <w:rsid w:val="00DF38E4"/>
    <w:rsid w:val="00E31E91"/>
    <w:rsid w:val="00E53500"/>
    <w:rsid w:val="00E771EE"/>
    <w:rsid w:val="00E92C53"/>
    <w:rsid w:val="00E93DA3"/>
    <w:rsid w:val="00E97F9B"/>
    <w:rsid w:val="00EB613E"/>
    <w:rsid w:val="00EC3642"/>
    <w:rsid w:val="00EE614E"/>
    <w:rsid w:val="00EE647C"/>
    <w:rsid w:val="00EE7EF2"/>
    <w:rsid w:val="00EF2D95"/>
    <w:rsid w:val="00F06CD1"/>
    <w:rsid w:val="00F0725D"/>
    <w:rsid w:val="00F178FD"/>
    <w:rsid w:val="00F36C67"/>
    <w:rsid w:val="00F523E4"/>
    <w:rsid w:val="00F551CD"/>
    <w:rsid w:val="00F71091"/>
    <w:rsid w:val="00F751C1"/>
    <w:rsid w:val="00F95E98"/>
    <w:rsid w:val="00F96831"/>
    <w:rsid w:val="00FA0580"/>
    <w:rsid w:val="00FA73BD"/>
    <w:rsid w:val="00FC0773"/>
    <w:rsid w:val="00FC4E2F"/>
    <w:rsid w:val="00FE1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2921</Words>
  <Characters>16652</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2026-01-26T15:33:00Z</cp:lastPrinted>
  <dcterms:created xsi:type="dcterms:W3CDTF">2026-05-14T21:01:00Z</dcterms:created>
  <dcterms:modified xsi:type="dcterms:W3CDTF">2026-05-14T21:01:00Z</dcterms:modified>
</cp:coreProperties>
</file>