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F5C9E" w14:textId="77777777" w:rsidR="0090113E" w:rsidRPr="00B51D70" w:rsidRDefault="0090113E" w:rsidP="0090113E">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166E6147" w14:textId="77777777" w:rsidR="00B11D36" w:rsidRPr="006E7AF8" w:rsidRDefault="00B11D36" w:rsidP="002822F1">
      <w:pPr>
        <w:jc w:val="center"/>
        <w:rPr>
          <w:rFonts w:ascii="Book Antiqua" w:hAnsi="Book Antiqua"/>
          <w:lang w:val="es-ES_tradnl"/>
        </w:rPr>
      </w:pPr>
    </w:p>
    <w:p w14:paraId="23968F40" w14:textId="1A7B7963" w:rsidR="00B11D36" w:rsidRPr="006E7AF8" w:rsidRDefault="007A3356" w:rsidP="00D11D45">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B53244" w:rsidRPr="006E7AF8">
        <w:rPr>
          <w:rFonts w:ascii="Book Antiqua" w:hAnsi="Book Antiqua"/>
          <w:lang w:val="es-ES_tradnl"/>
        </w:rPr>
        <w:t xml:space="preserve">. </w:t>
      </w:r>
      <w:r w:rsidR="00D11D45" w:rsidRPr="006E7AF8">
        <w:rPr>
          <w:rFonts w:ascii="Book Antiqua" w:hAnsi="Book Antiqua"/>
          <w:lang w:val="es-ES_tradnl"/>
        </w:rPr>
        <w:t>Asamblea</w:t>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t xml:space="preserve">          </w:t>
      </w:r>
      <w:r>
        <w:rPr>
          <w:rFonts w:ascii="Book Antiqua" w:hAnsi="Book Antiqua"/>
          <w:lang w:val="es-ES_tradnl"/>
        </w:rPr>
        <w:t>1ra</w:t>
      </w:r>
      <w:r w:rsidR="00B53244" w:rsidRPr="006E7AF8">
        <w:rPr>
          <w:rFonts w:ascii="Book Antiqua" w:hAnsi="Book Antiqua"/>
          <w:lang w:val="es-ES_tradnl"/>
        </w:rPr>
        <w:t xml:space="preserve">. </w:t>
      </w:r>
      <w:r w:rsidR="00B11D36" w:rsidRPr="006E7AF8">
        <w:rPr>
          <w:rFonts w:ascii="Book Antiqua" w:hAnsi="Book Antiqua"/>
          <w:lang w:val="es-ES_tradnl"/>
        </w:rPr>
        <w:t>Sesión</w:t>
      </w:r>
    </w:p>
    <w:p w14:paraId="62025567" w14:textId="77777777" w:rsidR="00B11D36" w:rsidRPr="006E7AF8" w:rsidRDefault="002E7140" w:rsidP="00D11D45">
      <w:pPr>
        <w:pStyle w:val="Title2"/>
        <w:tabs>
          <w:tab w:val="clear" w:pos="648"/>
          <w:tab w:val="clear" w:pos="7776"/>
          <w:tab w:val="clear" w:pos="7848"/>
        </w:tabs>
        <w:jc w:val="both"/>
        <w:rPr>
          <w:rFonts w:ascii="Book Antiqua" w:hAnsi="Book Antiqua"/>
          <w:lang w:val="es-ES_tradnl"/>
        </w:rPr>
      </w:pPr>
      <w:r w:rsidRPr="006E7AF8">
        <w:rPr>
          <w:rFonts w:ascii="Book Antiqua" w:hAnsi="Book Antiqua"/>
          <w:lang w:val="es-ES_tradnl"/>
        </w:rPr>
        <w:t xml:space="preserve">         </w:t>
      </w:r>
      <w:r w:rsidR="00377FF3" w:rsidRPr="006E7AF8">
        <w:rPr>
          <w:rFonts w:ascii="Book Antiqua" w:hAnsi="Book Antiqua"/>
          <w:lang w:val="es-ES_tradnl"/>
        </w:rPr>
        <w:t xml:space="preserve"> </w:t>
      </w:r>
      <w:r w:rsidR="00D11D45" w:rsidRPr="006E7AF8">
        <w:rPr>
          <w:rFonts w:ascii="Book Antiqua" w:hAnsi="Book Antiqua"/>
          <w:lang w:val="es-ES_tradnl"/>
        </w:rPr>
        <w:t>Legislativa</w:t>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D11D45" w:rsidRPr="006E7AF8">
        <w:rPr>
          <w:rFonts w:ascii="Book Antiqua" w:hAnsi="Book Antiqua"/>
          <w:lang w:val="es-ES_tradnl"/>
        </w:rPr>
        <w:tab/>
      </w:r>
      <w:r w:rsidR="00B53244" w:rsidRPr="006E7AF8">
        <w:rPr>
          <w:rFonts w:ascii="Book Antiqua" w:hAnsi="Book Antiqua"/>
          <w:lang w:val="es-ES_tradnl"/>
        </w:rPr>
        <w:t xml:space="preserve"> </w:t>
      </w:r>
      <w:r w:rsidR="00D11D45" w:rsidRPr="006E7AF8">
        <w:rPr>
          <w:rFonts w:ascii="Book Antiqua" w:hAnsi="Book Antiqua"/>
          <w:lang w:val="es-ES_tradnl"/>
        </w:rPr>
        <w:t xml:space="preserve">     </w:t>
      </w:r>
      <w:r w:rsidR="00B11D36" w:rsidRPr="006E7AF8">
        <w:rPr>
          <w:rFonts w:ascii="Book Antiqua" w:hAnsi="Book Antiqua"/>
          <w:lang w:val="es-ES_tradnl"/>
        </w:rPr>
        <w:t>Ordinaria</w:t>
      </w:r>
    </w:p>
    <w:p w14:paraId="0E933161" w14:textId="77777777" w:rsidR="00B11D36" w:rsidRPr="006E7AF8" w:rsidRDefault="00B11D36" w:rsidP="002822F1">
      <w:pPr>
        <w:jc w:val="both"/>
        <w:rPr>
          <w:rFonts w:ascii="Book Antiqua" w:hAnsi="Book Antiqua"/>
          <w:lang w:val="es-ES_tradnl"/>
        </w:rPr>
      </w:pPr>
    </w:p>
    <w:p w14:paraId="3FDA0B5D" w14:textId="77777777" w:rsidR="00B11D36" w:rsidRPr="006E7AF8" w:rsidRDefault="00B11D36" w:rsidP="002822F1">
      <w:pPr>
        <w:jc w:val="center"/>
        <w:rPr>
          <w:rFonts w:ascii="Book Antiqua" w:hAnsi="Book Antiqua"/>
          <w:b/>
          <w:sz w:val="36"/>
          <w:lang w:val="es-ES_tradnl"/>
        </w:rPr>
      </w:pPr>
      <w:r w:rsidRPr="006E7AF8">
        <w:rPr>
          <w:rFonts w:ascii="Book Antiqua" w:hAnsi="Book Antiqua"/>
          <w:b/>
          <w:sz w:val="36"/>
          <w:lang w:val="es-ES_tradnl"/>
        </w:rPr>
        <w:t>C</w:t>
      </w:r>
      <w:r w:rsidR="003176C1" w:rsidRPr="006E7AF8">
        <w:rPr>
          <w:rFonts w:ascii="Book Antiqua" w:hAnsi="Book Antiqua"/>
          <w:b/>
          <w:sz w:val="36"/>
          <w:lang w:val="es-ES_tradnl"/>
        </w:rPr>
        <w:t>Á</w:t>
      </w:r>
      <w:r w:rsidRPr="006E7AF8">
        <w:rPr>
          <w:rFonts w:ascii="Book Antiqua" w:hAnsi="Book Antiqua"/>
          <w:b/>
          <w:sz w:val="36"/>
          <w:lang w:val="es-ES_tradnl"/>
        </w:rPr>
        <w:t>MARA DE REPRESENTANTES</w:t>
      </w:r>
    </w:p>
    <w:p w14:paraId="2AF2C04F" w14:textId="77777777" w:rsidR="00E41BA3" w:rsidRPr="006E7AF8" w:rsidRDefault="00E41BA3" w:rsidP="002822F1">
      <w:pPr>
        <w:jc w:val="center"/>
        <w:rPr>
          <w:rFonts w:ascii="Book Antiqua" w:hAnsi="Book Antiqua"/>
          <w:b/>
          <w:szCs w:val="24"/>
          <w:lang w:val="es-ES_tradnl"/>
        </w:rPr>
      </w:pPr>
    </w:p>
    <w:p w14:paraId="3DC86227" w14:textId="33C7C769" w:rsidR="00836DF8" w:rsidRPr="006E7AF8" w:rsidRDefault="00B11D36" w:rsidP="002822F1">
      <w:pPr>
        <w:jc w:val="center"/>
        <w:rPr>
          <w:rFonts w:ascii="Book Antiqua" w:hAnsi="Book Antiqua"/>
          <w:b/>
          <w:sz w:val="52"/>
          <w:szCs w:val="52"/>
          <w:lang w:val="es-ES_tradnl"/>
        </w:rPr>
      </w:pPr>
      <w:r w:rsidRPr="006E7AF8">
        <w:rPr>
          <w:rFonts w:ascii="Book Antiqua" w:hAnsi="Book Antiqua"/>
          <w:b/>
          <w:sz w:val="52"/>
          <w:szCs w:val="52"/>
          <w:lang w:val="es-ES_tradnl"/>
        </w:rPr>
        <w:t>P. de la C.</w:t>
      </w:r>
      <w:r w:rsidR="00FF6E99" w:rsidRPr="006E7AF8">
        <w:rPr>
          <w:rFonts w:ascii="Book Antiqua" w:hAnsi="Book Antiqua"/>
          <w:b/>
          <w:sz w:val="52"/>
          <w:szCs w:val="52"/>
          <w:lang w:val="es-ES_tradnl"/>
        </w:rPr>
        <w:t xml:space="preserve"> </w:t>
      </w:r>
      <w:r w:rsidR="00172E60">
        <w:rPr>
          <w:rFonts w:ascii="Book Antiqua" w:hAnsi="Book Antiqua"/>
          <w:b/>
          <w:sz w:val="52"/>
          <w:szCs w:val="52"/>
          <w:lang w:val="es-ES_tradnl"/>
        </w:rPr>
        <w:t>153</w:t>
      </w:r>
    </w:p>
    <w:p w14:paraId="4B6A48A3" w14:textId="77777777" w:rsidR="00E41BA3" w:rsidRPr="006E7AF8" w:rsidRDefault="00E41BA3" w:rsidP="002822F1">
      <w:pPr>
        <w:jc w:val="center"/>
        <w:rPr>
          <w:rFonts w:ascii="Book Antiqua" w:hAnsi="Book Antiqua"/>
          <w:b/>
          <w:szCs w:val="24"/>
          <w:lang w:val="es-ES_tradnl"/>
        </w:rPr>
      </w:pPr>
    </w:p>
    <w:p w14:paraId="47716038" w14:textId="4F1A7082" w:rsidR="00B11D36" w:rsidRPr="006E7AF8" w:rsidRDefault="00172E60" w:rsidP="002822F1">
      <w:pPr>
        <w:jc w:val="center"/>
        <w:rPr>
          <w:rFonts w:ascii="Book Antiqua" w:hAnsi="Book Antiqua"/>
          <w:lang w:val="es-ES_tradnl"/>
        </w:rPr>
      </w:pPr>
      <w:r>
        <w:rPr>
          <w:rFonts w:ascii="Book Antiqua" w:hAnsi="Book Antiqua"/>
          <w:lang w:val="es-ES_tradnl"/>
        </w:rPr>
        <w:t xml:space="preserve">8 </w:t>
      </w:r>
      <w:r w:rsidR="000C3210" w:rsidRPr="006E7AF8">
        <w:rPr>
          <w:rFonts w:ascii="Book Antiqua" w:hAnsi="Book Antiqua"/>
          <w:lang w:val="es-ES_tradnl"/>
        </w:rPr>
        <w:t xml:space="preserve">DE </w:t>
      </w:r>
      <w:r w:rsidR="007A3356">
        <w:rPr>
          <w:rFonts w:ascii="Book Antiqua" w:hAnsi="Book Antiqua"/>
          <w:lang w:val="es-ES_tradnl"/>
        </w:rPr>
        <w:t>ENERO DE 2025</w:t>
      </w:r>
    </w:p>
    <w:p w14:paraId="6385175D" w14:textId="77777777" w:rsidR="00E41BA3" w:rsidRPr="006E7AF8" w:rsidRDefault="00E41BA3" w:rsidP="002822F1">
      <w:pPr>
        <w:jc w:val="center"/>
        <w:rPr>
          <w:rFonts w:ascii="Book Antiqua" w:hAnsi="Book Antiqua"/>
          <w:lang w:val="es-ES_tradnl"/>
        </w:rPr>
      </w:pPr>
    </w:p>
    <w:p w14:paraId="03DE2E85" w14:textId="77777777" w:rsidR="00B11D36" w:rsidRPr="006E7AF8" w:rsidRDefault="00B11D36" w:rsidP="002822F1">
      <w:pPr>
        <w:jc w:val="center"/>
        <w:rPr>
          <w:rFonts w:ascii="Book Antiqua" w:hAnsi="Book Antiqua"/>
          <w:lang w:val="es-ES_tradnl"/>
        </w:rPr>
      </w:pPr>
      <w:r w:rsidRPr="006E7AF8">
        <w:rPr>
          <w:rFonts w:ascii="Book Antiqua" w:hAnsi="Book Antiqua"/>
          <w:lang w:val="es-ES_tradnl"/>
        </w:rPr>
        <w:t>Presentado por</w:t>
      </w:r>
      <w:r w:rsidR="00A759E8" w:rsidRPr="006E7AF8">
        <w:rPr>
          <w:rFonts w:ascii="Book Antiqua" w:hAnsi="Book Antiqua"/>
          <w:lang w:val="es-ES_tradnl"/>
        </w:rPr>
        <w:t xml:space="preserve"> </w:t>
      </w:r>
      <w:r w:rsidR="001A05B1" w:rsidRPr="006E7AF8">
        <w:rPr>
          <w:rFonts w:ascii="Book Antiqua" w:hAnsi="Book Antiqua"/>
          <w:lang w:val="es-ES_tradnl"/>
        </w:rPr>
        <w:t xml:space="preserve">el </w:t>
      </w:r>
      <w:r w:rsidR="00A759E8" w:rsidRPr="006E7AF8">
        <w:rPr>
          <w:rFonts w:ascii="Book Antiqua" w:hAnsi="Book Antiqua"/>
          <w:lang w:val="es-ES_tradnl"/>
        </w:rPr>
        <w:t xml:space="preserve">representante </w:t>
      </w:r>
      <w:r w:rsidR="006362D3" w:rsidRPr="006E7AF8">
        <w:rPr>
          <w:rFonts w:ascii="Book Antiqua" w:hAnsi="Book Antiqua"/>
          <w:i/>
          <w:iCs/>
          <w:lang w:val="es-ES_tradnl"/>
        </w:rPr>
        <w:t>Morey Noble</w:t>
      </w:r>
      <w:r w:rsidR="00776945" w:rsidRPr="006E7AF8">
        <w:rPr>
          <w:rFonts w:ascii="Book Antiqua" w:hAnsi="Book Antiqua"/>
          <w:i/>
          <w:lang w:val="es-ES_tradnl"/>
        </w:rPr>
        <w:t xml:space="preserve"> </w:t>
      </w:r>
      <w:r w:rsidRPr="006E7AF8">
        <w:rPr>
          <w:rFonts w:ascii="Book Antiqua" w:hAnsi="Book Antiqua"/>
          <w:lang w:val="es-ES_tradnl"/>
        </w:rPr>
        <w:t xml:space="preserve"> </w:t>
      </w:r>
    </w:p>
    <w:p w14:paraId="7DAB4EB9" w14:textId="77777777" w:rsidR="00E41BA3" w:rsidRPr="006E7AF8" w:rsidRDefault="00E41BA3" w:rsidP="002822F1">
      <w:pPr>
        <w:jc w:val="center"/>
        <w:rPr>
          <w:rFonts w:ascii="Book Antiqua" w:hAnsi="Book Antiqua"/>
          <w:lang w:val="es-ES_tradnl"/>
        </w:rPr>
      </w:pPr>
    </w:p>
    <w:p w14:paraId="2FF80811" w14:textId="1FEAEE3C" w:rsidR="00B11D36" w:rsidRPr="006E7AF8" w:rsidRDefault="003F2729" w:rsidP="002822F1">
      <w:pPr>
        <w:jc w:val="center"/>
        <w:rPr>
          <w:rFonts w:ascii="Book Antiqua" w:hAnsi="Book Antiqua"/>
          <w:lang w:val="es-ES_tradnl"/>
        </w:rPr>
      </w:pPr>
      <w:r w:rsidRPr="006E7AF8">
        <w:rPr>
          <w:rFonts w:ascii="Book Antiqua" w:hAnsi="Book Antiqua"/>
          <w:lang w:val="es-ES_tradnl"/>
        </w:rPr>
        <w:t xml:space="preserve">Referido a </w:t>
      </w:r>
      <w:r w:rsidR="00407FFA">
        <w:rPr>
          <w:rFonts w:ascii="Book Antiqua" w:hAnsi="Book Antiqua"/>
          <w:lang w:val="es-ES_tradnl"/>
        </w:rPr>
        <w:t>la Comisión de Seguridad Pública</w:t>
      </w:r>
    </w:p>
    <w:p w14:paraId="595A4D90" w14:textId="77777777" w:rsidR="00B11D36" w:rsidRPr="006E7AF8" w:rsidRDefault="00B11D36" w:rsidP="002822F1">
      <w:pPr>
        <w:jc w:val="both"/>
        <w:rPr>
          <w:rFonts w:ascii="Book Antiqua" w:hAnsi="Book Antiqua"/>
          <w:lang w:val="es-ES_tradnl"/>
        </w:rPr>
      </w:pPr>
    </w:p>
    <w:p w14:paraId="785E81E6" w14:textId="77777777" w:rsidR="00B11D36" w:rsidRPr="006E7AF8" w:rsidRDefault="00B11D36" w:rsidP="002822F1">
      <w:pPr>
        <w:jc w:val="center"/>
        <w:rPr>
          <w:rFonts w:ascii="Book Antiqua" w:hAnsi="Book Antiqua"/>
          <w:b/>
          <w:sz w:val="28"/>
          <w:lang w:val="es-ES_tradnl"/>
        </w:rPr>
      </w:pPr>
      <w:r w:rsidRPr="006E7AF8">
        <w:rPr>
          <w:rFonts w:ascii="Book Antiqua" w:hAnsi="Book Antiqua"/>
          <w:b/>
          <w:sz w:val="28"/>
          <w:lang w:val="es-ES_tradnl"/>
        </w:rPr>
        <w:t>LEY</w:t>
      </w:r>
    </w:p>
    <w:p w14:paraId="5CAA46AB" w14:textId="77777777" w:rsidR="00B11D36" w:rsidRPr="006E7AF8" w:rsidRDefault="00B11D36" w:rsidP="002822F1">
      <w:pPr>
        <w:jc w:val="both"/>
        <w:rPr>
          <w:rFonts w:ascii="Book Antiqua" w:hAnsi="Book Antiqua"/>
          <w:lang w:val="es-ES_tradnl"/>
        </w:rPr>
      </w:pPr>
    </w:p>
    <w:p w14:paraId="0B66008A" w14:textId="77777777" w:rsidR="001A1FE5" w:rsidRPr="006E7AF8" w:rsidRDefault="00B11D36" w:rsidP="001A1FE5">
      <w:pPr>
        <w:ind w:left="540" w:hanging="540"/>
        <w:jc w:val="both"/>
        <w:rPr>
          <w:rFonts w:ascii="Book Antiqua" w:hAnsi="Book Antiqua"/>
          <w:lang w:val="es-ES_tradnl"/>
        </w:rPr>
      </w:pPr>
      <w:r w:rsidRPr="006E7AF8">
        <w:rPr>
          <w:rFonts w:ascii="Book Antiqua" w:hAnsi="Book Antiqua"/>
          <w:lang w:val="es-ES_tradnl"/>
        </w:rPr>
        <w:t>Para</w:t>
      </w:r>
      <w:r w:rsidR="005A0C07" w:rsidRPr="006E7AF8">
        <w:rPr>
          <w:rFonts w:ascii="Book Antiqua" w:hAnsi="Book Antiqua"/>
          <w:lang w:val="es-ES_tradnl"/>
        </w:rPr>
        <w:t xml:space="preserve"> </w:t>
      </w:r>
      <w:r w:rsidR="001A1FE5" w:rsidRPr="006E7AF8">
        <w:rPr>
          <w:rFonts w:ascii="Book Antiqua" w:hAnsi="Book Antiqua"/>
          <w:lang w:val="es-ES_tradnl"/>
        </w:rPr>
        <w:t>establecer la “Ley Habilitadora para Implantar el Plan de Alerta Verde”, en Puerto Rico, a los fines de contar con un mecanismo que facilite la búsqueda y recuperación de personas desaparecidas que sean veteranos de las Fuerzas Armadas de los Estados Unidos de América; establecer las facultades y deberes de las entidades gubernamentales cuando sea necesaria la activación de la “Alerta Verde”; enmendar los artículos 2.03 y 2.04 de la Ley 20-2017, según enmendada, conocida como “Ley del Departamento de Seguridad Pública de Puerto Rico”, a los fines de atemperarla con lo aquí dispuesto; y para otros fines relacionados.</w:t>
      </w:r>
    </w:p>
    <w:p w14:paraId="632F6F9E" w14:textId="77777777" w:rsidR="00772FA0" w:rsidRPr="006E7AF8" w:rsidRDefault="00772FA0" w:rsidP="003176C1">
      <w:pPr>
        <w:ind w:left="360" w:hanging="360"/>
        <w:jc w:val="both"/>
        <w:rPr>
          <w:rFonts w:ascii="Book Antiqua" w:hAnsi="Book Antiqua"/>
          <w:szCs w:val="24"/>
          <w:lang w:val="es-ES"/>
        </w:rPr>
      </w:pPr>
    </w:p>
    <w:p w14:paraId="2DD9F729" w14:textId="77777777" w:rsidR="00B11D36" w:rsidRPr="006E7AF8" w:rsidRDefault="00B11D36" w:rsidP="003176C1">
      <w:pPr>
        <w:jc w:val="center"/>
        <w:rPr>
          <w:rFonts w:ascii="Book Antiqua" w:hAnsi="Book Antiqua"/>
          <w:lang w:val="es-ES_tradnl"/>
        </w:rPr>
      </w:pPr>
      <w:r w:rsidRPr="006E7AF8">
        <w:rPr>
          <w:rFonts w:ascii="Book Antiqua" w:hAnsi="Book Antiqua"/>
          <w:lang w:val="es-ES_tradnl"/>
        </w:rPr>
        <w:t>EXPOSICI</w:t>
      </w:r>
      <w:r w:rsidR="003176C1" w:rsidRPr="006E7AF8">
        <w:rPr>
          <w:rFonts w:ascii="Book Antiqua" w:hAnsi="Book Antiqua"/>
          <w:lang w:val="es-ES_tradnl"/>
        </w:rPr>
        <w:t>Ó</w:t>
      </w:r>
      <w:r w:rsidRPr="006E7AF8">
        <w:rPr>
          <w:rFonts w:ascii="Book Antiqua" w:hAnsi="Book Antiqua"/>
          <w:lang w:val="es-ES_tradnl"/>
        </w:rPr>
        <w:t>N DE MOTIVOS</w:t>
      </w:r>
    </w:p>
    <w:p w14:paraId="1DEBB5EA" w14:textId="77777777" w:rsidR="0022025A" w:rsidRPr="006E7AF8" w:rsidRDefault="0022025A" w:rsidP="003176C1">
      <w:pPr>
        <w:ind w:firstLine="357"/>
        <w:jc w:val="both"/>
        <w:rPr>
          <w:rFonts w:ascii="Book Antiqua" w:hAnsi="Book Antiqua"/>
          <w:lang w:val="es-ES"/>
        </w:rPr>
      </w:pPr>
    </w:p>
    <w:p w14:paraId="76AE9990" w14:textId="77777777" w:rsidR="00FA3DBA" w:rsidRPr="006E7AF8" w:rsidRDefault="00FA3DBA" w:rsidP="00FA3DBA">
      <w:pPr>
        <w:ind w:firstLine="360"/>
        <w:jc w:val="both"/>
        <w:rPr>
          <w:rFonts w:ascii="Book Antiqua" w:hAnsi="Book Antiqua"/>
          <w:szCs w:val="24"/>
          <w:lang w:val="es-ES_tradnl"/>
        </w:rPr>
      </w:pPr>
      <w:r w:rsidRPr="006E7AF8">
        <w:rPr>
          <w:rFonts w:ascii="Book Antiqua" w:hAnsi="Book Antiqua"/>
          <w:szCs w:val="24"/>
          <w:lang w:val="es-ES_tradnl"/>
        </w:rPr>
        <w:t>Esta Ley tiene el propósito de proveer un mecanismo legal de rápida difusión de información a las fuerzas del orden público, los medios de comunicación y al público en general, sobre veteranos que han sido denunciados como desaparecidos. El Alerta Verde puede emitirse cuando un veterano de las Fuerzas Armadas de los Estados Unidos de América, ha sido identificado como un individuo desaparecido; y, sufre de un trastorno de estrés postraumático u otras discapacidades físicas o mentales; o en circunstancias en que se pueda entender que la seguridad física del veterano desaparecido pueda estar comprometida; o que la desaparición del veterano haya sido involuntaria.</w:t>
      </w:r>
    </w:p>
    <w:p w14:paraId="23461510" w14:textId="77777777" w:rsidR="00FA3DBA" w:rsidRPr="006E7AF8" w:rsidRDefault="00FA3DBA" w:rsidP="00FA3DBA">
      <w:pPr>
        <w:ind w:firstLine="360"/>
        <w:jc w:val="both"/>
        <w:rPr>
          <w:rFonts w:ascii="Book Antiqua" w:hAnsi="Book Antiqua"/>
          <w:szCs w:val="24"/>
          <w:lang w:val="es-ES_tradnl"/>
        </w:rPr>
      </w:pPr>
    </w:p>
    <w:p w14:paraId="52A2C214" w14:textId="77777777" w:rsidR="00FA3DBA" w:rsidRPr="006E7AF8" w:rsidRDefault="00FA3DBA" w:rsidP="00FA3DBA">
      <w:pPr>
        <w:ind w:firstLine="360"/>
        <w:jc w:val="both"/>
        <w:rPr>
          <w:rFonts w:ascii="Book Antiqua" w:hAnsi="Book Antiqua"/>
          <w:szCs w:val="24"/>
          <w:lang w:val="es-ES_tradnl"/>
        </w:rPr>
      </w:pPr>
      <w:r w:rsidRPr="006E7AF8">
        <w:rPr>
          <w:rFonts w:ascii="Book Antiqua" w:hAnsi="Book Antiqua"/>
          <w:szCs w:val="24"/>
          <w:lang w:val="es-ES_tradnl"/>
        </w:rPr>
        <w:t xml:space="preserve">Para efectos de esta Ley, se define “veterano” como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w:t>
      </w:r>
      <w:r w:rsidRPr="006E7AF8">
        <w:rPr>
          <w:rFonts w:ascii="Book Antiqua" w:hAnsi="Book Antiqua"/>
          <w:szCs w:val="24"/>
          <w:lang w:val="es-ES_tradnl"/>
        </w:rPr>
        <w:lastRenderedPageBreak/>
        <w:t>Pública de los Estados Unidos, y en sus entidades sucesoras en derecho, y que tenga la condición de veterano, de acuerdo con las leyes federales vigentes. Incluirá las personas, cuyo servicio en los cuerpos de reserva de las Fuerzas Armadas o la Guardia Nacional cumpla con los requisitos dispuestos por dichas leyes</w:t>
      </w:r>
      <w:r w:rsidR="0080138B" w:rsidRPr="006E7AF8">
        <w:rPr>
          <w:rStyle w:val="FootnoteReference"/>
          <w:rFonts w:ascii="Book Antiqua" w:hAnsi="Book Antiqua"/>
          <w:szCs w:val="24"/>
          <w:lang w:val="es-ES_tradnl"/>
        </w:rPr>
        <w:footnoteReference w:id="1"/>
      </w:r>
      <w:r w:rsidRPr="006E7AF8">
        <w:rPr>
          <w:rFonts w:ascii="Book Antiqua" w:hAnsi="Book Antiqua"/>
          <w:szCs w:val="24"/>
          <w:lang w:val="es-ES_tradnl"/>
        </w:rPr>
        <w:t xml:space="preserve">. </w:t>
      </w:r>
    </w:p>
    <w:p w14:paraId="48FC6D1B" w14:textId="77777777" w:rsidR="00FA3DBA" w:rsidRPr="006E7AF8" w:rsidRDefault="00FA3DBA" w:rsidP="00FA3DBA">
      <w:pPr>
        <w:ind w:firstLine="360"/>
        <w:jc w:val="both"/>
        <w:rPr>
          <w:rFonts w:ascii="Book Antiqua" w:hAnsi="Book Antiqua"/>
          <w:szCs w:val="24"/>
          <w:lang w:val="es-ES_tradnl"/>
        </w:rPr>
      </w:pPr>
    </w:p>
    <w:p w14:paraId="16F2779B" w14:textId="77777777" w:rsidR="00FA3DBA" w:rsidRPr="006E7AF8" w:rsidRDefault="00FA3DBA" w:rsidP="00FA3DBA">
      <w:pPr>
        <w:ind w:firstLine="360"/>
        <w:jc w:val="both"/>
        <w:rPr>
          <w:rFonts w:ascii="Book Antiqua" w:hAnsi="Book Antiqua"/>
          <w:szCs w:val="24"/>
          <w:lang w:val="es-ES_tradnl"/>
        </w:rPr>
      </w:pPr>
      <w:r w:rsidRPr="006E7AF8">
        <w:rPr>
          <w:rFonts w:ascii="Book Antiqua" w:hAnsi="Book Antiqua"/>
          <w:szCs w:val="24"/>
          <w:lang w:val="es-ES_tradnl"/>
        </w:rPr>
        <w:t>Cabe mencionar que, en Puerto Rico los procesos de activaciones de alertas y búsquedas de personas desaparecidas están reguladas bajo la Ley 70-2008, conocida como “Ley Habilitadora para Desarrollar el Plan AMBER”; la Ley 132-2009, conocida como “Ley Habilitadora para implantar el Plan de Alerta SILVER”; la Ley 149-2019, conocida como “Ley Habilitadora para Establecer el Plan ROSA”; y por la Ley 1-2021, según enmendada, conocida como “Ley Habilitadora para Establecer el Plan de Alerta Ashanti”. A través de estas activaciones, se le pide al público que participe voluntariamente en la búsqueda o que aporte información para detectar a las personas desaparecidas o, inclusive, secuestradas, inmediatamente que ocurre el acto, a fin de prevenir mayores desgracias. A estos esfuerzos, se une la radio, televisión, carteles electrónicos en las vías públicas y sistemas de emisión de emergencia para diseminar la información acerca de los sospechosos y las víctimas, inmediatamente después de cometido el crimen o la desaparición.</w:t>
      </w:r>
    </w:p>
    <w:p w14:paraId="6EE34421" w14:textId="77777777" w:rsidR="00BB6E1D" w:rsidRPr="006E7AF8" w:rsidRDefault="00BB6E1D" w:rsidP="00FA3DBA">
      <w:pPr>
        <w:ind w:firstLine="360"/>
        <w:jc w:val="both"/>
        <w:rPr>
          <w:rFonts w:ascii="Book Antiqua" w:hAnsi="Book Antiqua"/>
          <w:szCs w:val="24"/>
          <w:lang w:val="es-ES_tradnl"/>
        </w:rPr>
      </w:pPr>
    </w:p>
    <w:p w14:paraId="1FB9A97D" w14:textId="77777777" w:rsidR="00BB6E1D" w:rsidRPr="006E7AF8" w:rsidRDefault="00BB6E1D" w:rsidP="00FA3DBA">
      <w:pPr>
        <w:ind w:firstLine="360"/>
        <w:jc w:val="both"/>
        <w:rPr>
          <w:rFonts w:ascii="Book Antiqua" w:hAnsi="Book Antiqua"/>
          <w:szCs w:val="24"/>
          <w:lang w:val="es-ES_tradnl"/>
        </w:rPr>
      </w:pPr>
      <w:r w:rsidRPr="006E7AF8">
        <w:rPr>
          <w:rFonts w:ascii="Book Antiqua" w:hAnsi="Book Antiqua"/>
          <w:szCs w:val="24"/>
          <w:lang w:val="es-ES_tradnl"/>
        </w:rPr>
        <w:t>Volviendo a la presente legislación, una advertencia de “Alerta Verde” alertaría al público sobre los veteranos desaparecidos y podría marcar la diferencia entre la vida y la muerte. Según el Informe Anual Nacional de Prevención del Suicidio de Veteranos del 2020, casi 18 veteranos mueren por suicidio todos los días.  El informe encontró que más de 46,000 adultos murieron por suicidio en 2018, incluidos 6,435 veteranos estadounidenses</w:t>
      </w:r>
      <w:r w:rsidRPr="006E7AF8">
        <w:rPr>
          <w:rStyle w:val="FootnoteReference"/>
          <w:rFonts w:ascii="Book Antiqua" w:hAnsi="Book Antiqua"/>
          <w:szCs w:val="24"/>
          <w:lang w:val="es-ES_tradnl"/>
        </w:rPr>
        <w:footnoteReference w:id="2"/>
      </w:r>
      <w:r w:rsidRPr="006E7AF8">
        <w:rPr>
          <w:rFonts w:ascii="Book Antiqua" w:hAnsi="Book Antiqua"/>
          <w:szCs w:val="24"/>
          <w:lang w:val="es-ES_tradnl"/>
        </w:rPr>
        <w:t>. Ciertamente, la alerta verde puede concientizar al público sobre los veteranos en riesgo.</w:t>
      </w:r>
    </w:p>
    <w:p w14:paraId="30A7F1DC" w14:textId="77777777" w:rsidR="00BB6E1D" w:rsidRPr="006E7AF8" w:rsidRDefault="00BB6E1D" w:rsidP="00FA3DBA">
      <w:pPr>
        <w:ind w:firstLine="360"/>
        <w:jc w:val="both"/>
        <w:rPr>
          <w:rFonts w:ascii="Book Antiqua" w:hAnsi="Book Antiqua"/>
          <w:szCs w:val="24"/>
          <w:lang w:val="es-ES_tradnl"/>
        </w:rPr>
      </w:pPr>
    </w:p>
    <w:p w14:paraId="35F64968" w14:textId="77777777" w:rsidR="00BB6E1D" w:rsidRPr="006E7AF8" w:rsidRDefault="00BB6E1D" w:rsidP="00BB6E1D">
      <w:pPr>
        <w:ind w:firstLine="360"/>
        <w:jc w:val="both"/>
        <w:rPr>
          <w:rFonts w:ascii="Book Antiqua" w:hAnsi="Book Antiqua"/>
          <w:szCs w:val="24"/>
          <w:lang w:val="es-ES_tradnl"/>
        </w:rPr>
      </w:pPr>
      <w:r w:rsidRPr="006E7AF8">
        <w:rPr>
          <w:rFonts w:ascii="Book Antiqua" w:hAnsi="Book Antiqua"/>
          <w:szCs w:val="24"/>
          <w:lang w:val="es-ES_tradnl"/>
        </w:rPr>
        <w:t>En el 2018, Wisconsin fue el primer estado en crear el sistema de alerta, inspirado en la familia del veterano de Milwaukee Corey Adams. Corey Adams, quien fue diagnosticado con trastorno de estrés postraumático y trastorno bipolar desapareció el 20 marzo del 2017. Lamentablemente, la policía de Milwaukee, tardó ocho días en iniciar una investigación después de que no cumpliera con los criterios para una persona desaparecida. Corey fue encontrado muerto semanas después. La importancia de la Alerta Verde no es solo notificar sobre una persona miembro del servicio está desaparecido y que se debe buscar, sino que también ataca el problema con claridad.</w:t>
      </w:r>
    </w:p>
    <w:p w14:paraId="446AF55F" w14:textId="77777777" w:rsidR="0080138B" w:rsidRPr="006E7AF8" w:rsidRDefault="0080138B" w:rsidP="00BB6E1D">
      <w:pPr>
        <w:ind w:firstLine="360"/>
        <w:jc w:val="both"/>
        <w:rPr>
          <w:rFonts w:ascii="Book Antiqua" w:hAnsi="Book Antiqua"/>
          <w:szCs w:val="24"/>
          <w:lang w:val="es-ES_tradnl"/>
        </w:rPr>
      </w:pPr>
    </w:p>
    <w:p w14:paraId="56540824" w14:textId="77777777" w:rsidR="0080138B" w:rsidRPr="006E7AF8" w:rsidRDefault="0080138B" w:rsidP="001A1FE5">
      <w:pPr>
        <w:ind w:firstLine="360"/>
        <w:jc w:val="both"/>
        <w:rPr>
          <w:rFonts w:ascii="Book Antiqua" w:hAnsi="Book Antiqua"/>
          <w:szCs w:val="24"/>
          <w:lang w:val="es-419"/>
        </w:rPr>
      </w:pPr>
      <w:r w:rsidRPr="006E7AF8">
        <w:rPr>
          <w:rFonts w:ascii="Book Antiqua" w:hAnsi="Book Antiqua"/>
          <w:szCs w:val="24"/>
          <w:lang w:val="es-419"/>
        </w:rPr>
        <w:t xml:space="preserve">Posterior a la aprobación de la Ley de Wisconsin, otros estados se han sumado a esta loable iniciativa, tales como Delaware, Kentucky, Connecticut y Texas. Asimismo, otras </w:t>
      </w:r>
      <w:r w:rsidRPr="006E7AF8">
        <w:rPr>
          <w:rFonts w:ascii="Book Antiqua" w:hAnsi="Book Antiqua"/>
          <w:szCs w:val="24"/>
          <w:lang w:val="es-419"/>
        </w:rPr>
        <w:lastRenderedPageBreak/>
        <w:t xml:space="preserve">tantas legislaturas estatales se encuentran en el proceso de considerar legislación similar. Ciertamente, ha llegado el momento de añadir a Puerto Rico en este esfuerzo. </w:t>
      </w:r>
    </w:p>
    <w:p w14:paraId="70C9239E" w14:textId="77777777" w:rsidR="0080138B" w:rsidRPr="006E7AF8" w:rsidRDefault="0080138B" w:rsidP="001A1FE5">
      <w:pPr>
        <w:ind w:firstLine="360"/>
        <w:jc w:val="both"/>
        <w:rPr>
          <w:rFonts w:ascii="Book Antiqua" w:hAnsi="Book Antiqua"/>
          <w:szCs w:val="24"/>
          <w:lang w:val="es-419"/>
        </w:rPr>
      </w:pPr>
    </w:p>
    <w:p w14:paraId="6F685CBB" w14:textId="77777777" w:rsidR="0080138B" w:rsidRPr="006E7AF8" w:rsidRDefault="0080138B" w:rsidP="001A1FE5">
      <w:pPr>
        <w:ind w:firstLine="360"/>
        <w:jc w:val="both"/>
        <w:rPr>
          <w:rFonts w:ascii="Book Antiqua" w:hAnsi="Book Antiqua"/>
          <w:szCs w:val="24"/>
          <w:lang w:val="es-419"/>
        </w:rPr>
      </w:pPr>
      <w:r w:rsidRPr="006E7AF8">
        <w:rPr>
          <w:rFonts w:ascii="Book Antiqua" w:hAnsi="Book Antiqua"/>
          <w:szCs w:val="24"/>
          <w:lang w:val="es-419"/>
        </w:rPr>
        <w:t>No perdamos de perspectiva que, ha sido práctica reiterada del Gobierno de Puerto Rico hacer valer los derechos de todo hombre y mujer, que, de forma valerosa y sacrificada, han formado parte de las Fuerzas Armadas de los Estados Unidos y han defendido los postulados de la democracia y libertad que cobijan a nuestro sistema de gobierno. Lamentablemente, sabemos que algunos de nuestros veteranos sufren de algún trastorno, luego de experimentar alguna situación traumática. Específicamente, el (TEPT). El trastorno por estrés postraumático es una afección diagnosticada que puede presentarse después de que una persona se ve expuesta a un hecho traumático. El TEPT es una condición muy común para muchos veteranos después del servicio militar. Los síntomas pueden incluir pensamientos, sensaciones o sueños perturbadores relacionados con los hechos, problemas mentales o físicos, problemas para dormir y cambios en la manera en que una persona piensa y se siente</w:t>
      </w:r>
      <w:r w:rsidRPr="006E7AF8">
        <w:rPr>
          <w:rStyle w:val="FootnoteReference"/>
          <w:rFonts w:ascii="Book Antiqua" w:hAnsi="Book Antiqua"/>
          <w:szCs w:val="24"/>
          <w:lang w:val="es-419"/>
        </w:rPr>
        <w:footnoteReference w:id="3"/>
      </w:r>
      <w:r w:rsidRPr="006E7AF8">
        <w:rPr>
          <w:rFonts w:ascii="Book Antiqua" w:hAnsi="Book Antiqua"/>
          <w:szCs w:val="24"/>
          <w:lang w:val="es-419"/>
        </w:rPr>
        <w:t>.</w:t>
      </w:r>
    </w:p>
    <w:p w14:paraId="11BA6759" w14:textId="77777777" w:rsidR="0080138B" w:rsidRPr="006E7AF8" w:rsidRDefault="0080138B" w:rsidP="001A1FE5">
      <w:pPr>
        <w:ind w:firstLine="360"/>
        <w:jc w:val="both"/>
        <w:rPr>
          <w:rFonts w:ascii="Book Antiqua" w:hAnsi="Book Antiqua"/>
          <w:szCs w:val="24"/>
          <w:lang w:val="es-419"/>
        </w:rPr>
      </w:pPr>
    </w:p>
    <w:p w14:paraId="371B8D16" w14:textId="77777777" w:rsidR="001A1FE5" w:rsidRPr="006E7AF8" w:rsidRDefault="00BB6E1D" w:rsidP="001A1FE5">
      <w:pPr>
        <w:ind w:firstLine="360"/>
        <w:jc w:val="both"/>
        <w:rPr>
          <w:rFonts w:ascii="Book Antiqua" w:hAnsi="Book Antiqua"/>
          <w:szCs w:val="24"/>
          <w:lang w:val="es-ES_tradnl"/>
        </w:rPr>
      </w:pPr>
      <w:r w:rsidRPr="006E7AF8">
        <w:rPr>
          <w:rFonts w:ascii="Book Antiqua" w:hAnsi="Book Antiqua"/>
          <w:szCs w:val="24"/>
          <w:lang w:val="es-ES_tradnl"/>
        </w:rPr>
        <w:t>Sin duda, resulta imprescindible implementar en Puerto Rico, el sistema de Alerta Verde, para darle las herramientas necesarias a las agencias pertinentes para que puedan encontrar sanos y salvos a cualquier veterano que desaparezca</w:t>
      </w:r>
      <w:r w:rsidR="0080138B" w:rsidRPr="006E7AF8">
        <w:rPr>
          <w:rFonts w:ascii="Book Antiqua" w:hAnsi="Book Antiqua"/>
          <w:szCs w:val="24"/>
          <w:lang w:val="es-ES_tradnl"/>
        </w:rPr>
        <w:t xml:space="preserve">, debido a alguna situación de trastorno por estrés postraumático u otro evento. </w:t>
      </w:r>
    </w:p>
    <w:p w14:paraId="370050F8" w14:textId="77777777" w:rsidR="00BB6E1D" w:rsidRPr="00673736" w:rsidRDefault="00BB6E1D" w:rsidP="001A1FE5">
      <w:pPr>
        <w:ind w:firstLine="360"/>
        <w:jc w:val="both"/>
        <w:rPr>
          <w:rFonts w:ascii="Book Antiqua" w:hAnsi="Book Antiqua"/>
          <w:szCs w:val="24"/>
          <w:lang w:val="es-ES_tradnl"/>
        </w:rPr>
      </w:pPr>
    </w:p>
    <w:p w14:paraId="222F1AFA" w14:textId="77777777" w:rsidR="00B11D36" w:rsidRPr="006E7AF8" w:rsidRDefault="00B11D36" w:rsidP="003176C1">
      <w:pPr>
        <w:spacing w:line="480" w:lineRule="auto"/>
        <w:jc w:val="both"/>
        <w:rPr>
          <w:rFonts w:ascii="Book Antiqua" w:hAnsi="Book Antiqua"/>
          <w:i/>
          <w:lang w:val="es-ES_tradnl"/>
        </w:rPr>
      </w:pPr>
      <w:r w:rsidRPr="006E7AF8">
        <w:rPr>
          <w:rFonts w:ascii="Book Antiqua" w:hAnsi="Book Antiqua"/>
          <w:i/>
          <w:lang w:val="es-ES_tradnl"/>
        </w:rPr>
        <w:t>DECR</w:t>
      </w:r>
      <w:r w:rsidR="003176C1" w:rsidRPr="006E7AF8">
        <w:rPr>
          <w:rFonts w:ascii="Book Antiqua" w:hAnsi="Book Antiqua"/>
          <w:i/>
          <w:lang w:val="es-ES_tradnl"/>
        </w:rPr>
        <w:t>É</w:t>
      </w:r>
      <w:r w:rsidRPr="006E7AF8">
        <w:rPr>
          <w:rFonts w:ascii="Book Antiqua" w:hAnsi="Book Antiqua"/>
          <w:i/>
          <w:lang w:val="es-ES_tradnl"/>
        </w:rPr>
        <w:t>TASE POR LA ASAMBLEA LEGISLATIVA DE PUERTO RICO:</w:t>
      </w:r>
    </w:p>
    <w:p w14:paraId="042ABD58" w14:textId="77777777" w:rsidR="00B11D36" w:rsidRPr="006E7AF8" w:rsidRDefault="00B11D36" w:rsidP="002822F1">
      <w:pPr>
        <w:spacing w:line="480" w:lineRule="auto"/>
        <w:jc w:val="both"/>
        <w:rPr>
          <w:rFonts w:ascii="Book Antiqua" w:hAnsi="Book Antiqua"/>
          <w:i/>
          <w:lang w:val="es-ES_tradnl"/>
        </w:rPr>
        <w:sectPr w:rsidR="00B11D36" w:rsidRPr="006E7AF8" w:rsidSect="00A931E9">
          <w:headerReference w:type="default" r:id="rId8"/>
          <w:type w:val="continuous"/>
          <w:pgSz w:w="12240" w:h="15840" w:code="1"/>
          <w:pgMar w:top="1440" w:right="1440" w:bottom="1440" w:left="1440" w:header="720" w:footer="720" w:gutter="0"/>
          <w:cols w:space="720"/>
          <w:titlePg/>
          <w:docGrid w:linePitch="326"/>
        </w:sectPr>
      </w:pPr>
    </w:p>
    <w:p w14:paraId="76AE883F" w14:textId="77777777" w:rsidR="001A1FE5" w:rsidRPr="006E7AF8" w:rsidRDefault="001A1FE5" w:rsidP="001A1FE5">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1. — Título </w:t>
      </w:r>
    </w:p>
    <w:p w14:paraId="20ADCA55" w14:textId="77777777" w:rsidR="001A1FE5" w:rsidRPr="006E7AF8" w:rsidRDefault="001A1FE5" w:rsidP="001A1FE5">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Esta Ley podrá citarse como “Ley Habilitadora para Implantar el Plan de Alerta Verde”. </w:t>
      </w:r>
    </w:p>
    <w:p w14:paraId="4637D2A8" w14:textId="77777777" w:rsidR="001A1FE5" w:rsidRPr="006E7AF8" w:rsidRDefault="001A1FE5" w:rsidP="001A1FE5">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2.- Definición</w:t>
      </w:r>
    </w:p>
    <w:p w14:paraId="66993E36" w14:textId="77777777" w:rsidR="001A1FE5" w:rsidRPr="006E7AF8" w:rsidRDefault="001A1FE5" w:rsidP="001A1FE5">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Para efectos de esta Ley, “veterano” significa toda persona que haya servido, honorablemente, en las Fuerzas Armadas de los Estados Unidos de América, entiéndanse el Ejército, Marina de Guerra, Fuerza Aérea, Cuerpo de Infantería de Marina y la Guardia Costanera de los Estados Unidos, así como en el Cuerpo de Oficiales del Servicio de Salud Pública de los Estados Unidos, y en sus entidades sucesoras en derecho, y que tenga la </w:t>
      </w:r>
      <w:r w:rsidRPr="006E7AF8">
        <w:rPr>
          <w:rFonts w:ascii="Book Antiqua" w:hAnsi="Book Antiqua"/>
          <w:szCs w:val="24"/>
          <w:lang w:val="es-ES_tradnl"/>
        </w:rPr>
        <w:lastRenderedPageBreak/>
        <w:t>condición de veterano, de acuerdo con las leyes federales vigentes. Incluirá las personas, cuyo servicio en los cuerpos de reserva de las Fuerzas Armadas o la Guardia Nacional cumpla con los requisitos dispuestos por dichas leyes. Los términos “veterano” o “veterana” podrán usarse, indistintamente, y esta Ley será indiferente en cuanto al género de la persona.</w:t>
      </w:r>
    </w:p>
    <w:p w14:paraId="1FF48CE3" w14:textId="77777777" w:rsidR="001A1FE5" w:rsidRPr="006E7AF8" w:rsidRDefault="001A1FE5" w:rsidP="001A1FE5">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3.- </w:t>
      </w:r>
      <w:r w:rsidR="00C524E8" w:rsidRPr="006E7AF8">
        <w:rPr>
          <w:rFonts w:ascii="Book Antiqua" w:hAnsi="Book Antiqua"/>
          <w:szCs w:val="24"/>
          <w:lang w:val="es-ES_tradnl"/>
        </w:rPr>
        <w:t>Establecimiento</w:t>
      </w:r>
    </w:p>
    <w:p w14:paraId="03CDB031"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El Negociado de la Policía del Departamento de Seguridad Pública de Puerto Rico establecerá un “Plan de Alerta Verde”, cuyo propósito será activar el protocolo a seguir por las agencias de seguridad y entidades públicas sobre la desaparición de un veterano que sufra de un trastorno de estrés postraumático u otras discapacidades físicas o mentales; o en circunstancias que se pueda entender que la seguridad física del veterano desaparecido pueda estar comprometida; o que la desaparición del veterano haya sido involuntaria. El Negociado de la Policía de Puerto Rico, adscrito al Departamento de Seguridad Pública, será la agencia primaria responsable de operar el Plan. Dicho protocolo incluirá a los cuerpos de las policías municipales, el Departamento de Transportación y Obras Públicas, el Negociado de Manejo de Emergencias y Administración de Desastres, así como cualquier otra entidad pública local, federal o municipal, empresa privada, al igual que cualquier medio de comunicación, podrá voluntariamente participar y unirse en este esfuerzo de colaboración.</w:t>
      </w:r>
    </w:p>
    <w:p w14:paraId="04ED0578"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El Negociado de la Policía activará el protocolo y emitirá una alerta cuando se cumpla alguno de los criterios establecidos en el Artículo 4 de esta Ley.</w:t>
      </w:r>
    </w:p>
    <w:p w14:paraId="13F792E1"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4.- Criterios</w:t>
      </w:r>
    </w:p>
    <w:p w14:paraId="1BCA83C1"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lastRenderedPageBreak/>
        <w:t>Los siguientes serán los criterios para emitir una Alerta o activar el Plan de Alerta Verde:</w:t>
      </w:r>
    </w:p>
    <w:p w14:paraId="432D3790"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(1) El veterano deberá ser un adulto de dieciocho (18) años o más que, por los hechos relatados al Negociado de la Policía de Puerto Rico y sus circunstancias, pudiera entenderse que está desaparecido; </w:t>
      </w:r>
    </w:p>
    <w:p w14:paraId="38B96ED9"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(2) el ciudadano que alerte al Negociado de la Policía de Puerto Rico sobre la desaparición de este veterano deberá acreditar las condiciones y circunstancias por las cuales entiende que dicho veterano está desaparecido, que sufre de un trastorno de estrés postraumático u otras discapacidades físicas o mentales o por la cual entiende que la seguridad física del veterano desaparecido está comprometida; y </w:t>
      </w:r>
    </w:p>
    <w:p w14:paraId="3CDE4503"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(3) el Negociado de la Policía de Puerto Rico ha determinado que por el relato ofrecido se cumplen con los requisitos antes mencionados para entender que, el veterano está desparecido; y</w:t>
      </w:r>
    </w:p>
    <w:p w14:paraId="360A5730"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(4) la persona que notifique debe proveer la siguiente información: nombre, edad, descripción física, foto, vestimenta de la última vez que fue visto, hora que fue visto por última vez y toda otra información que pueda ser de utilidad para identificar y localizar al veterano desaparecido. Incluyendo notificar si el veterano desaparecido tiene acceso a las redes sociales.</w:t>
      </w:r>
    </w:p>
    <w:p w14:paraId="45BF90C6"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Además, el Negociado de la Policía de Puerto Rico evaluará si las circunstancias que rodean la posible desaparición del veterano indican que este se encuentra en peligro de muerte o de recibir grave daño corporal, y determinará si activar la Alerta puede poner </w:t>
      </w:r>
      <w:r w:rsidRPr="006E7AF8">
        <w:rPr>
          <w:rFonts w:ascii="Book Antiqua" w:hAnsi="Book Antiqua"/>
          <w:szCs w:val="24"/>
          <w:lang w:val="es-ES_tradnl"/>
        </w:rPr>
        <w:lastRenderedPageBreak/>
        <w:t>en mayor riesgo al veterano. En los casos que así lo amerite, el Negociado de la Policía de Puerto Rico realizará una alerta pública.</w:t>
      </w:r>
    </w:p>
    <w:p w14:paraId="6121C894" w14:textId="77777777" w:rsidR="00C524E8" w:rsidRPr="006E7AF8" w:rsidRDefault="00C524E8" w:rsidP="00C524E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5.-</w:t>
      </w:r>
      <w:r w:rsidR="00FB1F18" w:rsidRPr="006E7AF8">
        <w:rPr>
          <w:rFonts w:ascii="Book Antiqua" w:hAnsi="Book Antiqua"/>
          <w:lang w:val="es-419"/>
        </w:rPr>
        <w:t xml:space="preserve"> </w:t>
      </w:r>
      <w:r w:rsidR="00FB1F18" w:rsidRPr="006E7AF8">
        <w:rPr>
          <w:rFonts w:ascii="Book Antiqua" w:hAnsi="Book Antiqua"/>
          <w:szCs w:val="24"/>
          <w:lang w:val="es-ES_tradnl"/>
        </w:rPr>
        <w:t>Transmisión de la alerta</w:t>
      </w:r>
    </w:p>
    <w:p w14:paraId="6818CEFF"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Tan pronto el Negociado de la Policía de Puerto Rico remita la información, los medios de comunicación y entidades participantes acordarán voluntariamente transmitir las alertas de emergencia al público relacionadas con casos de desaparición de veteranos que cumplan con los requisitos dispuestos en esta Ley.</w:t>
      </w:r>
    </w:p>
    <w:p w14:paraId="1ACA08CC"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Luego de un sonido distintivo, la alerta debe leer: “Esta es una Alerta Verde de un veterano desaparecido”. Las alertas deben ser difundidas lo más pronto posible y repetidas frecuentemente, siguiendo las guías del </w:t>
      </w:r>
      <w:proofErr w:type="spellStart"/>
      <w:r w:rsidRPr="006E7AF8">
        <w:rPr>
          <w:rFonts w:ascii="Book Antiqua" w:hAnsi="Book Antiqua"/>
          <w:szCs w:val="24"/>
          <w:lang w:val="es-ES_tradnl"/>
        </w:rPr>
        <w:t>Emergency</w:t>
      </w:r>
      <w:proofErr w:type="spellEnd"/>
      <w:r w:rsidRPr="006E7AF8">
        <w:rPr>
          <w:rFonts w:ascii="Book Antiqua" w:hAnsi="Book Antiqua"/>
          <w:szCs w:val="24"/>
          <w:lang w:val="es-ES_tradnl"/>
        </w:rPr>
        <w:t xml:space="preserve"> </w:t>
      </w:r>
      <w:proofErr w:type="spellStart"/>
      <w:r w:rsidRPr="006E7AF8">
        <w:rPr>
          <w:rFonts w:ascii="Book Antiqua" w:hAnsi="Book Antiqua"/>
          <w:szCs w:val="24"/>
          <w:lang w:val="es-ES_tradnl"/>
        </w:rPr>
        <w:t>Alert</w:t>
      </w:r>
      <w:proofErr w:type="spellEnd"/>
      <w:r w:rsidRPr="006E7AF8">
        <w:rPr>
          <w:rFonts w:ascii="Book Antiqua" w:hAnsi="Book Antiqua"/>
          <w:szCs w:val="24"/>
          <w:lang w:val="es-ES_tradnl"/>
        </w:rPr>
        <w:t xml:space="preserve"> </w:t>
      </w:r>
      <w:proofErr w:type="spellStart"/>
      <w:r w:rsidRPr="006E7AF8">
        <w:rPr>
          <w:rFonts w:ascii="Book Antiqua" w:hAnsi="Book Antiqua"/>
          <w:szCs w:val="24"/>
          <w:lang w:val="es-ES_tradnl"/>
        </w:rPr>
        <w:t>System</w:t>
      </w:r>
      <w:proofErr w:type="spellEnd"/>
      <w:r w:rsidRPr="006E7AF8">
        <w:rPr>
          <w:rFonts w:ascii="Book Antiqua" w:hAnsi="Book Antiqua"/>
          <w:szCs w:val="24"/>
          <w:lang w:val="es-ES_tradnl"/>
        </w:rPr>
        <w:t xml:space="preserve"> (EAS).</w:t>
      </w:r>
    </w:p>
    <w:p w14:paraId="53C02CC3"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En el caso del Departamento de Transportación y Obras Públicas, hará disponible los carteles electrónicos ubicados en las vías públicas, para la emisión de las alertas, una vez el Negociado de la Policía de Puerto Rico active la alerta.</w:t>
      </w:r>
    </w:p>
    <w:p w14:paraId="0E820697"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Las alertas incluirán información sobre la descripción de la persona, y la dirección del lugar donde último fue vista. Luego de emitirse la Alerta, será deber del Negociado de la Policía de Puerto Rico suplementar y actualizar la información disponible a los medios de comunicación y entidades de comunicación y entidades participantes.</w:t>
      </w:r>
    </w:p>
    <w:p w14:paraId="2D4388DA"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Las alertas también proveerán al público información específica en torno a cómo pueden comunicarse con las autoridades para proveer información relacionada al esclarecimiento del caso.</w:t>
      </w:r>
    </w:p>
    <w:p w14:paraId="12E5DD4D" w14:textId="77777777" w:rsidR="001A1FE5"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Independientemente del esclarecimiento del caso, la Alerta podrá concluir en cualquier momento en que el Negociado de la Policía de Puerto Rico lo solicite.</w:t>
      </w:r>
    </w:p>
    <w:p w14:paraId="17679F1A"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lastRenderedPageBreak/>
        <w:t xml:space="preserve">Artículo 6.- </w:t>
      </w:r>
      <w:proofErr w:type="gramStart"/>
      <w:r w:rsidRPr="006E7AF8">
        <w:rPr>
          <w:rFonts w:ascii="Book Antiqua" w:hAnsi="Book Antiqua"/>
          <w:szCs w:val="24"/>
          <w:lang w:val="es-ES_tradnl"/>
        </w:rPr>
        <w:t>Funcionario</w:t>
      </w:r>
      <w:proofErr w:type="gramEnd"/>
      <w:r w:rsidRPr="006E7AF8">
        <w:rPr>
          <w:rFonts w:ascii="Book Antiqua" w:hAnsi="Book Antiqua"/>
          <w:szCs w:val="24"/>
          <w:lang w:val="es-ES_tradnl"/>
        </w:rPr>
        <w:t xml:space="preserve"> responsable para divulgación de normas</w:t>
      </w:r>
    </w:p>
    <w:p w14:paraId="7D4F70E6"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El Comisionado del Negociado de la Policía de Puerto Rico será el funcionario gubernamental responsable de la divulgación de las normas, reglas o reglamentos establecidos para la ejecución de la Alerta Verde.</w:t>
      </w:r>
    </w:p>
    <w:p w14:paraId="6BAB1A31"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7.- Multa y Penalidad. </w:t>
      </w:r>
    </w:p>
    <w:p w14:paraId="1E18C6B5" w14:textId="77777777" w:rsidR="001A1FE5"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Toda persona que, mediante querella o solicitud, declare o alegue falsamente teniendo conocimiento de su falsedad, que ha ocurrido una desaparición, que provoque la activación de esta alerta y los recursos del Estado, incurrirá en delito menos grave y una multa fija de mil ($1,000) dólares.</w:t>
      </w:r>
    </w:p>
    <w:p w14:paraId="378BDFCD"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8.- Donativos o aportaciones</w:t>
      </w:r>
    </w:p>
    <w:p w14:paraId="0C159158"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 los fines de ampliar el alcance para la emisión de las alertas, se autoriza al Departamento de Transportación y Obras Públicas a recibir, peticionar, aceptar, redactar y someter propuestas para donativos y aportaciones de recursos de fuentes públicas y privadas; parear cualesquiera fondos disponibles con aportaciones municipales, estatales, federales o del sector privado; así como a establecer acuerdos colaborativos con cualquier entidad, pública o privada, con la disposición de participar o colaborar en el financiamiento, la ubicación y mantenimiento de nuevos carteles electrónicos, así como el mantenimiento de los ya disponibles.</w:t>
      </w:r>
    </w:p>
    <w:p w14:paraId="32759697"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9.- Se enmienda el Artículo 2.03 de la Ley 20-2017, según enmendada, para que lea como sigue: </w:t>
      </w:r>
    </w:p>
    <w:p w14:paraId="641EEC7B"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2.03.- Definiciones. </w:t>
      </w:r>
    </w:p>
    <w:p w14:paraId="11630B6B" w14:textId="77777777" w:rsidR="001A1FE5"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lastRenderedPageBreak/>
        <w:t>Para fines de esta Ley, los siguientes términos tendrán el significado que a continuación se expresa, a menos que del contexto surja claramente otro significado:</w:t>
      </w:r>
    </w:p>
    <w:p w14:paraId="1FB9CE75"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w:t>
      </w:r>
    </w:p>
    <w:p w14:paraId="36321607"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w:t>
      </w:r>
    </w:p>
    <w:p w14:paraId="3A83D4DF" w14:textId="77777777" w:rsidR="00FB1F18" w:rsidRPr="006E7AF8" w:rsidRDefault="00FB1F18" w:rsidP="00FB1F18">
      <w:pPr>
        <w:spacing w:line="480" w:lineRule="auto"/>
        <w:ind w:firstLine="360"/>
        <w:jc w:val="both"/>
        <w:rPr>
          <w:rFonts w:ascii="Book Antiqua" w:hAnsi="Book Antiqua"/>
          <w:i/>
          <w:iCs/>
          <w:szCs w:val="24"/>
          <w:lang w:val="es-ES_tradnl"/>
        </w:rPr>
      </w:pPr>
      <w:r w:rsidRPr="006E7AF8">
        <w:rPr>
          <w:rFonts w:ascii="Book Antiqua" w:hAnsi="Book Antiqua"/>
          <w:i/>
          <w:iCs/>
          <w:szCs w:val="24"/>
          <w:lang w:val="es-ES_tradnl"/>
        </w:rPr>
        <w:t>(ñ) Plan de Alerta Verde - Significa la alerta para atender casos de desaparición de un veterano de las Fuerzas Armadas de los Estados Unidos de América, que sufra de un trastorno de estrés postraumático u otras discapacidades físicas o mentales; o en circunstancias que se pueda entender que la seguridad física del veterano desaparecido pueda estar comprometida; o que la desaparición del veterano haya sido involuntaria.</w:t>
      </w:r>
    </w:p>
    <w:p w14:paraId="6E8A500B" w14:textId="77777777" w:rsidR="00FB1F18" w:rsidRPr="006E7AF8" w:rsidRDefault="00FB1F18" w:rsidP="00FB1F18">
      <w:pPr>
        <w:spacing w:line="480" w:lineRule="auto"/>
        <w:ind w:firstLine="360"/>
        <w:jc w:val="both"/>
        <w:rPr>
          <w:rFonts w:ascii="Book Antiqua" w:hAnsi="Book Antiqua"/>
          <w:szCs w:val="24"/>
          <w:lang w:val="es-ES_tradnl"/>
        </w:rPr>
      </w:pPr>
      <w:r w:rsidRPr="006E7AF8">
        <w:rPr>
          <w:rFonts w:ascii="Book Antiqua" w:hAnsi="Book Antiqua"/>
          <w:b/>
          <w:bCs/>
          <w:szCs w:val="24"/>
          <w:lang w:val="es-ES_tradnl"/>
        </w:rPr>
        <w:t>[(ñ)]</w:t>
      </w:r>
      <w:r w:rsidRPr="006E7AF8">
        <w:rPr>
          <w:rFonts w:ascii="Book Antiqua" w:hAnsi="Book Antiqua"/>
          <w:szCs w:val="24"/>
          <w:lang w:val="es-ES_tradnl"/>
        </w:rPr>
        <w:t xml:space="preserve"> </w:t>
      </w:r>
      <w:r w:rsidRPr="006E7AF8">
        <w:rPr>
          <w:rFonts w:ascii="Book Antiqua" w:hAnsi="Book Antiqua"/>
          <w:i/>
          <w:iCs/>
          <w:szCs w:val="24"/>
          <w:lang w:val="es-ES_tradnl"/>
        </w:rPr>
        <w:t>(o)</w:t>
      </w:r>
      <w:r w:rsidRPr="006E7AF8">
        <w:rPr>
          <w:rFonts w:ascii="Book Antiqua" w:hAnsi="Book Antiqua"/>
          <w:szCs w:val="24"/>
          <w:lang w:val="es-ES_tradnl"/>
        </w:rPr>
        <w:t xml:space="preserve"> Propietarios — Significa aquellas personas naturales o jurídicas propietarias de cualquier negocio dedicado a la venta, alquiler o entrenamiento de perros guardianes de seguridad y protectores.”</w:t>
      </w:r>
    </w:p>
    <w:p w14:paraId="4B2D9874" w14:textId="77777777" w:rsidR="008B3FD9" w:rsidRPr="006E7AF8" w:rsidRDefault="008B3FD9" w:rsidP="00FB1F18">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10.- Se enmienda el Artículo 2.04 de la Ley 20-2017, según enmendada, para que lea como sigue:</w:t>
      </w:r>
    </w:p>
    <w:p w14:paraId="2F3E67B1" w14:textId="77777777" w:rsidR="008B3FD9" w:rsidRPr="006E7AF8" w:rsidRDefault="008B3FD9" w:rsidP="008B3FD9">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2.04. — Comisionado del Negociado; Facultades y Deberes. </w:t>
      </w:r>
    </w:p>
    <w:p w14:paraId="081CCB12" w14:textId="77777777" w:rsidR="008B3FD9" w:rsidRPr="006E7AF8" w:rsidRDefault="008B3FD9" w:rsidP="008B3FD9">
      <w:pPr>
        <w:spacing w:line="480" w:lineRule="auto"/>
        <w:ind w:firstLine="360"/>
        <w:jc w:val="both"/>
        <w:rPr>
          <w:rFonts w:ascii="Book Antiqua" w:hAnsi="Book Antiqua"/>
          <w:szCs w:val="24"/>
          <w:lang w:val="es-ES_tradnl"/>
        </w:rPr>
      </w:pPr>
      <w:r w:rsidRPr="006E7AF8">
        <w:rPr>
          <w:rFonts w:ascii="Book Antiqua" w:hAnsi="Book Antiqua"/>
          <w:szCs w:val="24"/>
          <w:lang w:val="es-ES_tradnl"/>
        </w:rPr>
        <w:t>El Comisionado del Negociado de la Policía de Puerto Rico tendrá las siguientes facultades y deberes:</w:t>
      </w:r>
    </w:p>
    <w:p w14:paraId="53A715E1" w14:textId="77777777" w:rsidR="008B3FD9" w:rsidRPr="006E7AF8" w:rsidRDefault="008B3FD9" w:rsidP="008B3FD9">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w:t>
      </w:r>
    </w:p>
    <w:p w14:paraId="4BFF3640" w14:textId="77777777" w:rsidR="008B3FD9" w:rsidRPr="006E7AF8" w:rsidRDefault="008B3FD9" w:rsidP="008B3FD9">
      <w:pPr>
        <w:spacing w:line="480" w:lineRule="auto"/>
        <w:ind w:firstLine="360"/>
        <w:jc w:val="both"/>
        <w:rPr>
          <w:rFonts w:ascii="Book Antiqua" w:hAnsi="Book Antiqua"/>
          <w:szCs w:val="24"/>
          <w:lang w:val="es-ES_tradnl"/>
        </w:rPr>
      </w:pPr>
      <w:r w:rsidRPr="006E7AF8">
        <w:rPr>
          <w:rFonts w:ascii="Book Antiqua" w:hAnsi="Book Antiqua"/>
          <w:szCs w:val="24"/>
          <w:lang w:val="es-ES_tradnl"/>
        </w:rPr>
        <w:t>…</w:t>
      </w:r>
    </w:p>
    <w:p w14:paraId="18D1031A" w14:textId="77777777" w:rsidR="001A1FE5" w:rsidRPr="006E7AF8" w:rsidRDefault="008B3FD9" w:rsidP="008B3FD9">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(i) Desarrollará, en coordinación con el Comisionado de la Comisión Federal de Comunicaciones en Puerto Rico, o con el Comisionado del Negociado de Manejo de Emergencias y Administración de Desastres la implantación del Plan AMBER; Plan </w:t>
      </w:r>
      <w:r w:rsidRPr="006E7AF8">
        <w:rPr>
          <w:rFonts w:ascii="Book Antiqua" w:hAnsi="Book Antiqua"/>
          <w:szCs w:val="24"/>
          <w:lang w:val="es-ES_tradnl"/>
        </w:rPr>
        <w:lastRenderedPageBreak/>
        <w:t>SILVER; Plan Mayra Elías, Plan ROSA</w:t>
      </w:r>
      <w:r w:rsidRPr="006E7AF8">
        <w:rPr>
          <w:rFonts w:ascii="Book Antiqua" w:hAnsi="Book Antiqua"/>
          <w:i/>
          <w:iCs/>
          <w:szCs w:val="24"/>
          <w:lang w:val="es-ES_tradnl"/>
        </w:rPr>
        <w:t>,</w:t>
      </w:r>
      <w:r w:rsidRPr="006E7AF8">
        <w:rPr>
          <w:rFonts w:ascii="Book Antiqua" w:hAnsi="Book Antiqua"/>
          <w:szCs w:val="24"/>
          <w:lang w:val="es-ES_tradnl"/>
        </w:rPr>
        <w:t xml:space="preserve"> </w:t>
      </w:r>
      <w:r w:rsidRPr="006E7AF8">
        <w:rPr>
          <w:rFonts w:ascii="Book Antiqua" w:hAnsi="Book Antiqua"/>
          <w:b/>
          <w:bCs/>
          <w:szCs w:val="24"/>
          <w:lang w:val="es-ES_tradnl"/>
        </w:rPr>
        <w:t>[y]</w:t>
      </w:r>
      <w:r w:rsidRPr="006E7AF8">
        <w:rPr>
          <w:rFonts w:ascii="Book Antiqua" w:hAnsi="Book Antiqua"/>
          <w:szCs w:val="24"/>
          <w:lang w:val="es-ES_tradnl"/>
        </w:rPr>
        <w:t xml:space="preserve"> el Plan de Alerta Ashanti</w:t>
      </w:r>
      <w:r w:rsidRPr="006E7AF8">
        <w:rPr>
          <w:rFonts w:ascii="Book Antiqua" w:hAnsi="Book Antiqua"/>
          <w:i/>
          <w:iCs/>
          <w:szCs w:val="24"/>
          <w:lang w:val="es-ES_tradnl"/>
        </w:rPr>
        <w:t xml:space="preserve"> y el Plan de Alerta Verde</w:t>
      </w:r>
      <w:r w:rsidRPr="006E7AF8">
        <w:rPr>
          <w:rFonts w:ascii="Book Antiqua" w:hAnsi="Book Antiqua"/>
          <w:szCs w:val="24"/>
          <w:lang w:val="es-ES_tradnl"/>
        </w:rPr>
        <w:t>. Además, promoverá su adopción entre los distintos sistemas de cable, redes sociales, sistema de alerta de emergencia en celulares, radiodifusores, emisoras de radio y televisión local, hasta tanto la Comisión Federal de Comunicaciones (FFC) lo haga mandatorio mediante la aprobación de la reglamentación correspondiente.</w:t>
      </w:r>
    </w:p>
    <w:p w14:paraId="2570CBB9" w14:textId="77777777" w:rsidR="008B3FD9" w:rsidRPr="006E7AF8" w:rsidRDefault="008B3FD9" w:rsidP="006362D3">
      <w:pPr>
        <w:spacing w:line="480" w:lineRule="auto"/>
        <w:ind w:firstLine="360"/>
        <w:jc w:val="both"/>
        <w:rPr>
          <w:rFonts w:ascii="Book Antiqua" w:hAnsi="Book Antiqua"/>
          <w:szCs w:val="24"/>
          <w:lang w:val="es-ES_tradnl"/>
        </w:rPr>
      </w:pPr>
      <w:r w:rsidRPr="006E7AF8">
        <w:rPr>
          <w:rFonts w:ascii="Book Antiqua" w:hAnsi="Book Antiqua"/>
          <w:szCs w:val="24"/>
          <w:lang w:val="es-ES_tradnl"/>
        </w:rPr>
        <w:t>…”</w:t>
      </w:r>
      <w:bookmarkStart w:id="0" w:name="{1C1B4}"/>
    </w:p>
    <w:p w14:paraId="7344326C" w14:textId="77777777" w:rsidR="006362D3" w:rsidRPr="006E7AF8" w:rsidRDefault="008B3FD9" w:rsidP="006362D3">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11.- </w:t>
      </w:r>
      <w:r w:rsidR="00854970" w:rsidRPr="006E7AF8">
        <w:rPr>
          <w:rFonts w:ascii="Book Antiqua" w:hAnsi="Book Antiqua"/>
          <w:szCs w:val="24"/>
          <w:lang w:val="es-ES_tradnl"/>
        </w:rPr>
        <w:t xml:space="preserve">Por la presente se deroga cualquier ley, o parte de ley, que sea incompatible con ésta. </w:t>
      </w:r>
    </w:p>
    <w:p w14:paraId="1A4F5E9C" w14:textId="77777777" w:rsidR="006362D3" w:rsidRPr="006E7AF8" w:rsidRDefault="008B3FD9" w:rsidP="006362D3">
      <w:pPr>
        <w:spacing w:line="480" w:lineRule="auto"/>
        <w:ind w:firstLine="360"/>
        <w:jc w:val="both"/>
        <w:rPr>
          <w:rFonts w:ascii="Book Antiqua" w:hAnsi="Book Antiqua"/>
          <w:szCs w:val="24"/>
          <w:lang w:val="es-ES_tradnl"/>
        </w:rPr>
      </w:pPr>
      <w:r w:rsidRPr="006E7AF8">
        <w:rPr>
          <w:rFonts w:ascii="Book Antiqua" w:hAnsi="Book Antiqua"/>
          <w:szCs w:val="24"/>
          <w:lang w:val="es-ES_tradnl"/>
        </w:rPr>
        <w:t>Artículo 12</w:t>
      </w:r>
      <w:r w:rsidR="00B53244" w:rsidRPr="006E7AF8">
        <w:rPr>
          <w:rFonts w:ascii="Book Antiqua" w:hAnsi="Book Antiqua"/>
          <w:szCs w:val="24"/>
          <w:lang w:val="es-ES_tradnl"/>
        </w:rPr>
        <w:t>.-</w:t>
      </w:r>
      <w:r w:rsidRPr="006E7AF8">
        <w:rPr>
          <w:rFonts w:ascii="Book Antiqua" w:hAnsi="Book Antiqua"/>
          <w:szCs w:val="24"/>
          <w:lang w:val="es-ES_tradnl"/>
        </w:rPr>
        <w:t xml:space="preserve"> </w:t>
      </w:r>
      <w:r w:rsidR="00854970" w:rsidRPr="006E7AF8">
        <w:rPr>
          <w:rFonts w:ascii="Book Antiqua" w:hAnsi="Book Antiqua"/>
          <w:szCs w:val="24"/>
          <w:lang w:val="es-ES_tradnl"/>
        </w:rPr>
        <w:t>Las disposiciones de esta Ley prevalecerán sobre cualquier otra disposición de ley que no estuviere en armonía con lo aquí establecido.</w:t>
      </w:r>
    </w:p>
    <w:p w14:paraId="71ED466F" w14:textId="77777777" w:rsidR="006362D3" w:rsidRPr="006E7AF8" w:rsidRDefault="008B3FD9" w:rsidP="006362D3">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13.- </w:t>
      </w:r>
      <w:r w:rsidR="00854970" w:rsidRPr="006E7AF8">
        <w:rPr>
          <w:rFonts w:ascii="Book Antiqua" w:hAnsi="Book Antiqua"/>
          <w:szCs w:val="24"/>
          <w:lang w:val="es-ES_tradnl"/>
        </w:rPr>
        <w:t xml:space="preserve">Si cualquier palabra, frase, oración, párrafo, artículo, o parte de esta ley fuere declarado inconstitucional por un tribunal competente, la sentencia a tal efecto dictada no afectará, perjudicará, ni invalidará el resto de esta ley. El efecto de dicha sentencia quedará limitado a la palabra, frase, oración, párrafo, artículo, o parte de la misma que así hubiere sido declarado inconstitucional. </w:t>
      </w:r>
    </w:p>
    <w:p w14:paraId="36B40045" w14:textId="77777777" w:rsidR="00BC0E0A" w:rsidRPr="006E7AF8" w:rsidRDefault="008B3FD9" w:rsidP="006362D3">
      <w:pPr>
        <w:spacing w:line="480" w:lineRule="auto"/>
        <w:ind w:firstLine="360"/>
        <w:jc w:val="both"/>
        <w:rPr>
          <w:rFonts w:ascii="Book Antiqua" w:hAnsi="Book Antiqua"/>
          <w:szCs w:val="24"/>
          <w:lang w:val="es-ES_tradnl"/>
        </w:rPr>
      </w:pPr>
      <w:r w:rsidRPr="006E7AF8">
        <w:rPr>
          <w:rFonts w:ascii="Book Antiqua" w:hAnsi="Book Antiqua"/>
          <w:szCs w:val="24"/>
          <w:lang w:val="es-ES_tradnl"/>
        </w:rPr>
        <w:t xml:space="preserve">Artículo 14.- </w:t>
      </w:r>
      <w:r w:rsidR="00854970" w:rsidRPr="006E7AF8">
        <w:rPr>
          <w:rFonts w:ascii="Book Antiqua" w:hAnsi="Book Antiqua"/>
          <w:szCs w:val="24"/>
          <w:lang w:val="es-ES_tradnl"/>
        </w:rPr>
        <w:t>Esta Ley entrará en vigor inmediatamente después de su aprobación.</w:t>
      </w:r>
      <w:bookmarkEnd w:id="0"/>
    </w:p>
    <w:sectPr w:rsidR="00BC0E0A" w:rsidRPr="006E7AF8" w:rsidSect="00A931E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EF9BA" w14:textId="77777777" w:rsidR="00A931E9" w:rsidRDefault="00A931E9">
      <w:r>
        <w:separator/>
      </w:r>
    </w:p>
  </w:endnote>
  <w:endnote w:type="continuationSeparator" w:id="0">
    <w:p w14:paraId="4A9060C9" w14:textId="77777777" w:rsidR="00A931E9" w:rsidRDefault="00A9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82F57" w14:textId="77777777" w:rsidR="00A931E9" w:rsidRDefault="00A931E9">
      <w:r>
        <w:separator/>
      </w:r>
    </w:p>
  </w:footnote>
  <w:footnote w:type="continuationSeparator" w:id="0">
    <w:p w14:paraId="209E2F40" w14:textId="77777777" w:rsidR="00A931E9" w:rsidRDefault="00A931E9">
      <w:r>
        <w:continuationSeparator/>
      </w:r>
    </w:p>
  </w:footnote>
  <w:footnote w:id="1">
    <w:p w14:paraId="3C88BE0D" w14:textId="77777777" w:rsidR="0080138B" w:rsidRPr="0080138B" w:rsidRDefault="0080138B" w:rsidP="0080138B">
      <w:pPr>
        <w:pStyle w:val="FootnoteText"/>
        <w:jc w:val="both"/>
        <w:rPr>
          <w:rFonts w:ascii="Book Antiqua" w:hAnsi="Book Antiqua"/>
          <w:sz w:val="16"/>
          <w:szCs w:val="16"/>
          <w:lang w:val="es-419"/>
        </w:rPr>
      </w:pPr>
      <w:r w:rsidRPr="0080138B">
        <w:rPr>
          <w:rStyle w:val="FootnoteReference"/>
          <w:rFonts w:ascii="Book Antiqua" w:hAnsi="Book Antiqua"/>
          <w:sz w:val="16"/>
          <w:szCs w:val="16"/>
        </w:rPr>
        <w:footnoteRef/>
      </w:r>
      <w:r w:rsidRPr="0080138B">
        <w:rPr>
          <w:rFonts w:ascii="Book Antiqua" w:hAnsi="Book Antiqua"/>
          <w:sz w:val="16"/>
          <w:szCs w:val="16"/>
          <w:lang w:val="es-419"/>
        </w:rPr>
        <w:t xml:space="preserve"> Ver el inciso (d) del Artículo 2 de la Ley 203-2007, según enmendada, conocida como “Nueva Carta de Derechos del Veterano Puertorriqueño del Siglo XXI”.</w:t>
      </w:r>
    </w:p>
  </w:footnote>
  <w:footnote w:id="2">
    <w:p w14:paraId="64EFD3FC" w14:textId="77777777" w:rsidR="00BB6E1D" w:rsidRPr="0080138B" w:rsidRDefault="00BB6E1D" w:rsidP="0080138B">
      <w:pPr>
        <w:pStyle w:val="FootnoteText"/>
        <w:jc w:val="both"/>
        <w:rPr>
          <w:rFonts w:ascii="Book Antiqua" w:hAnsi="Book Antiqua"/>
          <w:sz w:val="16"/>
          <w:szCs w:val="16"/>
          <w:lang w:val="es-419"/>
        </w:rPr>
      </w:pPr>
      <w:r w:rsidRPr="0080138B">
        <w:rPr>
          <w:rStyle w:val="FootnoteReference"/>
          <w:rFonts w:ascii="Book Antiqua" w:hAnsi="Book Antiqua"/>
          <w:sz w:val="16"/>
          <w:szCs w:val="16"/>
        </w:rPr>
        <w:footnoteRef/>
      </w:r>
      <w:r w:rsidRPr="0080138B">
        <w:rPr>
          <w:rFonts w:ascii="Book Antiqua" w:hAnsi="Book Antiqua"/>
          <w:sz w:val="16"/>
          <w:szCs w:val="16"/>
          <w:lang w:val="es-419"/>
        </w:rPr>
        <w:t>https://www.12news.com/article/syndication/spanish/piden-sistema-nacional-de-alerta-verde-para-veteranos-desaparecidos/75-23fd827f-c066-4083-ac9d-fe84520fdd86</w:t>
      </w:r>
    </w:p>
  </w:footnote>
  <w:footnote w:id="3">
    <w:p w14:paraId="5FA44D87" w14:textId="77777777" w:rsidR="0080138B" w:rsidRPr="00BD7BC8" w:rsidRDefault="0080138B" w:rsidP="0080138B">
      <w:pPr>
        <w:pStyle w:val="FootnoteText"/>
        <w:jc w:val="both"/>
        <w:rPr>
          <w:lang w:val="es-419"/>
        </w:rPr>
      </w:pPr>
      <w:r w:rsidRPr="0080138B">
        <w:rPr>
          <w:rStyle w:val="FootnoteReference"/>
          <w:rFonts w:ascii="Book Antiqua" w:hAnsi="Book Antiqua"/>
          <w:sz w:val="16"/>
          <w:szCs w:val="16"/>
        </w:rPr>
        <w:footnoteRef/>
      </w:r>
      <w:r w:rsidRPr="00BD7BC8">
        <w:rPr>
          <w:rFonts w:ascii="Book Antiqua" w:hAnsi="Book Antiqua"/>
          <w:sz w:val="16"/>
          <w:szCs w:val="16"/>
          <w:lang w:val="es-419"/>
        </w:rPr>
        <w:t>https://es.woundedwarriorproject.org/programs/mental-wellness/veteran-ptsd-treatment-support-resources#:~:text=El%20TEPT%20es%20una%20condici%C3%B3n,persona%20piensa%20y%20se%20siente.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FE3C" w14:textId="77777777" w:rsidR="00854970" w:rsidRDefault="00854970">
    <w:pPr>
      <w:pStyle w:val="Header"/>
      <w:jc w:val="center"/>
    </w:pPr>
    <w:r>
      <w:rPr>
        <w:rStyle w:val="PageNumber"/>
      </w:rPr>
      <w:fldChar w:fldCharType="begin"/>
    </w:r>
    <w:r>
      <w:rPr>
        <w:rStyle w:val="PageNumber"/>
      </w:rPr>
      <w:instrText xml:space="preserve"> PAGE </w:instrText>
    </w:r>
    <w:r>
      <w:rPr>
        <w:rStyle w:val="PageNumber"/>
      </w:rPr>
      <w:fldChar w:fldCharType="separate"/>
    </w:r>
    <w:r w:rsidR="003F2729">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436280">
    <w:abstractNumId w:val="3"/>
  </w:num>
  <w:num w:numId="2" w16cid:durableId="566887438">
    <w:abstractNumId w:val="1"/>
  </w:num>
  <w:num w:numId="3" w16cid:durableId="1282345928">
    <w:abstractNumId w:val="2"/>
  </w:num>
  <w:num w:numId="4" w16cid:durableId="488598492">
    <w:abstractNumId w:val="4"/>
  </w:num>
  <w:num w:numId="5" w16cid:durableId="524055494">
    <w:abstractNumId w:val="5"/>
  </w:num>
  <w:num w:numId="6" w16cid:durableId="139520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17B37"/>
    <w:rsid w:val="00023D2F"/>
    <w:rsid w:val="00043555"/>
    <w:rsid w:val="00051F21"/>
    <w:rsid w:val="00080F28"/>
    <w:rsid w:val="0009528B"/>
    <w:rsid w:val="000A05F3"/>
    <w:rsid w:val="000A5BC1"/>
    <w:rsid w:val="000B2927"/>
    <w:rsid w:val="000C09DC"/>
    <w:rsid w:val="000C1871"/>
    <w:rsid w:val="000C3210"/>
    <w:rsid w:val="000C496F"/>
    <w:rsid w:val="000F6FB6"/>
    <w:rsid w:val="001229A8"/>
    <w:rsid w:val="0013221D"/>
    <w:rsid w:val="0013265A"/>
    <w:rsid w:val="0013362B"/>
    <w:rsid w:val="001529E2"/>
    <w:rsid w:val="001561EB"/>
    <w:rsid w:val="0016453B"/>
    <w:rsid w:val="00171542"/>
    <w:rsid w:val="00172E60"/>
    <w:rsid w:val="00185E9A"/>
    <w:rsid w:val="00187CF7"/>
    <w:rsid w:val="00197843"/>
    <w:rsid w:val="001A05B1"/>
    <w:rsid w:val="001A1FE5"/>
    <w:rsid w:val="001A4308"/>
    <w:rsid w:val="001B64BC"/>
    <w:rsid w:val="001C394D"/>
    <w:rsid w:val="001D59C5"/>
    <w:rsid w:val="001E315B"/>
    <w:rsid w:val="001E3934"/>
    <w:rsid w:val="00204E1A"/>
    <w:rsid w:val="00215393"/>
    <w:rsid w:val="0021777B"/>
    <w:rsid w:val="0022025A"/>
    <w:rsid w:val="0023554D"/>
    <w:rsid w:val="002547D1"/>
    <w:rsid w:val="00254E54"/>
    <w:rsid w:val="00255DBB"/>
    <w:rsid w:val="00261DA8"/>
    <w:rsid w:val="002659EE"/>
    <w:rsid w:val="00267B85"/>
    <w:rsid w:val="002822F1"/>
    <w:rsid w:val="00283136"/>
    <w:rsid w:val="00296D10"/>
    <w:rsid w:val="00297DC5"/>
    <w:rsid w:val="002A1556"/>
    <w:rsid w:val="002B3F2A"/>
    <w:rsid w:val="002B7C57"/>
    <w:rsid w:val="002C5263"/>
    <w:rsid w:val="002C6A1E"/>
    <w:rsid w:val="002D63C2"/>
    <w:rsid w:val="002D7472"/>
    <w:rsid w:val="002E3096"/>
    <w:rsid w:val="002E7140"/>
    <w:rsid w:val="002F0AC4"/>
    <w:rsid w:val="002F53BE"/>
    <w:rsid w:val="002F639B"/>
    <w:rsid w:val="002F7EEE"/>
    <w:rsid w:val="003052AF"/>
    <w:rsid w:val="00316F6A"/>
    <w:rsid w:val="003176C1"/>
    <w:rsid w:val="003266BE"/>
    <w:rsid w:val="00335FC3"/>
    <w:rsid w:val="00337FDA"/>
    <w:rsid w:val="00377FF3"/>
    <w:rsid w:val="00385E9E"/>
    <w:rsid w:val="003946BA"/>
    <w:rsid w:val="003C228B"/>
    <w:rsid w:val="003C35C8"/>
    <w:rsid w:val="003C6052"/>
    <w:rsid w:val="003D3411"/>
    <w:rsid w:val="003D4AB4"/>
    <w:rsid w:val="003E4385"/>
    <w:rsid w:val="003F2729"/>
    <w:rsid w:val="004040BA"/>
    <w:rsid w:val="0040757F"/>
    <w:rsid w:val="00407FFA"/>
    <w:rsid w:val="004254A8"/>
    <w:rsid w:val="00446415"/>
    <w:rsid w:val="004909D6"/>
    <w:rsid w:val="004A02F3"/>
    <w:rsid w:val="004D42B6"/>
    <w:rsid w:val="004D4583"/>
    <w:rsid w:val="004D7037"/>
    <w:rsid w:val="004D7B09"/>
    <w:rsid w:val="004E24F2"/>
    <w:rsid w:val="004E3346"/>
    <w:rsid w:val="004E35A1"/>
    <w:rsid w:val="004F0054"/>
    <w:rsid w:val="004F3A0D"/>
    <w:rsid w:val="004F5E1A"/>
    <w:rsid w:val="005107FF"/>
    <w:rsid w:val="00514F6E"/>
    <w:rsid w:val="00520FF8"/>
    <w:rsid w:val="00526BA1"/>
    <w:rsid w:val="0054505E"/>
    <w:rsid w:val="00552917"/>
    <w:rsid w:val="00556C16"/>
    <w:rsid w:val="00557CA2"/>
    <w:rsid w:val="0059097A"/>
    <w:rsid w:val="005938F0"/>
    <w:rsid w:val="005A0C07"/>
    <w:rsid w:val="005A242C"/>
    <w:rsid w:val="005B666F"/>
    <w:rsid w:val="005C40D3"/>
    <w:rsid w:val="005E66D3"/>
    <w:rsid w:val="005E6AB6"/>
    <w:rsid w:val="005F0040"/>
    <w:rsid w:val="005F3091"/>
    <w:rsid w:val="00610478"/>
    <w:rsid w:val="00632EF2"/>
    <w:rsid w:val="0063334E"/>
    <w:rsid w:val="006342A0"/>
    <w:rsid w:val="006362D3"/>
    <w:rsid w:val="00666FDA"/>
    <w:rsid w:val="00673736"/>
    <w:rsid w:val="006815A8"/>
    <w:rsid w:val="00691B8A"/>
    <w:rsid w:val="006921DA"/>
    <w:rsid w:val="006A19B4"/>
    <w:rsid w:val="006A4493"/>
    <w:rsid w:val="006A4590"/>
    <w:rsid w:val="006C6690"/>
    <w:rsid w:val="006D73DC"/>
    <w:rsid w:val="006E7AF8"/>
    <w:rsid w:val="006F540C"/>
    <w:rsid w:val="00703D7B"/>
    <w:rsid w:val="00715B08"/>
    <w:rsid w:val="00723FA7"/>
    <w:rsid w:val="007255EF"/>
    <w:rsid w:val="00726870"/>
    <w:rsid w:val="007400B8"/>
    <w:rsid w:val="00743677"/>
    <w:rsid w:val="00745F90"/>
    <w:rsid w:val="0075228A"/>
    <w:rsid w:val="00755DCD"/>
    <w:rsid w:val="00757D11"/>
    <w:rsid w:val="00761B0E"/>
    <w:rsid w:val="00772FA0"/>
    <w:rsid w:val="007764A5"/>
    <w:rsid w:val="00776945"/>
    <w:rsid w:val="00776C57"/>
    <w:rsid w:val="00777073"/>
    <w:rsid w:val="007914FD"/>
    <w:rsid w:val="007A3356"/>
    <w:rsid w:val="007A5B15"/>
    <w:rsid w:val="007B17C5"/>
    <w:rsid w:val="007C2DA3"/>
    <w:rsid w:val="007C4AFC"/>
    <w:rsid w:val="007D3057"/>
    <w:rsid w:val="007D370C"/>
    <w:rsid w:val="0080138B"/>
    <w:rsid w:val="00802270"/>
    <w:rsid w:val="00817499"/>
    <w:rsid w:val="008215B7"/>
    <w:rsid w:val="00830983"/>
    <w:rsid w:val="00836DF8"/>
    <w:rsid w:val="00854970"/>
    <w:rsid w:val="0085782E"/>
    <w:rsid w:val="0086049B"/>
    <w:rsid w:val="00867353"/>
    <w:rsid w:val="00873D54"/>
    <w:rsid w:val="00884F32"/>
    <w:rsid w:val="0088621A"/>
    <w:rsid w:val="00893AC1"/>
    <w:rsid w:val="00896EC6"/>
    <w:rsid w:val="008B3FD9"/>
    <w:rsid w:val="008C15C4"/>
    <w:rsid w:val="008C4FB8"/>
    <w:rsid w:val="008C635E"/>
    <w:rsid w:val="008F1F0F"/>
    <w:rsid w:val="008F5FF5"/>
    <w:rsid w:val="0090113E"/>
    <w:rsid w:val="009205DE"/>
    <w:rsid w:val="00925E58"/>
    <w:rsid w:val="00926E46"/>
    <w:rsid w:val="009438A7"/>
    <w:rsid w:val="0095541E"/>
    <w:rsid w:val="009629E3"/>
    <w:rsid w:val="0097021A"/>
    <w:rsid w:val="009836E2"/>
    <w:rsid w:val="009839AB"/>
    <w:rsid w:val="00993A8C"/>
    <w:rsid w:val="009A7717"/>
    <w:rsid w:val="009B0F41"/>
    <w:rsid w:val="009C0551"/>
    <w:rsid w:val="009C0A55"/>
    <w:rsid w:val="009C1AA2"/>
    <w:rsid w:val="009C56B7"/>
    <w:rsid w:val="009D238B"/>
    <w:rsid w:val="009E349B"/>
    <w:rsid w:val="00A02478"/>
    <w:rsid w:val="00A367C7"/>
    <w:rsid w:val="00A4132D"/>
    <w:rsid w:val="00A4731A"/>
    <w:rsid w:val="00A50335"/>
    <w:rsid w:val="00A64F35"/>
    <w:rsid w:val="00A759E8"/>
    <w:rsid w:val="00A764B2"/>
    <w:rsid w:val="00A765C1"/>
    <w:rsid w:val="00A85DF0"/>
    <w:rsid w:val="00A90B3B"/>
    <w:rsid w:val="00A931E9"/>
    <w:rsid w:val="00A939FF"/>
    <w:rsid w:val="00AA0490"/>
    <w:rsid w:val="00AC3100"/>
    <w:rsid w:val="00AC65CD"/>
    <w:rsid w:val="00AD2881"/>
    <w:rsid w:val="00AE760B"/>
    <w:rsid w:val="00B01633"/>
    <w:rsid w:val="00B0409D"/>
    <w:rsid w:val="00B07DA3"/>
    <w:rsid w:val="00B11948"/>
    <w:rsid w:val="00B11D36"/>
    <w:rsid w:val="00B53244"/>
    <w:rsid w:val="00B77EC8"/>
    <w:rsid w:val="00BA4CB8"/>
    <w:rsid w:val="00BA75C3"/>
    <w:rsid w:val="00BB6E1D"/>
    <w:rsid w:val="00BC0E0A"/>
    <w:rsid w:val="00BC5C88"/>
    <w:rsid w:val="00BD3B20"/>
    <w:rsid w:val="00BD49F6"/>
    <w:rsid w:val="00BD7BC8"/>
    <w:rsid w:val="00BE3FDB"/>
    <w:rsid w:val="00BE49FE"/>
    <w:rsid w:val="00BF06D2"/>
    <w:rsid w:val="00C117BE"/>
    <w:rsid w:val="00C355E4"/>
    <w:rsid w:val="00C372F7"/>
    <w:rsid w:val="00C44C4A"/>
    <w:rsid w:val="00C509B9"/>
    <w:rsid w:val="00C523B9"/>
    <w:rsid w:val="00C524E8"/>
    <w:rsid w:val="00C5583E"/>
    <w:rsid w:val="00C85CD6"/>
    <w:rsid w:val="00CA29E5"/>
    <w:rsid w:val="00CA4031"/>
    <w:rsid w:val="00CA4C9A"/>
    <w:rsid w:val="00CD0A86"/>
    <w:rsid w:val="00CE50E0"/>
    <w:rsid w:val="00CE59DC"/>
    <w:rsid w:val="00CF596A"/>
    <w:rsid w:val="00D10FDE"/>
    <w:rsid w:val="00D1165A"/>
    <w:rsid w:val="00D11D45"/>
    <w:rsid w:val="00D15396"/>
    <w:rsid w:val="00D24F54"/>
    <w:rsid w:val="00D46E63"/>
    <w:rsid w:val="00D623B5"/>
    <w:rsid w:val="00D74804"/>
    <w:rsid w:val="00D97789"/>
    <w:rsid w:val="00DA081F"/>
    <w:rsid w:val="00DA1074"/>
    <w:rsid w:val="00DA6A10"/>
    <w:rsid w:val="00DB00F1"/>
    <w:rsid w:val="00DB518D"/>
    <w:rsid w:val="00DD546F"/>
    <w:rsid w:val="00DD5AD0"/>
    <w:rsid w:val="00DD660E"/>
    <w:rsid w:val="00DE0370"/>
    <w:rsid w:val="00DE7CCF"/>
    <w:rsid w:val="00DF3ED7"/>
    <w:rsid w:val="00E12491"/>
    <w:rsid w:val="00E266DE"/>
    <w:rsid w:val="00E35FD7"/>
    <w:rsid w:val="00E40FDE"/>
    <w:rsid w:val="00E41BA3"/>
    <w:rsid w:val="00E5218F"/>
    <w:rsid w:val="00E5417D"/>
    <w:rsid w:val="00E5543A"/>
    <w:rsid w:val="00E77327"/>
    <w:rsid w:val="00E828D9"/>
    <w:rsid w:val="00E83924"/>
    <w:rsid w:val="00E87015"/>
    <w:rsid w:val="00E973DC"/>
    <w:rsid w:val="00EA63B4"/>
    <w:rsid w:val="00EB5E17"/>
    <w:rsid w:val="00EC5552"/>
    <w:rsid w:val="00EE4A74"/>
    <w:rsid w:val="00F00C27"/>
    <w:rsid w:val="00F25AD6"/>
    <w:rsid w:val="00F35BEC"/>
    <w:rsid w:val="00F41BCB"/>
    <w:rsid w:val="00F5344C"/>
    <w:rsid w:val="00F657E8"/>
    <w:rsid w:val="00F669FE"/>
    <w:rsid w:val="00F75950"/>
    <w:rsid w:val="00F8061B"/>
    <w:rsid w:val="00F87FFB"/>
    <w:rsid w:val="00F947F1"/>
    <w:rsid w:val="00FA1630"/>
    <w:rsid w:val="00FA3DBA"/>
    <w:rsid w:val="00FB1F18"/>
    <w:rsid w:val="00FB25C2"/>
    <w:rsid w:val="00FB4E28"/>
    <w:rsid w:val="00FD32DE"/>
    <w:rsid w:val="00FE4B6A"/>
    <w:rsid w:val="00FE4F6B"/>
    <w:rsid w:val="00FF6E9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72246"/>
  <w15:chartTrackingRefBased/>
  <w15:docId w15:val="{18B2DFC9-8ACF-4C3B-B8DD-4E2E0E452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lang w:val="en-US" w:eastAsia="en-US"/>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lang w:val="en-US" w:eastAsia="en-US"/>
    </w:rPr>
  </w:style>
  <w:style w:type="paragraph" w:customStyle="1" w:styleId="Default">
    <w:name w:val="Default"/>
    <w:rsid w:val="004D4583"/>
    <w:pPr>
      <w:autoSpaceDE w:val="0"/>
      <w:autoSpaceDN w:val="0"/>
      <w:adjustRightInd w:val="0"/>
    </w:pPr>
    <w:rPr>
      <w:color w:val="000000"/>
      <w:sz w:val="24"/>
      <w:szCs w:val="24"/>
      <w:lang w:val="en-US" w:eastAsia="en-US"/>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cs="Tahoma"/>
      <w:sz w:val="16"/>
      <w:szCs w:val="16"/>
    </w:rPr>
  </w:style>
  <w:style w:type="character" w:customStyle="1" w:styleId="BalloonTextChar">
    <w:name w:val="Balloon Text Char"/>
    <w:link w:val="BalloonText"/>
    <w:rsid w:val="00D74804"/>
    <w:rPr>
      <w:rFonts w:ascii="Tahoma" w:hAnsi="Tahoma" w:cs="Tahoma"/>
      <w:sz w:val="16"/>
      <w:szCs w:val="16"/>
    </w:rPr>
  </w:style>
  <w:style w:type="paragraph" w:styleId="FootnoteText">
    <w:name w:val="footnote text"/>
    <w:basedOn w:val="Normal"/>
    <w:link w:val="FootnoteTextChar"/>
    <w:rsid w:val="00BB6E1D"/>
    <w:rPr>
      <w:sz w:val="20"/>
    </w:rPr>
  </w:style>
  <w:style w:type="character" w:customStyle="1" w:styleId="FootnoteTextChar">
    <w:name w:val="Footnote Text Char"/>
    <w:link w:val="FootnoteText"/>
    <w:rsid w:val="00BB6E1D"/>
    <w:rPr>
      <w:lang w:val="en-US" w:eastAsia="en-US"/>
    </w:rPr>
  </w:style>
  <w:style w:type="character" w:styleId="FootnoteReference">
    <w:name w:val="footnote reference"/>
    <w:rsid w:val="00BB6E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278">
      <w:bodyDiv w:val="1"/>
      <w:marLeft w:val="0"/>
      <w:marRight w:val="0"/>
      <w:marTop w:val="0"/>
      <w:marBottom w:val="0"/>
      <w:divBdr>
        <w:top w:val="none" w:sz="0" w:space="0" w:color="auto"/>
        <w:left w:val="none" w:sz="0" w:space="0" w:color="auto"/>
        <w:bottom w:val="none" w:sz="0" w:space="0" w:color="auto"/>
        <w:right w:val="none" w:sz="0" w:space="0" w:color="auto"/>
      </w:divBdr>
    </w:div>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1B3E-FFF2-4104-AA0E-08060A2E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2376</Words>
  <Characters>13062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Bárbara Sierra Nieves</cp:lastModifiedBy>
  <cp:revision>5</cp:revision>
  <cp:lastPrinted>2018-06-15T14:23:00Z</cp:lastPrinted>
  <dcterms:created xsi:type="dcterms:W3CDTF">2025-01-08T20:06:00Z</dcterms:created>
  <dcterms:modified xsi:type="dcterms:W3CDTF">2025-01-13T13:51:00Z</dcterms:modified>
</cp:coreProperties>
</file>