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F6697F"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F6697F">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DF6CF3"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77777777"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DF6CF3">
        <w:rPr>
          <w:rFonts w:ascii="Book Antiqua" w:eastAsia="Times New Roman" w:hAnsi="Book Antiqua" w:cs="Times New Roman"/>
          <w:color w:val="000000"/>
          <w:kern w:val="0"/>
          <w:lang w:val="es-ES"/>
          <w14:ligatures w14:val="none"/>
        </w:rPr>
        <w:t>20</w:t>
      </w:r>
      <w:proofErr w:type="spellStart"/>
      <w:r w:rsidRPr="00DF6CF3">
        <w:rPr>
          <w:rFonts w:ascii="Book Antiqua" w:eastAsia="Times New Roman" w:hAnsi="Book Antiqua" w:cs="Times New Roman"/>
          <w:color w:val="000000"/>
          <w:kern w:val="0"/>
          <w:position w:val="10"/>
          <w:vertAlign w:val="superscript"/>
          <w:lang w:val="es-ES"/>
          <w14:ligatures w14:val="none"/>
        </w:rPr>
        <w:t>ma</w:t>
      </w:r>
      <w:proofErr w:type="spellEnd"/>
      <w:r w:rsidRPr="00DF6CF3">
        <w:rPr>
          <w:rFonts w:ascii="Book Antiqua" w:eastAsia="Times New Roman" w:hAnsi="Book Antiqua" w:cs="Times New Roman"/>
          <w:color w:val="000000"/>
          <w:kern w:val="0"/>
          <w:position w:val="10"/>
          <w:vertAlign w:val="superscript"/>
          <w:lang w:val="es-ES"/>
          <w14:ligatures w14:val="none"/>
        </w:rPr>
        <w:t xml:space="preserve"> </w:t>
      </w:r>
      <w:r w:rsidRPr="00DF6CF3">
        <w:rPr>
          <w:rFonts w:ascii="Book Antiqua" w:eastAsia="Times New Roman" w:hAnsi="Book Antiqua" w:cs="Times New Roman"/>
          <w:color w:val="000000"/>
          <w:kern w:val="0"/>
          <w:lang w:val="es-ES"/>
          <w14:ligatures w14:val="none"/>
        </w:rPr>
        <w:t>Asamblea</w:t>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t xml:space="preserve">                  1</w:t>
      </w:r>
      <w:r w:rsidRPr="00DF6CF3">
        <w:rPr>
          <w:rFonts w:ascii="Book Antiqua" w:eastAsia="Times New Roman" w:hAnsi="Book Antiqua" w:cs="Times New Roman"/>
          <w:color w:val="000000"/>
          <w:kern w:val="0"/>
          <w:vertAlign w:val="superscript"/>
          <w:lang w:val="es-ES"/>
          <w14:ligatures w14:val="none"/>
        </w:rPr>
        <w:t>ra.</w:t>
      </w:r>
      <w:r w:rsidRPr="00DF6CF3">
        <w:rPr>
          <w:rFonts w:ascii="Book Antiqua" w:eastAsia="Times New Roman" w:hAnsi="Book Antiqua" w:cs="Times New Roman"/>
          <w:color w:val="000000"/>
          <w:kern w:val="0"/>
          <w:position w:val="10"/>
          <w:vertAlign w:val="superscript"/>
          <w:lang w:val="es-ES"/>
          <w14:ligatures w14:val="none"/>
        </w:rPr>
        <w:t xml:space="preserve"> </w:t>
      </w:r>
      <w:r w:rsidRPr="00DF6CF3">
        <w:rPr>
          <w:rFonts w:ascii="Book Antiqua" w:eastAsia="Times New Roman" w:hAnsi="Book Antiqua" w:cs="Times New Roman"/>
          <w:color w:val="000000"/>
          <w:kern w:val="0"/>
          <w:lang w:val="es-ES"/>
          <w14:ligatures w14:val="none"/>
        </w:rPr>
        <w:t xml:space="preserve">Sesión </w:t>
      </w:r>
    </w:p>
    <w:p w14:paraId="4C99236B" w14:textId="15E116D3"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DF6CF3">
        <w:rPr>
          <w:rFonts w:ascii="Book Antiqua" w:eastAsia="Times New Roman" w:hAnsi="Book Antiqua" w:cs="Times New Roman"/>
          <w:color w:val="000000"/>
          <w:kern w:val="0"/>
          <w:lang w:val="es-ES"/>
          <w14:ligatures w14:val="none"/>
        </w:rPr>
        <w:t xml:space="preserve">        </w:t>
      </w:r>
      <w:r w:rsidR="000C5343" w:rsidRPr="00DF6CF3">
        <w:rPr>
          <w:rFonts w:ascii="Book Antiqua" w:eastAsia="Times New Roman" w:hAnsi="Book Antiqua" w:cs="Times New Roman"/>
          <w:color w:val="000000"/>
          <w:kern w:val="0"/>
          <w:lang w:val="es-ES"/>
          <w14:ligatures w14:val="none"/>
        </w:rPr>
        <w:t xml:space="preserve"> </w:t>
      </w:r>
      <w:r w:rsidRPr="00DF6CF3">
        <w:rPr>
          <w:rFonts w:ascii="Book Antiqua" w:eastAsia="Times New Roman" w:hAnsi="Book Antiqua" w:cs="Times New Roman"/>
          <w:color w:val="000000"/>
          <w:kern w:val="0"/>
          <w:lang w:val="es-ES"/>
          <w14:ligatures w14:val="none"/>
        </w:rPr>
        <w:t>Legislativa</w:t>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t xml:space="preserve"> </w:t>
      </w:r>
      <w:r w:rsidR="000C5343" w:rsidRPr="00DF6CF3">
        <w:rPr>
          <w:rFonts w:ascii="Book Antiqua" w:eastAsia="Times New Roman" w:hAnsi="Book Antiqua" w:cs="Times New Roman"/>
          <w:color w:val="000000"/>
          <w:kern w:val="0"/>
          <w:lang w:val="es-ES"/>
          <w14:ligatures w14:val="none"/>
        </w:rPr>
        <w:t xml:space="preserve">           </w:t>
      </w:r>
      <w:r w:rsidRPr="00DF6CF3">
        <w:rPr>
          <w:rFonts w:ascii="Book Antiqua" w:eastAsia="Times New Roman" w:hAnsi="Book Antiqua" w:cs="Times New Roman"/>
          <w:color w:val="000000"/>
          <w:kern w:val="0"/>
          <w:lang w:val="es-ES"/>
          <w14:ligatures w14:val="none"/>
        </w:rPr>
        <w:t xml:space="preserve">Ordinaria </w:t>
      </w:r>
    </w:p>
    <w:p w14:paraId="29F090CC" w14:textId="77777777" w:rsidR="00A54AF0" w:rsidRPr="00DF6CF3"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0CEF9C2F" w14:textId="77777777" w:rsidR="00A54AF0" w:rsidRPr="00DF6CF3"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5F4761C8" w14:textId="77777777" w:rsidR="00A54AF0" w:rsidRPr="005940EB"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5940EB">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DF6CF3" w:rsidRDefault="00A54AF0" w:rsidP="00A54AF0">
      <w:pPr>
        <w:spacing w:after="0" w:line="240" w:lineRule="auto"/>
        <w:jc w:val="center"/>
        <w:rPr>
          <w:rFonts w:ascii="Book Antiqua" w:eastAsia="Times New Roman" w:hAnsi="Book Antiqua" w:cs="Times New Roman"/>
          <w:kern w:val="0"/>
          <w14:ligatures w14:val="none"/>
        </w:rPr>
      </w:pPr>
    </w:p>
    <w:p w14:paraId="3895E960" w14:textId="63939D1A" w:rsidR="00A54AF0" w:rsidRPr="00F6697F" w:rsidRDefault="00A54AF0" w:rsidP="00A54AF0">
      <w:pPr>
        <w:spacing w:after="0" w:line="240" w:lineRule="auto"/>
        <w:jc w:val="center"/>
        <w:rPr>
          <w:rFonts w:ascii="Book Antiqua" w:eastAsia="Times New Roman" w:hAnsi="Book Antiqua" w:cs="Times New Roman"/>
          <w:b/>
          <w:kern w:val="0"/>
          <w:sz w:val="52"/>
          <w:szCs w:val="52"/>
          <w14:ligatures w14:val="none"/>
        </w:rPr>
      </w:pPr>
      <w:r w:rsidRPr="00F6697F">
        <w:rPr>
          <w:rFonts w:ascii="Book Antiqua" w:eastAsia="Times New Roman" w:hAnsi="Book Antiqua" w:cs="Times New Roman"/>
          <w:b/>
          <w:kern w:val="0"/>
          <w:sz w:val="52"/>
          <w:szCs w:val="52"/>
          <w14:ligatures w14:val="none"/>
        </w:rPr>
        <w:t>P. de la C. 15</w:t>
      </w:r>
      <w:r w:rsidR="0034567B" w:rsidRPr="00F6697F">
        <w:rPr>
          <w:rFonts w:ascii="Book Antiqua" w:eastAsia="Times New Roman" w:hAnsi="Book Antiqua" w:cs="Times New Roman"/>
          <w:b/>
          <w:kern w:val="0"/>
          <w:sz w:val="52"/>
          <w:szCs w:val="52"/>
          <w14:ligatures w14:val="none"/>
        </w:rPr>
        <w:t>7</w:t>
      </w:r>
    </w:p>
    <w:p w14:paraId="6A26D0A1" w14:textId="77777777" w:rsidR="00A54AF0" w:rsidRPr="00F6697F"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F6697F">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DF6CF3"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2192069F" w:rsidR="00A54AF0" w:rsidRPr="00DF6CF3" w:rsidRDefault="00DE1DAF"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27</w:t>
      </w:r>
      <w:r w:rsidR="00A54AF0" w:rsidRPr="00DF6CF3">
        <w:rPr>
          <w:rFonts w:ascii="Book Antiqua" w:eastAsia="Times New Roman" w:hAnsi="Book Antiqua" w:cs="Times New Roman"/>
          <w:bCs/>
          <w:color w:val="000000"/>
          <w:kern w:val="0"/>
          <w14:ligatures w14:val="none"/>
        </w:rPr>
        <w:t xml:space="preserve"> DE </w:t>
      </w:r>
      <w:r w:rsidR="00DF6CF3" w:rsidRPr="00DF6CF3">
        <w:rPr>
          <w:rFonts w:ascii="Book Antiqua" w:eastAsia="Times New Roman" w:hAnsi="Book Antiqua" w:cs="Times New Roman"/>
          <w:bCs/>
          <w:color w:val="000000"/>
          <w:kern w:val="0"/>
          <w14:ligatures w14:val="none"/>
        </w:rPr>
        <w:t>MAYO</w:t>
      </w:r>
      <w:r w:rsidR="00A54AF0" w:rsidRPr="00DF6CF3">
        <w:rPr>
          <w:rFonts w:ascii="Book Antiqua" w:eastAsia="Times New Roman" w:hAnsi="Book Antiqua" w:cs="Times New Roman"/>
          <w:bCs/>
          <w:color w:val="000000"/>
          <w:kern w:val="0"/>
          <w14:ligatures w14:val="none"/>
        </w:rPr>
        <w:t xml:space="preserve"> DE 2025</w:t>
      </w:r>
    </w:p>
    <w:p w14:paraId="420645D7" w14:textId="77777777" w:rsidR="00A54AF0" w:rsidRPr="00DF6CF3"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DF6CF3" w:rsidRDefault="00A54AF0" w:rsidP="00A54AF0">
      <w:pPr>
        <w:spacing w:after="0" w:line="240" w:lineRule="auto"/>
        <w:ind w:firstLine="720"/>
        <w:rPr>
          <w:rFonts w:ascii="Book Antiqua" w:eastAsia="Times New Roman" w:hAnsi="Book Antiqua" w:cs="Times New Roman"/>
          <w:b/>
          <w:bCs/>
          <w:kern w:val="0"/>
          <w14:ligatures w14:val="none"/>
        </w:rPr>
      </w:pPr>
      <w:r w:rsidRPr="00DF6CF3">
        <w:rPr>
          <w:rFonts w:ascii="Book Antiqua" w:eastAsia="Times New Roman" w:hAnsi="Book Antiqua" w:cs="Times New Roman"/>
          <w:b/>
          <w:bCs/>
          <w:kern w:val="0"/>
          <w14:ligatures w14:val="none"/>
        </w:rPr>
        <w:t>A LA CÁMARA DE REPRESENTANTES DE PUERTO RICO:</w:t>
      </w:r>
    </w:p>
    <w:p w14:paraId="1DE7F01B" w14:textId="77777777" w:rsidR="00A54AF0" w:rsidRPr="00DF6CF3" w:rsidRDefault="00A54AF0" w:rsidP="00A54AF0">
      <w:pPr>
        <w:spacing w:after="0" w:line="240" w:lineRule="auto"/>
        <w:rPr>
          <w:rFonts w:ascii="Book Antiqua" w:eastAsia="Times New Roman" w:hAnsi="Book Antiqua" w:cs="Times New Roman"/>
          <w:b/>
          <w:bCs/>
          <w:kern w:val="0"/>
          <w14:ligatures w14:val="none"/>
        </w:rPr>
      </w:pPr>
    </w:p>
    <w:p w14:paraId="65F2FF51" w14:textId="1EB52DAD" w:rsidR="00A54AF0" w:rsidRPr="00DF6CF3" w:rsidRDefault="00A54AF0" w:rsidP="003C3F3D">
      <w:pPr>
        <w:spacing w:after="0" w:line="360" w:lineRule="auto"/>
        <w:ind w:firstLine="72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La </w:t>
      </w:r>
      <w:r w:rsidRPr="00DF6CF3">
        <w:rPr>
          <w:rFonts w:ascii="Book Antiqua" w:eastAsia="Times New Roman" w:hAnsi="Book Antiqua" w:cs="Times New Roman"/>
          <w:i/>
          <w:iCs/>
          <w:kern w:val="0"/>
          <w:lang w:val="es-ES"/>
          <w14:ligatures w14:val="none"/>
        </w:rPr>
        <w:t>Comisión de Reorganización, Eficiencia y Diligencia</w:t>
      </w:r>
      <w:r w:rsidRPr="00DF6CF3">
        <w:rPr>
          <w:rFonts w:ascii="Book Antiqua" w:eastAsia="Times New Roman" w:hAnsi="Book Antiqua" w:cs="Times New Roman"/>
          <w:kern w:val="0"/>
          <w14:ligatures w14:val="none"/>
        </w:rPr>
        <w:t xml:space="preserve">, recomienda la </w:t>
      </w:r>
      <w:r w:rsidRPr="0008631C">
        <w:rPr>
          <w:rFonts w:ascii="Book Antiqua" w:eastAsia="Times New Roman" w:hAnsi="Book Antiqua" w:cs="Times New Roman"/>
          <w:kern w:val="0"/>
          <w:u w:val="single"/>
          <w14:ligatures w14:val="none"/>
        </w:rPr>
        <w:t>aprobación</w:t>
      </w:r>
      <w:r w:rsidRPr="00DF6CF3">
        <w:rPr>
          <w:rFonts w:ascii="Book Antiqua" w:eastAsia="Times New Roman" w:hAnsi="Book Antiqua" w:cs="Times New Roman"/>
          <w:kern w:val="0"/>
          <w14:ligatures w14:val="none"/>
        </w:rPr>
        <w:t xml:space="preserve"> del P. de la C. 15</w:t>
      </w:r>
      <w:r w:rsidR="0034567B" w:rsidRPr="00DF6CF3">
        <w:rPr>
          <w:rFonts w:ascii="Book Antiqua" w:eastAsia="Times New Roman" w:hAnsi="Book Antiqua" w:cs="Times New Roman"/>
          <w:kern w:val="0"/>
          <w14:ligatures w14:val="none"/>
        </w:rPr>
        <w:t>7</w:t>
      </w:r>
      <w:r w:rsidR="000C5343" w:rsidRPr="00DF6CF3">
        <w:rPr>
          <w:rFonts w:ascii="Book Antiqua" w:eastAsia="Times New Roman" w:hAnsi="Book Antiqua" w:cs="Times New Roman"/>
          <w:kern w:val="0"/>
          <w14:ligatures w14:val="none"/>
        </w:rPr>
        <w:t>,</w:t>
      </w:r>
      <w:r w:rsidRPr="00DF6CF3">
        <w:rPr>
          <w:rFonts w:ascii="Book Antiqua" w:eastAsia="Times New Roman" w:hAnsi="Book Antiqua" w:cs="Times New Roman"/>
          <w:kern w:val="0"/>
          <w14:ligatures w14:val="none"/>
        </w:rPr>
        <w:t xml:space="preserve"> </w:t>
      </w:r>
      <w:r w:rsidR="00A350FB" w:rsidRPr="0008631C">
        <w:rPr>
          <w:rFonts w:ascii="Book Antiqua" w:eastAsia="Times New Roman" w:hAnsi="Book Antiqua" w:cs="Times New Roman"/>
          <w:kern w:val="0"/>
          <w:u w:val="single"/>
          <w14:ligatures w14:val="none"/>
        </w:rPr>
        <w:t>con enmiendas</w:t>
      </w:r>
      <w:r w:rsidR="008361EB">
        <w:rPr>
          <w:rFonts w:ascii="Book Antiqua" w:eastAsia="Times New Roman" w:hAnsi="Book Antiqua" w:cs="Times New Roman"/>
          <w:kern w:val="0"/>
          <w14:ligatures w14:val="none"/>
        </w:rPr>
        <w:t xml:space="preserve">, según propuestas en el </w:t>
      </w:r>
      <w:proofErr w:type="spellStart"/>
      <w:r w:rsidR="006823BA">
        <w:rPr>
          <w:rFonts w:ascii="Book Antiqua" w:eastAsia="Times New Roman" w:hAnsi="Book Antiqua" w:cs="Times New Roman"/>
          <w:kern w:val="0"/>
          <w14:ligatures w14:val="none"/>
        </w:rPr>
        <w:t>ent</w:t>
      </w:r>
      <w:r w:rsidR="006A781F">
        <w:rPr>
          <w:rFonts w:ascii="Book Antiqua" w:eastAsia="Times New Roman" w:hAnsi="Book Antiqua" w:cs="Times New Roman"/>
          <w:kern w:val="0"/>
          <w14:ligatures w14:val="none"/>
        </w:rPr>
        <w:t>i</w:t>
      </w:r>
      <w:r w:rsidR="006823BA">
        <w:rPr>
          <w:rFonts w:ascii="Book Antiqua" w:eastAsia="Times New Roman" w:hAnsi="Book Antiqua" w:cs="Times New Roman"/>
          <w:kern w:val="0"/>
          <w14:ligatures w14:val="none"/>
        </w:rPr>
        <w:t>rillado</w:t>
      </w:r>
      <w:proofErr w:type="spellEnd"/>
      <w:r w:rsidR="006A781F">
        <w:rPr>
          <w:rFonts w:ascii="Book Antiqua" w:eastAsia="Times New Roman" w:hAnsi="Book Antiqua" w:cs="Times New Roman"/>
          <w:kern w:val="0"/>
          <w14:ligatures w14:val="none"/>
        </w:rPr>
        <w:t xml:space="preserve"> electrónico.</w:t>
      </w:r>
    </w:p>
    <w:p w14:paraId="3639B984" w14:textId="77777777" w:rsidR="00A54AF0" w:rsidRPr="00DF6CF3"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DF6CF3"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DF6CF3">
        <w:rPr>
          <w:rFonts w:ascii="Book Antiqua" w:eastAsia="Times New Roman" w:hAnsi="Book Antiqua" w:cs="Times New Roman"/>
          <w:b/>
          <w:bCs/>
          <w:kern w:val="0"/>
          <w:lang w:eastAsia="x-none"/>
          <w14:ligatures w14:val="none"/>
        </w:rPr>
        <w:t>ALCANCE DE LA MEDIDA</w:t>
      </w:r>
    </w:p>
    <w:p w14:paraId="05D2FB6C" w14:textId="77777777" w:rsidR="00A54AF0" w:rsidRPr="00DF6CF3" w:rsidRDefault="00A54AF0" w:rsidP="006823BA">
      <w:pPr>
        <w:spacing w:after="0" w:line="240" w:lineRule="auto"/>
        <w:rPr>
          <w:rFonts w:ascii="Book Antiqua" w:eastAsia="Times New Roman" w:hAnsi="Book Antiqua" w:cs="Times New Roman"/>
          <w:kern w:val="0"/>
          <w:lang w:eastAsia="x-none"/>
          <w14:ligatures w14:val="none"/>
        </w:rPr>
      </w:pPr>
    </w:p>
    <w:p w14:paraId="0B557B62" w14:textId="348AD233" w:rsidR="0034567B" w:rsidRPr="00DF6CF3" w:rsidRDefault="0034567B" w:rsidP="006823BA">
      <w:pPr>
        <w:spacing w:line="240" w:lineRule="auto"/>
        <w:ind w:left="540" w:right="720" w:hanging="540"/>
        <w:jc w:val="both"/>
        <w:rPr>
          <w:rFonts w:ascii="Book Antiqua" w:hAnsi="Book Antiqua"/>
          <w:strike/>
          <w:lang w:val="es-ES_tradnl"/>
        </w:rPr>
      </w:pPr>
      <w:r w:rsidRPr="00DF6CF3">
        <w:rPr>
          <w:rFonts w:ascii="Book Antiqua" w:hAnsi="Book Antiqua"/>
          <w:lang w:val="es-ES_tradnl"/>
        </w:rPr>
        <w:t xml:space="preserve">Para derogar la Ley Núm. 402 de 12 de mayo de 1952, según enmendada, mediante la cual se autorizó al </w:t>
      </w:r>
      <w:r w:rsidR="0013170B" w:rsidRPr="00DF6CF3">
        <w:rPr>
          <w:rFonts w:ascii="Book Antiqua" w:hAnsi="Book Antiqua"/>
          <w:lang w:val="es-ES_tradnl"/>
        </w:rPr>
        <w:t>s</w:t>
      </w:r>
      <w:r w:rsidRPr="00DF6CF3">
        <w:rPr>
          <w:rFonts w:ascii="Book Antiqua" w:hAnsi="Book Antiqua"/>
          <w:lang w:val="es-ES_tradnl"/>
        </w:rPr>
        <w:t>ecretario del Departamento de Hacienda, eximir del pago de contribuciones sobre ingresos a las Asociaciones Cooperativas de Crédito para Producción, creadas y organizadas de acuerdo con la Ley de Crédito Agrícola del año 1933 (</w:t>
      </w:r>
      <w:proofErr w:type="spellStart"/>
      <w:r w:rsidRPr="00DF6CF3">
        <w:rPr>
          <w:rFonts w:ascii="Book Antiqua" w:hAnsi="Book Antiqua"/>
          <w:lang w:val="es-ES_tradnl"/>
        </w:rPr>
        <w:t>Farm</w:t>
      </w:r>
      <w:proofErr w:type="spellEnd"/>
      <w:r w:rsidRPr="00DF6CF3">
        <w:rPr>
          <w:rFonts w:ascii="Book Antiqua" w:hAnsi="Book Antiqua"/>
          <w:lang w:val="es-ES_tradnl"/>
        </w:rPr>
        <w:t xml:space="preserve"> </w:t>
      </w:r>
      <w:proofErr w:type="spellStart"/>
      <w:r w:rsidRPr="00DF6CF3">
        <w:rPr>
          <w:rFonts w:ascii="Book Antiqua" w:hAnsi="Book Antiqua"/>
          <w:lang w:val="es-ES_tradnl"/>
        </w:rPr>
        <w:t>Credit</w:t>
      </w:r>
      <w:proofErr w:type="spellEnd"/>
      <w:r w:rsidRPr="00DF6CF3">
        <w:rPr>
          <w:rFonts w:ascii="Book Antiqua" w:hAnsi="Book Antiqua"/>
          <w:lang w:val="es-ES_tradnl"/>
        </w:rPr>
        <w:t xml:space="preserve"> </w:t>
      </w:r>
      <w:proofErr w:type="spellStart"/>
      <w:r w:rsidRPr="00DF6CF3">
        <w:rPr>
          <w:rFonts w:ascii="Book Antiqua" w:hAnsi="Book Antiqua"/>
          <w:lang w:val="es-ES_tradnl"/>
        </w:rPr>
        <w:t>Act</w:t>
      </w:r>
      <w:proofErr w:type="spellEnd"/>
      <w:r w:rsidRPr="00DF6CF3">
        <w:rPr>
          <w:rFonts w:ascii="Book Antiqua" w:hAnsi="Book Antiqua"/>
          <w:lang w:val="es-ES_tradnl"/>
        </w:rPr>
        <w:t xml:space="preserve"> </w:t>
      </w:r>
      <w:proofErr w:type="spellStart"/>
      <w:r w:rsidRPr="00DF6CF3">
        <w:rPr>
          <w:rFonts w:ascii="Book Antiqua" w:hAnsi="Book Antiqua"/>
          <w:lang w:val="es-ES_tradnl"/>
        </w:rPr>
        <w:t>of</w:t>
      </w:r>
      <w:proofErr w:type="spellEnd"/>
      <w:r w:rsidRPr="00DF6CF3">
        <w:rPr>
          <w:rFonts w:ascii="Book Antiqua" w:hAnsi="Book Antiqua"/>
          <w:lang w:val="es-ES_tradnl"/>
        </w:rPr>
        <w:t xml:space="preserve"> 1933), por haberse convertido esta Ley, en una obsoleta e inoficiosa</w:t>
      </w:r>
      <w:r w:rsidR="00A350FB" w:rsidRPr="00DF6CF3">
        <w:rPr>
          <w:rFonts w:ascii="Book Antiqua" w:hAnsi="Book Antiqua"/>
          <w:lang w:val="es-ES_tradnl"/>
        </w:rPr>
        <w:t>.</w:t>
      </w:r>
    </w:p>
    <w:p w14:paraId="59170590" w14:textId="77777777" w:rsidR="00A54AF0" w:rsidRPr="00DF6CF3" w:rsidRDefault="00A54AF0"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Pr="00DF6CF3" w:rsidRDefault="00A54AF0" w:rsidP="00A54AF0">
      <w:pPr>
        <w:spacing w:after="0" w:line="240" w:lineRule="auto"/>
        <w:jc w:val="center"/>
        <w:rPr>
          <w:rFonts w:ascii="Book Antiqua" w:eastAsia="Times New Roman" w:hAnsi="Book Antiqua" w:cs="Times New Roman"/>
          <w:b/>
          <w:bCs/>
          <w:kern w:val="0"/>
          <w14:ligatures w14:val="none"/>
        </w:rPr>
      </w:pPr>
      <w:r w:rsidRPr="00DF6CF3">
        <w:rPr>
          <w:rFonts w:ascii="Book Antiqua" w:eastAsia="Times New Roman" w:hAnsi="Book Antiqua" w:cs="Times New Roman"/>
          <w:b/>
          <w:bCs/>
          <w:kern w:val="0"/>
          <w14:ligatures w14:val="none"/>
        </w:rPr>
        <w:t>INTRODUCCIÓN</w:t>
      </w:r>
    </w:p>
    <w:p w14:paraId="434FE2F0" w14:textId="77777777" w:rsidR="00A54AF0" w:rsidRPr="00DF6CF3" w:rsidRDefault="00A54AF0" w:rsidP="00A54AF0">
      <w:pPr>
        <w:spacing w:after="0" w:line="240" w:lineRule="auto"/>
        <w:rPr>
          <w:rFonts w:ascii="Book Antiqua" w:eastAsia="Times New Roman" w:hAnsi="Book Antiqua" w:cs="Times New Roman"/>
          <w:kern w:val="0"/>
          <w14:ligatures w14:val="none"/>
        </w:rPr>
      </w:pPr>
    </w:p>
    <w:p w14:paraId="521E3591" w14:textId="33E7D745" w:rsidR="00F751C1" w:rsidRPr="00DF6CF3" w:rsidRDefault="000C5343" w:rsidP="003C3F3D">
      <w:pPr>
        <w:spacing w:line="360" w:lineRule="auto"/>
        <w:ind w:firstLine="720"/>
        <w:jc w:val="both"/>
        <w:rPr>
          <w:rFonts w:ascii="Book Antiqua" w:hAnsi="Book Antiqua"/>
          <w:lang w:val="es-ES_tradnl"/>
        </w:rPr>
      </w:pPr>
      <w:r w:rsidRPr="00DF6CF3">
        <w:rPr>
          <w:rFonts w:ascii="Book Antiqua" w:eastAsia="Times New Roman" w:hAnsi="Book Antiqua" w:cs="Times New Roman"/>
          <w:kern w:val="0"/>
          <w:lang w:val="es-ES_tradnl"/>
          <w14:ligatures w14:val="none"/>
        </w:rPr>
        <w:t>El P. de la C. 15</w:t>
      </w:r>
      <w:r w:rsidR="002B5A25" w:rsidRPr="00DF6CF3">
        <w:rPr>
          <w:rFonts w:ascii="Book Antiqua" w:eastAsia="Times New Roman" w:hAnsi="Book Antiqua" w:cs="Times New Roman"/>
          <w:kern w:val="0"/>
          <w:lang w:val="es-ES_tradnl"/>
          <w14:ligatures w14:val="none"/>
        </w:rPr>
        <w:t>7</w:t>
      </w:r>
      <w:r w:rsidRPr="00DF6CF3">
        <w:rPr>
          <w:rFonts w:ascii="Book Antiqua" w:eastAsia="Times New Roman" w:hAnsi="Book Antiqua" w:cs="Times New Roman"/>
          <w:kern w:val="0"/>
          <w:lang w:val="es-ES_tradnl"/>
          <w14:ligatures w14:val="none"/>
        </w:rPr>
        <w:t xml:space="preserve"> propone </w:t>
      </w:r>
      <w:r w:rsidR="00675DC7" w:rsidRPr="00DF6CF3">
        <w:rPr>
          <w:rFonts w:ascii="Book Antiqua" w:eastAsia="Times New Roman" w:hAnsi="Book Antiqua" w:cs="Times New Roman"/>
          <w:kern w:val="0"/>
          <w:lang w:val="es-ES_tradnl"/>
          <w14:ligatures w14:val="none"/>
        </w:rPr>
        <w:t xml:space="preserve">derogar la Ley </w:t>
      </w:r>
      <w:r w:rsidR="00A350FB" w:rsidRPr="00DF6CF3">
        <w:rPr>
          <w:rFonts w:ascii="Book Antiqua" w:eastAsia="Times New Roman" w:hAnsi="Book Antiqua" w:cs="Times New Roman"/>
          <w:kern w:val="0"/>
          <w:lang w:val="es-ES_tradnl"/>
          <w14:ligatures w14:val="none"/>
        </w:rPr>
        <w:t>N</w:t>
      </w:r>
      <w:r w:rsidR="00675DC7" w:rsidRPr="00DF6CF3">
        <w:rPr>
          <w:rFonts w:ascii="Book Antiqua" w:eastAsia="Times New Roman" w:hAnsi="Book Antiqua" w:cs="Times New Roman"/>
          <w:kern w:val="0"/>
          <w:lang w:val="es-ES_tradnl"/>
          <w14:ligatures w14:val="none"/>
        </w:rPr>
        <w:t xml:space="preserve">úm. 402 de 12 de mayo de 1952, </w:t>
      </w:r>
      <w:r w:rsidR="00A350FB" w:rsidRPr="00DF6CF3">
        <w:rPr>
          <w:rFonts w:ascii="Book Antiqua" w:eastAsia="Times New Roman" w:hAnsi="Book Antiqua" w:cs="Times New Roman"/>
          <w:kern w:val="0"/>
          <w:lang w:val="es-ES_tradnl"/>
          <w14:ligatures w14:val="none"/>
        </w:rPr>
        <w:t>según enmendada</w:t>
      </w:r>
      <w:r w:rsidR="00A350FB" w:rsidRPr="00DF6CF3">
        <w:rPr>
          <w:rStyle w:val="FootnoteReference"/>
          <w:rFonts w:ascii="Book Antiqua" w:eastAsia="Times New Roman" w:hAnsi="Book Antiqua"/>
          <w:kern w:val="0"/>
          <w:lang w:val="es-ES_tradnl"/>
          <w14:ligatures w14:val="none"/>
        </w:rPr>
        <w:footnoteReference w:id="1"/>
      </w:r>
      <w:r w:rsidR="00CA12CB" w:rsidRPr="00DF6CF3">
        <w:rPr>
          <w:rFonts w:ascii="Book Antiqua" w:eastAsia="Times New Roman" w:hAnsi="Book Antiqua" w:cs="Times New Roman"/>
          <w:kern w:val="0"/>
          <w:lang w:val="es-ES_tradnl"/>
          <w14:ligatures w14:val="none"/>
        </w:rPr>
        <w:t xml:space="preserve"> (Ley Núm. 402)</w:t>
      </w:r>
      <w:r w:rsidR="00A350FB" w:rsidRPr="00DF6CF3">
        <w:rPr>
          <w:rFonts w:ascii="Book Antiqua" w:eastAsia="Times New Roman" w:hAnsi="Book Antiqua" w:cs="Times New Roman"/>
          <w:kern w:val="0"/>
          <w:lang w:val="es-ES_tradnl"/>
          <w14:ligatures w14:val="none"/>
        </w:rPr>
        <w:t xml:space="preserve">, autorizó al Secretario de Hacienda de Puerto Rico a </w:t>
      </w:r>
      <w:r w:rsidR="00A350FB" w:rsidRPr="00DF6CF3">
        <w:rPr>
          <w:rFonts w:ascii="Book Antiqua" w:hAnsi="Book Antiqua"/>
          <w:lang w:val="es-ES_tradnl"/>
        </w:rPr>
        <w:t xml:space="preserve">eximir – con efecto retroactivo al 1 de agosto de 1951- del pago de contribuciones sobre ingresos a la Asociación de Crédito para producción, conocida como </w:t>
      </w:r>
      <w:r w:rsidR="00A350FB" w:rsidRPr="00DF6CF3">
        <w:rPr>
          <w:rFonts w:ascii="Book Antiqua" w:hAnsi="Book Antiqua"/>
          <w:i/>
          <w:iCs/>
          <w:lang w:val="es-ES_tradnl"/>
        </w:rPr>
        <w:t xml:space="preserve">Puerto Rico </w:t>
      </w:r>
      <w:proofErr w:type="spellStart"/>
      <w:r w:rsidR="00A350FB" w:rsidRPr="00DF6CF3">
        <w:rPr>
          <w:rFonts w:ascii="Book Antiqua" w:hAnsi="Book Antiqua"/>
          <w:i/>
          <w:iCs/>
          <w:lang w:val="es-ES_tradnl"/>
        </w:rPr>
        <w:t>Production</w:t>
      </w:r>
      <w:proofErr w:type="spellEnd"/>
      <w:r w:rsidR="00A350FB" w:rsidRPr="00DF6CF3">
        <w:rPr>
          <w:rFonts w:ascii="Book Antiqua" w:hAnsi="Book Antiqua"/>
          <w:i/>
          <w:iCs/>
          <w:lang w:val="es-ES_tradnl"/>
        </w:rPr>
        <w:t xml:space="preserve"> </w:t>
      </w:r>
      <w:proofErr w:type="spellStart"/>
      <w:r w:rsidR="00A350FB" w:rsidRPr="00DF6CF3">
        <w:rPr>
          <w:rFonts w:ascii="Book Antiqua" w:hAnsi="Book Antiqua"/>
          <w:i/>
          <w:iCs/>
          <w:lang w:val="es-ES_tradnl"/>
        </w:rPr>
        <w:t>Credit</w:t>
      </w:r>
      <w:proofErr w:type="spellEnd"/>
      <w:r w:rsidR="00A350FB" w:rsidRPr="00DF6CF3">
        <w:rPr>
          <w:rFonts w:ascii="Book Antiqua" w:hAnsi="Book Antiqua"/>
          <w:i/>
          <w:iCs/>
          <w:lang w:val="es-ES_tradnl"/>
        </w:rPr>
        <w:t xml:space="preserve"> </w:t>
      </w:r>
      <w:proofErr w:type="spellStart"/>
      <w:r w:rsidR="00A350FB" w:rsidRPr="00DF6CF3">
        <w:rPr>
          <w:rFonts w:ascii="Book Antiqua" w:hAnsi="Book Antiqua"/>
          <w:i/>
          <w:iCs/>
          <w:lang w:val="es-ES_tradnl"/>
        </w:rPr>
        <w:lastRenderedPageBreak/>
        <w:t>Association</w:t>
      </w:r>
      <w:proofErr w:type="spellEnd"/>
      <w:r w:rsidR="00A350FB" w:rsidRPr="00DF6CF3">
        <w:rPr>
          <w:rFonts w:ascii="Book Antiqua" w:hAnsi="Book Antiqua"/>
          <w:lang w:val="es-ES_tradnl"/>
        </w:rPr>
        <w:t>, creada y organizada de acuerdo con la Ley de Crédito Agrícola del año 1933 (</w:t>
      </w:r>
      <w:proofErr w:type="spellStart"/>
      <w:r w:rsidR="00A350FB" w:rsidRPr="00DF6CF3">
        <w:rPr>
          <w:rFonts w:ascii="Book Antiqua" w:hAnsi="Book Antiqua"/>
          <w:i/>
          <w:iCs/>
          <w:lang w:val="es-ES_tradnl"/>
        </w:rPr>
        <w:t>Farm</w:t>
      </w:r>
      <w:proofErr w:type="spellEnd"/>
      <w:r w:rsidR="00A350FB" w:rsidRPr="00DF6CF3">
        <w:rPr>
          <w:rFonts w:ascii="Book Antiqua" w:hAnsi="Book Antiqua"/>
          <w:i/>
          <w:iCs/>
          <w:lang w:val="es-ES_tradnl"/>
        </w:rPr>
        <w:t xml:space="preserve"> </w:t>
      </w:r>
      <w:proofErr w:type="spellStart"/>
      <w:r w:rsidR="00A350FB" w:rsidRPr="00DF6CF3">
        <w:rPr>
          <w:rFonts w:ascii="Book Antiqua" w:hAnsi="Book Antiqua"/>
          <w:i/>
          <w:iCs/>
          <w:lang w:val="es-ES_tradnl"/>
        </w:rPr>
        <w:t>Credit</w:t>
      </w:r>
      <w:proofErr w:type="spellEnd"/>
      <w:r w:rsidR="00A350FB" w:rsidRPr="00DF6CF3">
        <w:rPr>
          <w:rFonts w:ascii="Book Antiqua" w:hAnsi="Book Antiqua"/>
          <w:i/>
          <w:iCs/>
          <w:lang w:val="es-ES_tradnl"/>
        </w:rPr>
        <w:t xml:space="preserve"> </w:t>
      </w:r>
      <w:proofErr w:type="spellStart"/>
      <w:r w:rsidR="00A350FB" w:rsidRPr="00DF6CF3">
        <w:rPr>
          <w:rFonts w:ascii="Book Antiqua" w:hAnsi="Book Antiqua"/>
          <w:i/>
          <w:iCs/>
          <w:lang w:val="es-ES_tradnl"/>
        </w:rPr>
        <w:t>Act</w:t>
      </w:r>
      <w:proofErr w:type="spellEnd"/>
      <w:r w:rsidR="00A350FB" w:rsidRPr="00DF6CF3">
        <w:rPr>
          <w:rFonts w:ascii="Book Antiqua" w:hAnsi="Book Antiqua"/>
          <w:i/>
          <w:iCs/>
          <w:lang w:val="es-ES_tradnl"/>
        </w:rPr>
        <w:t xml:space="preserve"> </w:t>
      </w:r>
      <w:proofErr w:type="spellStart"/>
      <w:r w:rsidR="00A350FB" w:rsidRPr="00DF6CF3">
        <w:rPr>
          <w:rFonts w:ascii="Book Antiqua" w:hAnsi="Book Antiqua"/>
          <w:i/>
          <w:iCs/>
          <w:lang w:val="es-ES_tradnl"/>
        </w:rPr>
        <w:t>of</w:t>
      </w:r>
      <w:proofErr w:type="spellEnd"/>
      <w:r w:rsidR="00A350FB" w:rsidRPr="00DF6CF3">
        <w:rPr>
          <w:rFonts w:ascii="Book Antiqua" w:hAnsi="Book Antiqua"/>
          <w:i/>
          <w:iCs/>
          <w:lang w:val="es-ES_tradnl"/>
        </w:rPr>
        <w:t xml:space="preserve"> 1933</w:t>
      </w:r>
      <w:r w:rsidR="00A350FB" w:rsidRPr="00DF6CF3">
        <w:rPr>
          <w:rFonts w:ascii="Book Antiqua" w:hAnsi="Book Antiqua"/>
          <w:lang w:val="es-ES_tradnl"/>
        </w:rPr>
        <w:t>)</w:t>
      </w:r>
      <w:r w:rsidR="00A350FB" w:rsidRPr="00DF6CF3">
        <w:rPr>
          <w:rStyle w:val="FootnoteReference"/>
          <w:rFonts w:ascii="Book Antiqua" w:hAnsi="Book Antiqua"/>
          <w:lang w:val="es-ES_tradnl"/>
        </w:rPr>
        <w:footnoteReference w:id="2"/>
      </w:r>
      <w:r w:rsidR="00A350FB" w:rsidRPr="00DF6CF3">
        <w:rPr>
          <w:rFonts w:ascii="Book Antiqua" w:hAnsi="Book Antiqua"/>
          <w:lang w:val="es-ES_tradnl"/>
        </w:rPr>
        <w:t>.</w:t>
      </w:r>
      <w:r w:rsidR="00A350FB" w:rsidRPr="00DF6CF3">
        <w:rPr>
          <w:rStyle w:val="FootnoteReference"/>
          <w:rFonts w:ascii="Book Antiqua" w:hAnsi="Book Antiqua"/>
          <w:lang w:val="es-ES_tradnl"/>
        </w:rPr>
        <w:footnoteReference w:id="3"/>
      </w:r>
      <w:r w:rsidR="00F751C1" w:rsidRPr="00DF6CF3">
        <w:rPr>
          <w:rFonts w:ascii="Book Antiqua" w:hAnsi="Book Antiqua"/>
          <w:lang w:val="es-ES_tradnl"/>
        </w:rPr>
        <w:t xml:space="preserve"> Conforme a lo que expresa el autor de la medida, </w:t>
      </w:r>
    </w:p>
    <w:p w14:paraId="16CE4DA6" w14:textId="15E61A6B" w:rsidR="00A350FB" w:rsidRPr="00DF6CF3" w:rsidRDefault="00F751C1" w:rsidP="006823BA">
      <w:pPr>
        <w:spacing w:line="240" w:lineRule="auto"/>
        <w:ind w:left="720" w:right="720"/>
        <w:jc w:val="both"/>
        <w:rPr>
          <w:rFonts w:ascii="Book Antiqua" w:eastAsia="Times New Roman" w:hAnsi="Book Antiqua" w:cs="Times New Roman"/>
          <w:kern w:val="0"/>
          <w:lang w:val="es-ES_tradnl"/>
          <w14:ligatures w14:val="none"/>
        </w:rPr>
      </w:pPr>
      <w:r w:rsidRPr="00DF6CF3">
        <w:rPr>
          <w:rFonts w:ascii="Book Antiqua" w:hAnsi="Book Antiqua"/>
          <w:lang w:val="es-ES_tradnl"/>
        </w:rPr>
        <w:t>[b]</w:t>
      </w:r>
      <w:proofErr w:type="spellStart"/>
      <w:r w:rsidRPr="00DF6CF3">
        <w:rPr>
          <w:rFonts w:ascii="Book Antiqua" w:hAnsi="Book Antiqua"/>
          <w:lang w:val="es-ES_tradnl"/>
        </w:rPr>
        <w:t>ásicamente</w:t>
      </w:r>
      <w:proofErr w:type="spellEnd"/>
      <w:r w:rsidRPr="00DF6CF3">
        <w:rPr>
          <w:rFonts w:ascii="Book Antiqua" w:hAnsi="Book Antiqua"/>
          <w:lang w:val="es-ES_tradnl"/>
        </w:rPr>
        <w:t xml:space="preserve">, la Ley 402 se promulgó bajo la premisa de que se reconocía el beneficio y la ayuda económica que los agricultores de Puerto Rico reciben de varias asociaciones y corporaciones creadas por el Congreso de los Estados </w:t>
      </w:r>
      <w:proofErr w:type="gramStart"/>
      <w:r w:rsidRPr="00DF6CF3">
        <w:rPr>
          <w:rFonts w:ascii="Book Antiqua" w:hAnsi="Book Antiqua"/>
          <w:lang w:val="es-ES_tradnl"/>
        </w:rPr>
        <w:t>Unidos[</w:t>
      </w:r>
      <w:proofErr w:type="gramEnd"/>
      <w:r w:rsidRPr="00DF6CF3">
        <w:rPr>
          <w:rFonts w:ascii="Book Antiqua" w:hAnsi="Book Antiqua"/>
          <w:lang w:val="es-ES_tradnl"/>
        </w:rPr>
        <w:t>,</w:t>
      </w:r>
      <w:r w:rsidR="005940EB">
        <w:rPr>
          <w:rFonts w:ascii="Book Antiqua" w:hAnsi="Book Antiqua"/>
          <w:lang w:val="es-ES_tradnl"/>
        </w:rPr>
        <w:t>]</w:t>
      </w:r>
      <w:r w:rsidRPr="00DF6CF3">
        <w:rPr>
          <w:rFonts w:ascii="Book Antiqua" w:hAnsi="Book Antiqua"/>
          <w:lang w:val="es-ES_tradnl"/>
        </w:rPr>
        <w:t xml:space="preserve"> entre ellas, a saber, la “Puerto Rico </w:t>
      </w:r>
      <w:proofErr w:type="spellStart"/>
      <w:r w:rsidRPr="00DF6CF3">
        <w:rPr>
          <w:rFonts w:ascii="Book Antiqua" w:hAnsi="Book Antiqua"/>
          <w:lang w:val="es-ES_tradnl"/>
        </w:rPr>
        <w:t>Production</w:t>
      </w:r>
      <w:proofErr w:type="spellEnd"/>
      <w:r w:rsidRPr="00DF6CF3">
        <w:rPr>
          <w:rFonts w:ascii="Book Antiqua" w:hAnsi="Book Antiqua"/>
          <w:lang w:val="es-ES_tradnl"/>
        </w:rPr>
        <w:t xml:space="preserve"> </w:t>
      </w:r>
      <w:proofErr w:type="spellStart"/>
      <w:r w:rsidRPr="00DF6CF3">
        <w:rPr>
          <w:rFonts w:ascii="Book Antiqua" w:hAnsi="Book Antiqua"/>
          <w:lang w:val="es-ES_tradnl"/>
        </w:rPr>
        <w:t>Credit</w:t>
      </w:r>
      <w:proofErr w:type="spellEnd"/>
      <w:r w:rsidRPr="00DF6CF3">
        <w:rPr>
          <w:rFonts w:ascii="Book Antiqua" w:hAnsi="Book Antiqua"/>
          <w:lang w:val="es-ES_tradnl"/>
        </w:rPr>
        <w:t xml:space="preserve"> </w:t>
      </w:r>
      <w:proofErr w:type="spellStart"/>
      <w:r w:rsidRPr="00DF6CF3">
        <w:rPr>
          <w:rFonts w:ascii="Book Antiqua" w:hAnsi="Book Antiqua"/>
          <w:lang w:val="es-ES_tradnl"/>
        </w:rPr>
        <w:t>Association</w:t>
      </w:r>
      <w:proofErr w:type="spellEnd"/>
      <w:r w:rsidRPr="00DF6CF3">
        <w:rPr>
          <w:rFonts w:ascii="Book Antiqua" w:hAnsi="Book Antiqua"/>
          <w:lang w:val="es-ES_tradnl"/>
        </w:rPr>
        <w:t xml:space="preserve">”, y, por tanto, era necesario fomentar y </w:t>
      </w:r>
      <w:r w:rsidR="0030439D" w:rsidRPr="00DF6CF3">
        <w:rPr>
          <w:rFonts w:ascii="Book Antiqua" w:hAnsi="Book Antiqua"/>
          <w:lang w:val="es-ES_tradnl"/>
        </w:rPr>
        <w:t>prestarles</w:t>
      </w:r>
      <w:r w:rsidRPr="00DF6CF3">
        <w:rPr>
          <w:rFonts w:ascii="Book Antiqua" w:hAnsi="Book Antiqua"/>
          <w:lang w:val="es-ES_tradnl"/>
        </w:rPr>
        <w:t xml:space="preserve"> ayuda a las sociedades cooperativas sin fines de lucro.</w:t>
      </w:r>
      <w:r w:rsidRPr="00DF6CF3">
        <w:rPr>
          <w:rStyle w:val="FootnoteReference"/>
          <w:rFonts w:ascii="Book Antiqua" w:hAnsi="Book Antiqua"/>
          <w:lang w:val="es-ES_tradnl"/>
        </w:rPr>
        <w:footnoteReference w:id="4"/>
      </w:r>
      <w:r w:rsidRPr="00DF6CF3">
        <w:rPr>
          <w:rFonts w:ascii="Book Antiqua" w:hAnsi="Book Antiqua"/>
          <w:lang w:val="es-ES_tradnl"/>
        </w:rPr>
        <w:t xml:space="preserve"> </w:t>
      </w:r>
    </w:p>
    <w:p w14:paraId="1DB1C759" w14:textId="353D1A70" w:rsidR="001F12B4" w:rsidRPr="00DF6CF3" w:rsidRDefault="00CA12CB" w:rsidP="003C3F3D">
      <w:pPr>
        <w:spacing w:line="360" w:lineRule="auto"/>
        <w:ind w:firstLine="720"/>
        <w:jc w:val="both"/>
        <w:rPr>
          <w:rFonts w:ascii="Book Antiqua" w:eastAsia="Times New Roman" w:hAnsi="Book Antiqua" w:cs="Times New Roman"/>
          <w:kern w:val="0"/>
          <w:lang w:val="es-ES_tradnl"/>
          <w14:ligatures w14:val="none"/>
        </w:rPr>
      </w:pPr>
      <w:r w:rsidRPr="00DF6CF3">
        <w:rPr>
          <w:rFonts w:ascii="Book Antiqua" w:eastAsia="Times New Roman" w:hAnsi="Book Antiqua" w:cs="Times New Roman"/>
          <w:kern w:val="0"/>
          <w:lang w:val="es-ES_tradnl"/>
          <w14:ligatures w14:val="none"/>
        </w:rPr>
        <w:t xml:space="preserve">De igual modo, añade el autor que el propósito y marco de acción de la Ley Núm. 402 fue ocupado por legislación posterior, como por ejemplo, la Ley 1-2011, según enmendada, conocida como el </w:t>
      </w:r>
      <w:r w:rsidRPr="00DF6CF3">
        <w:rPr>
          <w:rFonts w:ascii="Book Antiqua" w:eastAsia="Times New Roman" w:hAnsi="Book Antiqua" w:cs="Times New Roman"/>
          <w:i/>
          <w:iCs/>
          <w:kern w:val="0"/>
          <w:lang w:val="es-ES_tradnl"/>
          <w14:ligatures w14:val="none"/>
        </w:rPr>
        <w:t>Código de Rentas Internas de Puerto Rico</w:t>
      </w:r>
      <w:r w:rsidR="00860EC4" w:rsidRPr="00DF6CF3">
        <w:rPr>
          <w:rStyle w:val="FootnoteReference"/>
          <w:rFonts w:ascii="Book Antiqua" w:eastAsia="Times New Roman" w:hAnsi="Book Antiqua"/>
          <w:i/>
          <w:iCs/>
          <w:kern w:val="0"/>
          <w:lang w:val="es-ES_tradnl"/>
          <w14:ligatures w14:val="none"/>
        </w:rPr>
        <w:footnoteReference w:id="5"/>
      </w:r>
      <w:r w:rsidR="00596031" w:rsidRPr="00DF6CF3">
        <w:rPr>
          <w:rFonts w:ascii="Book Antiqua" w:eastAsia="Times New Roman" w:hAnsi="Book Antiqua" w:cs="Times New Roman"/>
          <w:kern w:val="0"/>
          <w:lang w:val="es-ES_tradnl"/>
          <w14:ligatures w14:val="none"/>
        </w:rPr>
        <w:t>, donde se dispuso que los</w:t>
      </w:r>
      <w:r w:rsidR="002B79A3">
        <w:rPr>
          <w:rFonts w:ascii="Book Antiqua" w:eastAsia="Times New Roman" w:hAnsi="Book Antiqua" w:cs="Times New Roman"/>
          <w:kern w:val="0"/>
          <w:lang w:val="es-ES_tradnl"/>
          <w14:ligatures w14:val="none"/>
        </w:rPr>
        <w:t xml:space="preserve"> agricultores, entre otras personas o entidades,</w:t>
      </w:r>
      <w:r w:rsidR="002D578F" w:rsidRPr="00DF6CF3">
        <w:rPr>
          <w:rFonts w:ascii="Book Antiqua" w:eastAsia="Times New Roman" w:hAnsi="Book Antiqua" w:cs="Times New Roman"/>
          <w:kern w:val="0"/>
          <w:lang w:val="es-ES_tradnl"/>
          <w14:ligatures w14:val="none"/>
        </w:rPr>
        <w:t xml:space="preserve"> estarán exentos de tributación</w:t>
      </w:r>
      <w:r w:rsidR="00596031" w:rsidRPr="00DF6CF3">
        <w:rPr>
          <w:rFonts w:ascii="Book Antiqua" w:eastAsia="Times New Roman" w:hAnsi="Book Antiqua" w:cs="Times New Roman"/>
          <w:kern w:val="0"/>
          <w:lang w:val="es-ES_tradnl"/>
          <w14:ligatures w14:val="none"/>
        </w:rPr>
        <w:t xml:space="preserve"> v</w:t>
      </w:r>
      <w:r w:rsidR="00860EC4" w:rsidRPr="00DF6CF3">
        <w:rPr>
          <w:rFonts w:ascii="Book Antiqua" w:eastAsia="Times New Roman" w:hAnsi="Book Antiqua" w:cs="Times New Roman"/>
          <w:kern w:val="0"/>
          <w:lang w:val="es-ES_tradnl"/>
          <w14:ligatures w14:val="none"/>
        </w:rPr>
        <w:t>a</w:t>
      </w:r>
      <w:r w:rsidR="00596031" w:rsidRPr="00DF6CF3">
        <w:rPr>
          <w:rFonts w:ascii="Book Antiqua" w:eastAsia="Times New Roman" w:hAnsi="Book Antiqua" w:cs="Times New Roman"/>
          <w:kern w:val="0"/>
          <w:lang w:val="es-ES_tradnl"/>
          <w14:ligatures w14:val="none"/>
        </w:rPr>
        <w:t xml:space="preserve">lores emitidos por </w:t>
      </w:r>
      <w:r w:rsidR="00860EC4" w:rsidRPr="00DF6CF3">
        <w:rPr>
          <w:rFonts w:ascii="Book Antiqua" w:eastAsia="Times New Roman" w:hAnsi="Book Antiqua" w:cs="Times New Roman"/>
          <w:kern w:val="0"/>
          <w:lang w:val="es-ES_tradnl"/>
          <w14:ligatures w14:val="none"/>
        </w:rPr>
        <w:t>asociaciones</w:t>
      </w:r>
      <w:r w:rsidR="00596031" w:rsidRPr="00DF6CF3">
        <w:rPr>
          <w:rFonts w:ascii="Book Antiqua" w:eastAsia="Times New Roman" w:hAnsi="Book Antiqua" w:cs="Times New Roman"/>
          <w:kern w:val="0"/>
          <w:lang w:val="es-ES_tradnl"/>
          <w14:ligatures w14:val="none"/>
        </w:rPr>
        <w:t xml:space="preserve"> cooperativas organizadas y operadas bajo las disposiciones de la Ley Núm. 239-2004, según enm</w:t>
      </w:r>
      <w:r w:rsidR="00860EC4" w:rsidRPr="00DF6CF3">
        <w:rPr>
          <w:rFonts w:ascii="Book Antiqua" w:eastAsia="Times New Roman" w:hAnsi="Book Antiqua" w:cs="Times New Roman"/>
          <w:kern w:val="0"/>
          <w:lang w:val="es-ES_tradnl"/>
          <w14:ligatures w14:val="none"/>
        </w:rPr>
        <w:t>e</w:t>
      </w:r>
      <w:r w:rsidR="00596031" w:rsidRPr="00DF6CF3">
        <w:rPr>
          <w:rFonts w:ascii="Book Antiqua" w:eastAsia="Times New Roman" w:hAnsi="Book Antiqua" w:cs="Times New Roman"/>
          <w:kern w:val="0"/>
          <w:lang w:val="es-ES_tradnl"/>
          <w14:ligatures w14:val="none"/>
        </w:rPr>
        <w:t xml:space="preserve">ndada, conocida como </w:t>
      </w:r>
      <w:r w:rsidR="00596031" w:rsidRPr="00DF6CF3">
        <w:rPr>
          <w:rFonts w:ascii="Book Antiqua" w:eastAsia="Times New Roman" w:hAnsi="Book Antiqua" w:cs="Times New Roman"/>
          <w:i/>
          <w:iCs/>
          <w:kern w:val="0"/>
          <w:lang w:val="es-ES_tradnl"/>
          <w14:ligatures w14:val="none"/>
        </w:rPr>
        <w:t xml:space="preserve">Ley General de Asociaciones Cooperativas de 2004, </w:t>
      </w:r>
      <w:r w:rsidR="00596031" w:rsidRPr="00DF6CF3">
        <w:rPr>
          <w:rFonts w:ascii="Book Antiqua" w:eastAsia="Times New Roman" w:hAnsi="Book Antiqua" w:cs="Times New Roman"/>
          <w:kern w:val="0"/>
          <w:lang w:val="es-ES_tradnl"/>
          <w14:ligatures w14:val="none"/>
        </w:rPr>
        <w:t>o la Ley 22</w:t>
      </w:r>
      <w:r w:rsidR="002D578F" w:rsidRPr="00DF6CF3">
        <w:rPr>
          <w:rFonts w:ascii="Book Antiqua" w:eastAsia="Times New Roman" w:hAnsi="Book Antiqua" w:cs="Times New Roman"/>
          <w:kern w:val="0"/>
          <w:lang w:val="es-ES_tradnl"/>
          <w14:ligatures w14:val="none"/>
        </w:rPr>
        <w:t>0</w:t>
      </w:r>
      <w:r w:rsidR="00596031" w:rsidRPr="00DF6CF3">
        <w:rPr>
          <w:rFonts w:ascii="Book Antiqua" w:eastAsia="Times New Roman" w:hAnsi="Book Antiqua" w:cs="Times New Roman"/>
          <w:kern w:val="0"/>
          <w:lang w:val="es-ES_tradnl"/>
          <w14:ligatures w14:val="none"/>
        </w:rPr>
        <w:t>-2002, según enmendada, conocida como Ley de</w:t>
      </w:r>
      <w:r w:rsidR="00860EC4" w:rsidRPr="00DF6CF3">
        <w:rPr>
          <w:rFonts w:ascii="Book Antiqua" w:eastAsia="Times New Roman" w:hAnsi="Book Antiqua" w:cs="Times New Roman"/>
          <w:kern w:val="0"/>
          <w:lang w:val="es-ES_tradnl"/>
          <w14:ligatures w14:val="none"/>
        </w:rPr>
        <w:t xml:space="preserve"> </w:t>
      </w:r>
      <w:r w:rsidR="002D578F" w:rsidRPr="00DF6CF3">
        <w:rPr>
          <w:rFonts w:ascii="Book Antiqua" w:eastAsia="Times New Roman" w:hAnsi="Book Antiqua" w:cs="Times New Roman"/>
          <w:kern w:val="0"/>
          <w:lang w:val="es-ES_tradnl"/>
          <w14:ligatures w14:val="none"/>
        </w:rPr>
        <w:t>Especial de Cooperativas Juveniles”.</w:t>
      </w:r>
      <w:r w:rsidR="002D578F" w:rsidRPr="00DF6CF3">
        <w:rPr>
          <w:rStyle w:val="FootnoteReference"/>
          <w:rFonts w:ascii="Book Antiqua" w:eastAsia="Times New Roman" w:hAnsi="Book Antiqua"/>
          <w:kern w:val="0"/>
          <w:lang w:val="es-ES_tradnl"/>
          <w14:ligatures w14:val="none"/>
        </w:rPr>
        <w:footnoteReference w:id="6"/>
      </w:r>
      <w:r w:rsidR="002D578F" w:rsidRPr="00DF6CF3">
        <w:rPr>
          <w:rFonts w:ascii="Book Antiqua" w:hAnsi="Book Antiqua"/>
          <w:lang w:val="es-ES_tradnl"/>
        </w:rPr>
        <w:t xml:space="preserve"> Ante tal realidad, el autor de la medida concluye que la misma está obsoleta e inoficiosa.</w:t>
      </w:r>
      <w:r w:rsidR="002D578F" w:rsidRPr="00DF6CF3">
        <w:rPr>
          <w:rStyle w:val="FootnoteReference"/>
          <w:rFonts w:ascii="Book Antiqua" w:hAnsi="Book Antiqua"/>
          <w:lang w:val="es-ES_tradnl"/>
        </w:rPr>
        <w:footnoteReference w:id="7"/>
      </w:r>
    </w:p>
    <w:p w14:paraId="563F43DD" w14:textId="09094A62" w:rsidR="001F12B4" w:rsidRPr="00DF6CF3" w:rsidRDefault="00A54AF0" w:rsidP="003C3F3D">
      <w:pPr>
        <w:spacing w:line="360" w:lineRule="auto"/>
        <w:ind w:firstLine="720"/>
        <w:jc w:val="both"/>
        <w:rPr>
          <w:rFonts w:ascii="Book Antiqua" w:hAnsi="Book Antiqua" w:cs="Times New Roman"/>
        </w:rPr>
      </w:pPr>
      <w:r w:rsidRPr="00DF6CF3">
        <w:rPr>
          <w:rFonts w:ascii="Book Antiqua" w:eastAsia="Times New Roman" w:hAnsi="Book Antiqua" w:cs="Times New Roman"/>
          <w:kern w:val="0"/>
          <w:lang w:val="es-ES_tradnl"/>
          <w14:ligatures w14:val="none"/>
        </w:rPr>
        <w:t>Referido el asunto a la</w:t>
      </w:r>
      <w:r w:rsidR="000C5343" w:rsidRPr="00DF6CF3">
        <w:rPr>
          <w:rFonts w:ascii="Book Antiqua" w:eastAsia="Times New Roman" w:hAnsi="Book Antiqua" w:cs="Times New Roman"/>
          <w:kern w:val="0"/>
          <w:lang w:val="es-ES_tradnl"/>
          <w14:ligatures w14:val="none"/>
        </w:rPr>
        <w:t xml:space="preserve"> </w:t>
      </w:r>
      <w:r w:rsidR="000C5343" w:rsidRPr="00DF6CF3">
        <w:rPr>
          <w:rFonts w:ascii="Book Antiqua" w:eastAsia="Times New Roman" w:hAnsi="Book Antiqua" w:cs="Times New Roman"/>
          <w:i/>
          <w:iCs/>
          <w:kern w:val="0"/>
          <w:lang w:val="es-ES_tradnl"/>
          <w14:ligatures w14:val="none"/>
        </w:rPr>
        <w:t>Comisión de Reorganización, Eficiencia y Diligencia</w:t>
      </w:r>
      <w:r w:rsidRPr="00DF6CF3">
        <w:rPr>
          <w:rFonts w:ascii="Book Antiqua" w:eastAsia="Times New Roman" w:hAnsi="Book Antiqua" w:cs="Times New Roman"/>
          <w:i/>
          <w:iCs/>
          <w:kern w:val="0"/>
          <w:lang w:val="es-ES_tradnl"/>
          <w14:ligatures w14:val="none"/>
        </w:rPr>
        <w:t xml:space="preserve"> </w:t>
      </w:r>
      <w:r w:rsidR="000C5343" w:rsidRPr="00DF6CF3">
        <w:rPr>
          <w:rFonts w:ascii="Book Antiqua" w:eastAsia="Times New Roman" w:hAnsi="Book Antiqua" w:cs="Times New Roman"/>
          <w:i/>
          <w:iCs/>
          <w:kern w:val="0"/>
          <w:lang w:val="es-ES_tradnl"/>
          <w14:ligatures w14:val="none"/>
        </w:rPr>
        <w:t>(</w:t>
      </w:r>
      <w:r w:rsidRPr="00DF6CF3">
        <w:rPr>
          <w:rFonts w:ascii="Book Antiqua" w:eastAsia="Times New Roman" w:hAnsi="Book Antiqua" w:cs="Times New Roman"/>
          <w:i/>
          <w:iCs/>
          <w:kern w:val="0"/>
          <w:lang w:val="es-ES_tradnl"/>
          <w14:ligatures w14:val="none"/>
        </w:rPr>
        <w:t>CRED</w:t>
      </w:r>
      <w:r w:rsidR="000C5343" w:rsidRPr="00DF6CF3">
        <w:rPr>
          <w:rFonts w:ascii="Book Antiqua" w:eastAsia="Times New Roman" w:hAnsi="Book Antiqua" w:cs="Times New Roman"/>
          <w:i/>
          <w:iCs/>
          <w:kern w:val="0"/>
          <w:lang w:val="es-ES_tradnl"/>
          <w14:ligatures w14:val="none"/>
        </w:rPr>
        <w:t>)</w:t>
      </w:r>
      <w:r w:rsidRPr="00DF6CF3">
        <w:rPr>
          <w:rFonts w:ascii="Book Antiqua" w:eastAsia="Times New Roman" w:hAnsi="Book Antiqua" w:cs="Times New Roman"/>
          <w:kern w:val="0"/>
          <w:lang w:val="es-ES_tradnl"/>
          <w14:ligatures w14:val="none"/>
        </w:rPr>
        <w:t xml:space="preserve">, </w:t>
      </w:r>
      <w:r w:rsidR="00675DC7" w:rsidRPr="00DF6CF3">
        <w:rPr>
          <w:rFonts w:ascii="Book Antiqua" w:eastAsia="Times New Roman" w:hAnsi="Book Antiqua" w:cs="Times New Roman"/>
          <w:kern w:val="0"/>
          <w:lang w:val="es-ES_tradnl"/>
          <w14:ligatures w14:val="none"/>
        </w:rPr>
        <w:t xml:space="preserve">el 5 de febrero de 2025 </w:t>
      </w:r>
      <w:r w:rsidRPr="00DF6CF3">
        <w:rPr>
          <w:rFonts w:ascii="Book Antiqua" w:eastAsia="Times New Roman" w:hAnsi="Book Antiqua" w:cs="Times New Roman"/>
          <w:kern w:val="0"/>
          <w:lang w:val="es-ES_tradnl"/>
          <w14:ligatures w14:val="none"/>
        </w:rPr>
        <w:t xml:space="preserve">remitimos solicitudes de </w:t>
      </w:r>
      <w:r w:rsidRPr="00DF6CF3">
        <w:rPr>
          <w:rFonts w:ascii="Book Antiqua" w:eastAsia="Times New Roman" w:hAnsi="Book Antiqua" w:cs="Times New Roman"/>
          <w:i/>
          <w:iCs/>
          <w:kern w:val="0"/>
          <w:lang w:val="es-ES_tradnl"/>
          <w14:ligatures w14:val="none"/>
        </w:rPr>
        <w:t>Memoriales Explicativos</w:t>
      </w:r>
      <w:r w:rsidRPr="00DF6CF3">
        <w:rPr>
          <w:rFonts w:ascii="Book Antiqua" w:eastAsia="Times New Roman" w:hAnsi="Book Antiqua" w:cs="Times New Roman"/>
          <w:kern w:val="0"/>
          <w:lang w:val="es-ES_tradnl"/>
          <w14:ligatures w14:val="none"/>
        </w:rPr>
        <w:t xml:space="preserve"> al </w:t>
      </w:r>
      <w:r w:rsidR="002B5A25" w:rsidRPr="00DF6CF3">
        <w:rPr>
          <w:rFonts w:ascii="Book Antiqua" w:eastAsia="Times New Roman" w:hAnsi="Book Antiqua" w:cs="Times New Roman"/>
          <w:kern w:val="0"/>
          <w:lang w:val="es-ES_tradnl"/>
          <w14:ligatures w14:val="none"/>
        </w:rPr>
        <w:t>Departamento de Agricultura</w:t>
      </w:r>
      <w:r w:rsidR="00675DC7" w:rsidRPr="00DF6CF3">
        <w:rPr>
          <w:rFonts w:ascii="Book Antiqua" w:eastAsia="Times New Roman" w:hAnsi="Book Antiqua" w:cs="Times New Roman"/>
          <w:kern w:val="0"/>
          <w:lang w:val="es-ES_tradnl"/>
          <w14:ligatures w14:val="none"/>
        </w:rPr>
        <w:t xml:space="preserve">, el Departamento de Hacienda y </w:t>
      </w:r>
      <w:r w:rsidR="009C5642" w:rsidRPr="00DF6CF3">
        <w:rPr>
          <w:rFonts w:ascii="Book Antiqua" w:eastAsia="Times New Roman" w:hAnsi="Book Antiqua" w:cs="Times New Roman"/>
          <w:kern w:val="0"/>
          <w:lang w:val="es-ES_tradnl"/>
          <w14:ligatures w14:val="none"/>
        </w:rPr>
        <w:t>la Corporación Pública para la Supervisión y Seguros de Cooperativas de Puerto Rico (COSSEC)</w:t>
      </w:r>
      <w:r w:rsidR="00675DC7" w:rsidRPr="00DF6CF3">
        <w:rPr>
          <w:rFonts w:ascii="Book Antiqua" w:eastAsia="Times New Roman" w:hAnsi="Book Antiqua" w:cs="Times New Roman"/>
          <w:i/>
          <w:iCs/>
          <w:kern w:val="0"/>
          <w:lang w:val="es-ES_tradnl"/>
          <w14:ligatures w14:val="none"/>
        </w:rPr>
        <w:t>.</w:t>
      </w:r>
      <w:r w:rsidR="001F12B4" w:rsidRPr="00DF6CF3">
        <w:rPr>
          <w:rFonts w:ascii="Book Antiqua" w:eastAsia="Times New Roman" w:hAnsi="Book Antiqua" w:cs="Times New Roman"/>
          <w:i/>
          <w:iCs/>
          <w:kern w:val="0"/>
          <w:lang w:val="es-ES_tradnl"/>
          <w14:ligatures w14:val="none"/>
        </w:rPr>
        <w:t xml:space="preserve"> </w:t>
      </w:r>
      <w:r w:rsidR="008361EB" w:rsidRPr="008361EB">
        <w:rPr>
          <w:rFonts w:ascii="Book Antiqua" w:eastAsia="Times New Roman" w:hAnsi="Book Antiqua" w:cs="Times New Roman"/>
          <w:kern w:val="0"/>
          <w:lang w:val="es-ES_tradnl"/>
          <w14:ligatures w14:val="none"/>
        </w:rPr>
        <w:t>Posteriormente,</w:t>
      </w:r>
      <w:r w:rsidR="001F12B4" w:rsidRPr="00DF6CF3">
        <w:rPr>
          <w:rFonts w:ascii="Book Antiqua" w:eastAsia="Times New Roman" w:hAnsi="Book Antiqua" w:cs="Times New Roman"/>
          <w:i/>
          <w:iCs/>
          <w:kern w:val="0"/>
          <w:lang w:val="es-ES_tradnl"/>
          <w14:ligatures w14:val="none"/>
        </w:rPr>
        <w:t xml:space="preserve"> </w:t>
      </w:r>
      <w:r w:rsidR="001F12B4" w:rsidRPr="00DF6CF3">
        <w:rPr>
          <w:rFonts w:ascii="Book Antiqua" w:eastAsia="Times New Roman" w:hAnsi="Book Antiqua" w:cs="Times New Roman"/>
          <w:kern w:val="0"/>
          <w:lang w:val="es-ES_tradnl"/>
          <w14:ligatures w14:val="none"/>
        </w:rPr>
        <w:t>se solicitó un informe de impacto económico a la Oficina de Presupuesto de la Asamblea Legislativa</w:t>
      </w:r>
      <w:r w:rsidR="001F12B4" w:rsidRPr="00DF6CF3">
        <w:rPr>
          <w:rFonts w:ascii="Book Antiqua" w:eastAsia="Times New Roman" w:hAnsi="Book Antiqua" w:cs="Times New Roman"/>
          <w:i/>
          <w:iCs/>
          <w:kern w:val="0"/>
          <w:lang w:val="es-ES_tradnl"/>
          <w14:ligatures w14:val="none"/>
        </w:rPr>
        <w:t>, y memoriales explicativos a la</w:t>
      </w:r>
      <w:r w:rsidR="001F12B4" w:rsidRPr="00DF6CF3">
        <w:rPr>
          <w:rFonts w:ascii="Book Antiqua" w:hAnsi="Book Antiqua" w:cs="Times New Roman"/>
        </w:rPr>
        <w:t xml:space="preserve"> Autoridad de Asesoría Financiera y Agencia Fiscal de Puerto Rico (AAFAF) y la Oficina de Gerencia y Presupuesto (OGP).</w:t>
      </w:r>
    </w:p>
    <w:p w14:paraId="776FC73B" w14:textId="3A0F3042" w:rsidR="008361EB" w:rsidRDefault="001F12B4" w:rsidP="006823BA">
      <w:pPr>
        <w:spacing w:line="360" w:lineRule="auto"/>
        <w:ind w:firstLine="720"/>
        <w:jc w:val="both"/>
        <w:rPr>
          <w:rFonts w:ascii="Book Antiqua" w:eastAsia="Times New Roman" w:hAnsi="Book Antiqua" w:cs="Times New Roman"/>
          <w:kern w:val="0"/>
          <w:lang w:val="es-ES_tradnl"/>
          <w14:ligatures w14:val="none"/>
        </w:rPr>
      </w:pPr>
      <w:r w:rsidRPr="00DF6CF3">
        <w:rPr>
          <w:rFonts w:ascii="Book Antiqua" w:eastAsia="Times New Roman" w:hAnsi="Book Antiqua" w:cs="Times New Roman"/>
          <w:i/>
          <w:iCs/>
          <w:kern w:val="0"/>
          <w:lang w:val="es-ES_tradnl"/>
          <w14:ligatures w14:val="none"/>
        </w:rPr>
        <w:lastRenderedPageBreak/>
        <w:t xml:space="preserve"> </w:t>
      </w:r>
      <w:r w:rsidR="00675DC7" w:rsidRPr="00DF6CF3">
        <w:rPr>
          <w:rFonts w:ascii="Book Antiqua" w:eastAsia="Times New Roman" w:hAnsi="Book Antiqua" w:cs="Times New Roman"/>
          <w:i/>
          <w:iCs/>
          <w:kern w:val="0"/>
          <w:lang w:val="es-ES_tradnl"/>
          <w14:ligatures w14:val="none"/>
        </w:rPr>
        <w:t xml:space="preserve"> </w:t>
      </w:r>
      <w:r w:rsidR="00A54AF0" w:rsidRPr="00DF6CF3">
        <w:rPr>
          <w:rFonts w:ascii="Book Antiqua" w:eastAsia="Times New Roman" w:hAnsi="Book Antiqua" w:cs="Times New Roman"/>
          <w:kern w:val="0"/>
          <w:lang w:val="es-ES_tradnl"/>
          <w14:ligatures w14:val="none"/>
        </w:rPr>
        <w:t xml:space="preserve">Habiéndose presentado ante nuestra consideración </w:t>
      </w:r>
      <w:r w:rsidR="00CA6283">
        <w:rPr>
          <w:rFonts w:ascii="Book Antiqua" w:eastAsia="Times New Roman" w:hAnsi="Book Antiqua" w:cs="Times New Roman"/>
          <w:kern w:val="0"/>
          <w:lang w:val="es-ES_tradnl"/>
          <w14:ligatures w14:val="none"/>
        </w:rPr>
        <w:t>los</w:t>
      </w:r>
      <w:r w:rsidR="00A54AF0" w:rsidRPr="00DF6CF3">
        <w:rPr>
          <w:rFonts w:ascii="Book Antiqua" w:eastAsia="Times New Roman" w:hAnsi="Book Antiqua" w:cs="Times New Roman"/>
          <w:kern w:val="0"/>
          <w:lang w:val="es-ES_tradnl"/>
          <w14:ligatures w14:val="none"/>
        </w:rPr>
        <w:t xml:space="preserve"> </w:t>
      </w:r>
      <w:r w:rsidR="00A54AF0" w:rsidRPr="00DF6CF3">
        <w:rPr>
          <w:rFonts w:ascii="Book Antiqua" w:eastAsia="Times New Roman" w:hAnsi="Book Antiqua" w:cs="Times New Roman"/>
          <w:i/>
          <w:iCs/>
          <w:kern w:val="0"/>
          <w:lang w:val="es-ES_tradnl"/>
          <w14:ligatures w14:val="none"/>
        </w:rPr>
        <w:t>Memoriales Explicativos</w:t>
      </w:r>
      <w:r w:rsidR="00A54AF0" w:rsidRPr="00DF6CF3">
        <w:rPr>
          <w:rFonts w:ascii="Book Antiqua" w:eastAsia="Times New Roman" w:hAnsi="Book Antiqua" w:cs="Times New Roman"/>
          <w:kern w:val="0"/>
          <w:lang w:val="es-ES_tradnl"/>
          <w14:ligatures w14:val="none"/>
        </w:rPr>
        <w:t xml:space="preserve">, procedemos al análisis. </w:t>
      </w:r>
    </w:p>
    <w:p w14:paraId="6D3F4264" w14:textId="391861E1" w:rsidR="00A54AF0" w:rsidRPr="00DF6CF3" w:rsidRDefault="00647DED" w:rsidP="00A54AF0">
      <w:pPr>
        <w:spacing w:after="0"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 xml:space="preserve">PONENCIAS O </w:t>
      </w:r>
      <w:r w:rsidR="00A54AF0" w:rsidRPr="00DF6CF3">
        <w:rPr>
          <w:rFonts w:ascii="Book Antiqua" w:eastAsia="Times New Roman" w:hAnsi="Book Antiqua" w:cs="Times New Roman"/>
          <w:b/>
          <w:kern w:val="0"/>
          <w14:ligatures w14:val="none"/>
        </w:rPr>
        <w:t>MEMORIALES RECIBID</w:t>
      </w:r>
      <w:r w:rsidRPr="00DF6CF3">
        <w:rPr>
          <w:rFonts w:ascii="Book Antiqua" w:eastAsia="Times New Roman" w:hAnsi="Book Antiqua" w:cs="Times New Roman"/>
          <w:b/>
          <w:kern w:val="0"/>
          <w14:ligatures w14:val="none"/>
        </w:rPr>
        <w:t>O</w:t>
      </w:r>
      <w:r w:rsidR="00A54AF0" w:rsidRPr="00DF6CF3">
        <w:rPr>
          <w:rFonts w:ascii="Book Antiqua" w:eastAsia="Times New Roman" w:hAnsi="Book Antiqua" w:cs="Times New Roman"/>
          <w:b/>
          <w:kern w:val="0"/>
          <w14:ligatures w14:val="none"/>
        </w:rPr>
        <w:t>S</w:t>
      </w:r>
    </w:p>
    <w:p w14:paraId="2EE2EDEA" w14:textId="77777777" w:rsidR="00A54AF0" w:rsidRPr="00DF6CF3" w:rsidRDefault="00A54AF0" w:rsidP="00A54AF0">
      <w:pPr>
        <w:spacing w:after="0" w:line="240" w:lineRule="auto"/>
        <w:jc w:val="center"/>
        <w:rPr>
          <w:rFonts w:ascii="Book Antiqua" w:eastAsia="Times New Roman" w:hAnsi="Book Antiqua" w:cs="Times New Roman"/>
          <w:b/>
          <w:kern w:val="0"/>
          <w14:ligatures w14:val="none"/>
        </w:rPr>
      </w:pPr>
    </w:p>
    <w:p w14:paraId="48E108B8" w14:textId="0678DE96" w:rsidR="006823BA" w:rsidRDefault="00A54AF0" w:rsidP="006823BA">
      <w:pPr>
        <w:numPr>
          <w:ilvl w:val="0"/>
          <w:numId w:val="2"/>
        </w:numPr>
        <w:spacing w:after="0" w:line="276" w:lineRule="auto"/>
        <w:ind w:left="360"/>
        <w:contextualSpacing/>
        <w:jc w:val="center"/>
        <w:rPr>
          <w:rFonts w:ascii="Book Antiqua" w:eastAsia="Times New Roman" w:hAnsi="Book Antiqua" w:cs="Times New Roman"/>
          <w:bCs/>
          <w:i/>
          <w:iCs/>
          <w:kern w:val="0"/>
          <w14:ligatures w14:val="none"/>
        </w:rPr>
      </w:pPr>
      <w:r w:rsidRPr="00DF6CF3">
        <w:rPr>
          <w:rFonts w:ascii="Book Antiqua" w:eastAsia="Times New Roman" w:hAnsi="Book Antiqua" w:cs="Times New Roman"/>
          <w:bCs/>
          <w:i/>
          <w:iCs/>
          <w:kern w:val="0"/>
          <w14:ligatures w14:val="none"/>
        </w:rPr>
        <w:t>Memoriales Explicativos</w:t>
      </w:r>
    </w:p>
    <w:p w14:paraId="63ED7045" w14:textId="77777777" w:rsidR="006823BA" w:rsidRPr="006823BA" w:rsidRDefault="006823BA" w:rsidP="006823BA">
      <w:pPr>
        <w:spacing w:after="0" w:line="276" w:lineRule="auto"/>
        <w:ind w:left="360"/>
        <w:contextualSpacing/>
        <w:rPr>
          <w:rFonts w:ascii="Book Antiqua" w:eastAsia="Times New Roman" w:hAnsi="Book Antiqua" w:cs="Times New Roman"/>
          <w:bCs/>
          <w:i/>
          <w:iCs/>
          <w:kern w:val="0"/>
          <w14:ligatures w14:val="none"/>
        </w:rPr>
      </w:pPr>
    </w:p>
    <w:p w14:paraId="280644F1" w14:textId="6266D250" w:rsidR="00A54AF0" w:rsidRPr="00DF6CF3" w:rsidRDefault="009C5642" w:rsidP="00352764">
      <w:pPr>
        <w:numPr>
          <w:ilvl w:val="0"/>
          <w:numId w:val="1"/>
        </w:numPr>
        <w:spacing w:after="200" w:line="276" w:lineRule="auto"/>
        <w:ind w:left="360"/>
        <w:contextualSpacing/>
        <w:jc w:val="center"/>
        <w:rPr>
          <w:rFonts w:ascii="Book Antiqua" w:eastAsia="Times New Roman" w:hAnsi="Book Antiqua" w:cs="Times New Roman"/>
          <w:bCs/>
          <w:kern w:val="0"/>
          <w:u w:val="single"/>
          <w:lang w:val="en-US"/>
          <w14:ligatures w14:val="none"/>
        </w:rPr>
      </w:pPr>
      <w:r w:rsidRPr="00DF6CF3">
        <w:rPr>
          <w:rFonts w:ascii="Book Antiqua" w:eastAsia="Times New Roman" w:hAnsi="Book Antiqua" w:cs="Times New Roman"/>
          <w:kern w:val="0"/>
          <w:u w:val="single"/>
          <w:lang w:val="en-US"/>
          <w14:ligatures w14:val="none"/>
        </w:rPr>
        <w:t>Departamento de Agricultura</w:t>
      </w:r>
    </w:p>
    <w:p w14:paraId="3772F1DC" w14:textId="77777777" w:rsidR="00352764" w:rsidRPr="00DF6CF3" w:rsidRDefault="00352764" w:rsidP="00C1455B">
      <w:pPr>
        <w:spacing w:after="200" w:line="276" w:lineRule="auto"/>
        <w:contextualSpacing/>
        <w:rPr>
          <w:rFonts w:ascii="Book Antiqua" w:eastAsia="Times New Roman" w:hAnsi="Book Antiqua" w:cs="Times New Roman"/>
          <w:bCs/>
          <w:kern w:val="0"/>
          <w:u w:val="single"/>
          <w:lang w:val="en-US"/>
          <w14:ligatures w14:val="none"/>
        </w:rPr>
      </w:pPr>
    </w:p>
    <w:p w14:paraId="11B61067" w14:textId="092FD7AC" w:rsidR="00A54AF0" w:rsidRPr="00DF6CF3" w:rsidRDefault="001578CC" w:rsidP="003C3F3D">
      <w:pPr>
        <w:spacing w:after="200" w:line="360" w:lineRule="auto"/>
        <w:ind w:firstLine="720"/>
        <w:contextualSpacing/>
        <w:jc w:val="both"/>
        <w:rPr>
          <w:rFonts w:ascii="Book Antiqua" w:eastAsia="Times New Roman" w:hAnsi="Book Antiqua" w:cs="Times New Roman"/>
          <w:bCs/>
          <w:kern w:val="0"/>
          <w:lang w:val="es-ES"/>
          <w14:ligatures w14:val="none"/>
        </w:rPr>
      </w:pPr>
      <w:r w:rsidRPr="00DF6CF3">
        <w:rPr>
          <w:rFonts w:ascii="Book Antiqua" w:eastAsia="Times New Roman" w:hAnsi="Book Antiqua" w:cs="Times New Roman"/>
          <w:kern w:val="0"/>
          <w:lang w:val="es-ES"/>
          <w14:ligatures w14:val="none"/>
        </w:rPr>
        <w:t xml:space="preserve">El 4 de marzo de 2025 el Departamento de Agricultura remitió un documento </w:t>
      </w:r>
      <w:r w:rsidR="00184D12" w:rsidRPr="00DF6CF3">
        <w:rPr>
          <w:rFonts w:ascii="Book Antiqua" w:eastAsia="Times New Roman" w:hAnsi="Book Antiqua" w:cs="Times New Roman"/>
          <w:kern w:val="0"/>
          <w:lang w:val="es-ES"/>
          <w14:ligatures w14:val="none"/>
        </w:rPr>
        <w:t>titulado</w:t>
      </w:r>
      <w:r w:rsidRPr="00DF6CF3">
        <w:rPr>
          <w:rFonts w:ascii="Book Antiqua" w:eastAsia="Times New Roman" w:hAnsi="Book Antiqua" w:cs="Times New Roman"/>
          <w:kern w:val="0"/>
          <w:lang w:val="es-ES"/>
          <w14:ligatures w14:val="none"/>
        </w:rPr>
        <w:t xml:space="preserve"> </w:t>
      </w:r>
      <w:r w:rsidRPr="00DF6CF3">
        <w:rPr>
          <w:rFonts w:ascii="Book Antiqua" w:eastAsia="Times New Roman" w:hAnsi="Book Antiqua" w:cs="Times New Roman"/>
          <w:i/>
          <w:iCs/>
          <w:kern w:val="0"/>
          <w:lang w:val="es-ES"/>
          <w14:ligatures w14:val="none"/>
        </w:rPr>
        <w:t xml:space="preserve">Memorial Explicativo </w:t>
      </w:r>
      <w:r w:rsidR="00184D12" w:rsidRPr="00DF6CF3">
        <w:rPr>
          <w:rFonts w:ascii="Book Antiqua" w:eastAsia="Times New Roman" w:hAnsi="Book Antiqua" w:cs="Times New Roman"/>
          <w:i/>
          <w:iCs/>
          <w:kern w:val="0"/>
          <w:lang w:val="es-ES"/>
          <w14:ligatures w14:val="none"/>
        </w:rPr>
        <w:t>P. de la C. 157</w:t>
      </w:r>
      <w:r w:rsidR="00184D12" w:rsidRPr="00DF6CF3">
        <w:rPr>
          <w:rFonts w:ascii="Book Antiqua" w:eastAsia="Times New Roman" w:hAnsi="Book Antiqua" w:cs="Times New Roman"/>
          <w:kern w:val="0"/>
          <w:lang w:val="es-ES"/>
          <w14:ligatures w14:val="none"/>
        </w:rPr>
        <w:t>, con fecha del 28 de febrero de 2025.</w:t>
      </w:r>
      <w:r w:rsidR="00C1455B" w:rsidRPr="00DF6CF3">
        <w:rPr>
          <w:rStyle w:val="FootnoteReference"/>
          <w:rFonts w:ascii="Book Antiqua" w:eastAsia="Times New Roman" w:hAnsi="Book Antiqua"/>
          <w:kern w:val="0"/>
          <w:lang w:val="es-ES"/>
          <w14:ligatures w14:val="none"/>
        </w:rPr>
        <w:footnoteReference w:id="8"/>
      </w:r>
      <w:r w:rsidR="00184D12" w:rsidRPr="00DF6CF3">
        <w:rPr>
          <w:rFonts w:ascii="Book Antiqua" w:eastAsia="Times New Roman" w:hAnsi="Book Antiqua" w:cs="Times New Roman"/>
          <w:kern w:val="0"/>
          <w:lang w:val="es-ES"/>
          <w14:ligatures w14:val="none"/>
        </w:rPr>
        <w:t xml:space="preserve"> Inició realizando un trasfondo histórico de la necesidad de programas de acceso a capital ante la </w:t>
      </w:r>
      <w:r w:rsidR="00352764" w:rsidRPr="00DF6CF3">
        <w:rPr>
          <w:rFonts w:ascii="Book Antiqua" w:eastAsia="Times New Roman" w:hAnsi="Book Antiqua" w:cs="Times New Roman"/>
          <w:kern w:val="0"/>
          <w:lang w:val="es-ES"/>
          <w14:ligatures w14:val="none"/>
        </w:rPr>
        <w:t>escasez</w:t>
      </w:r>
      <w:r w:rsidR="00184D12" w:rsidRPr="00DF6CF3">
        <w:rPr>
          <w:rFonts w:ascii="Book Antiqua" w:eastAsia="Times New Roman" w:hAnsi="Book Antiqua" w:cs="Times New Roman"/>
          <w:kern w:val="0"/>
          <w:lang w:val="es-ES"/>
          <w14:ligatures w14:val="none"/>
        </w:rPr>
        <w:t xml:space="preserve"> de opciones de crédito y las altas tasas de interés imperantes el momento de promulgarse la Ley Núm. 402, </w:t>
      </w:r>
      <w:r w:rsidR="00184D12" w:rsidRPr="00DF6CF3">
        <w:rPr>
          <w:rFonts w:ascii="Book Antiqua" w:eastAsia="Times New Roman" w:hAnsi="Book Antiqua" w:cs="Times New Roman"/>
          <w:i/>
          <w:iCs/>
          <w:kern w:val="0"/>
          <w:lang w:val="es-ES"/>
          <w14:ligatures w14:val="none"/>
        </w:rPr>
        <w:t>supra</w:t>
      </w:r>
      <w:r w:rsidR="00184D12" w:rsidRPr="00DF6CF3">
        <w:rPr>
          <w:rFonts w:ascii="Book Antiqua" w:eastAsia="Times New Roman" w:hAnsi="Book Antiqua" w:cs="Times New Roman"/>
          <w:kern w:val="0"/>
          <w:lang w:val="es-ES"/>
          <w14:ligatures w14:val="none"/>
        </w:rPr>
        <w:t>.</w:t>
      </w:r>
      <w:r w:rsidR="00352764" w:rsidRPr="00DF6CF3">
        <w:rPr>
          <w:rStyle w:val="FootnoteReference"/>
          <w:rFonts w:ascii="Book Antiqua" w:eastAsia="Times New Roman" w:hAnsi="Book Antiqua"/>
          <w:kern w:val="0"/>
          <w:lang w:val="es-ES"/>
          <w14:ligatures w14:val="none"/>
        </w:rPr>
        <w:footnoteReference w:id="9"/>
      </w:r>
      <w:r w:rsidR="00184D12" w:rsidRPr="00DF6CF3">
        <w:rPr>
          <w:rFonts w:ascii="Book Antiqua" w:eastAsia="Times New Roman" w:hAnsi="Book Antiqua" w:cs="Times New Roman"/>
          <w:kern w:val="0"/>
          <w:lang w:val="es-ES"/>
          <w14:ligatures w14:val="none"/>
        </w:rPr>
        <w:t xml:space="preserve"> Posteriormente, concurrió con la conclusión del P. la C. 157, indicando que el Código de Rentas Internas de 2011, </w:t>
      </w:r>
      <w:r w:rsidR="00184D12" w:rsidRPr="00DF6CF3">
        <w:rPr>
          <w:rFonts w:ascii="Book Antiqua" w:eastAsia="Times New Roman" w:hAnsi="Book Antiqua" w:cs="Times New Roman"/>
          <w:i/>
          <w:iCs/>
          <w:kern w:val="0"/>
          <w:lang w:val="es-ES"/>
          <w14:ligatures w14:val="none"/>
        </w:rPr>
        <w:t>supra</w:t>
      </w:r>
      <w:r w:rsidR="00184D12" w:rsidRPr="00DF6CF3">
        <w:rPr>
          <w:rFonts w:ascii="Book Antiqua" w:eastAsia="Times New Roman" w:hAnsi="Book Antiqua" w:cs="Times New Roman"/>
          <w:kern w:val="0"/>
          <w:lang w:val="es-ES"/>
          <w14:ligatures w14:val="none"/>
        </w:rPr>
        <w:t xml:space="preserve">, reconocía los créditos y exenciones que anteriormente eran materia de la Ley Núm. 402, </w:t>
      </w:r>
      <w:r w:rsidR="00184D12" w:rsidRPr="00DF6CF3">
        <w:rPr>
          <w:rFonts w:ascii="Book Antiqua" w:eastAsia="Times New Roman" w:hAnsi="Book Antiqua" w:cs="Times New Roman"/>
          <w:i/>
          <w:iCs/>
          <w:kern w:val="0"/>
          <w:lang w:val="es-ES"/>
          <w14:ligatures w14:val="none"/>
        </w:rPr>
        <w:t>supra</w:t>
      </w:r>
      <w:r w:rsidR="00184D12" w:rsidRPr="00DF6CF3">
        <w:rPr>
          <w:rFonts w:ascii="Book Antiqua" w:eastAsia="Times New Roman" w:hAnsi="Book Antiqua" w:cs="Times New Roman"/>
          <w:kern w:val="0"/>
          <w:lang w:val="es-ES"/>
          <w14:ligatures w14:val="none"/>
        </w:rPr>
        <w:t>.</w:t>
      </w:r>
      <w:r w:rsidR="00352764" w:rsidRPr="00DF6CF3">
        <w:rPr>
          <w:rStyle w:val="FootnoteReference"/>
          <w:rFonts w:ascii="Book Antiqua" w:eastAsia="Times New Roman" w:hAnsi="Book Antiqua"/>
          <w:kern w:val="0"/>
          <w:lang w:val="es-ES"/>
          <w14:ligatures w14:val="none"/>
        </w:rPr>
        <w:footnoteReference w:id="10"/>
      </w:r>
      <w:r w:rsidR="00184D12" w:rsidRPr="00DF6CF3">
        <w:rPr>
          <w:rFonts w:ascii="Book Antiqua" w:eastAsia="Times New Roman" w:hAnsi="Book Antiqua" w:cs="Times New Roman"/>
          <w:kern w:val="0"/>
          <w:lang w:val="es-ES"/>
          <w14:ligatures w14:val="none"/>
        </w:rPr>
        <w:t xml:space="preserve"> Siendo así, el Departamento de Agricultura (1) recomendó a esta Comisión recoger el insumo del Departamento de Hacienda, y (2) entendió meritoria la derogación de la Ley Núm. 402, </w:t>
      </w:r>
      <w:r w:rsidR="00184D12" w:rsidRPr="00DF6CF3">
        <w:rPr>
          <w:rFonts w:ascii="Book Antiqua" w:eastAsia="Times New Roman" w:hAnsi="Book Antiqua" w:cs="Times New Roman"/>
          <w:i/>
          <w:iCs/>
          <w:kern w:val="0"/>
          <w:lang w:val="es-ES"/>
          <w14:ligatures w14:val="none"/>
        </w:rPr>
        <w:t>supra</w:t>
      </w:r>
      <w:r w:rsidR="00184D12" w:rsidRPr="00DF6CF3">
        <w:rPr>
          <w:rFonts w:ascii="Book Antiqua" w:eastAsia="Times New Roman" w:hAnsi="Book Antiqua" w:cs="Times New Roman"/>
          <w:kern w:val="0"/>
          <w:lang w:val="es-ES"/>
          <w14:ligatures w14:val="none"/>
        </w:rPr>
        <w:t>, tal como propone el P. de la C. 157.</w:t>
      </w:r>
      <w:r w:rsidR="00352764" w:rsidRPr="00DF6CF3">
        <w:rPr>
          <w:rStyle w:val="FootnoteReference"/>
          <w:rFonts w:ascii="Book Antiqua" w:eastAsia="Times New Roman" w:hAnsi="Book Antiqua"/>
          <w:kern w:val="0"/>
          <w:lang w:val="es-ES"/>
          <w14:ligatures w14:val="none"/>
        </w:rPr>
        <w:footnoteReference w:id="11"/>
      </w:r>
    </w:p>
    <w:p w14:paraId="2889507D" w14:textId="77777777" w:rsidR="00352764" w:rsidRPr="00DF6CF3" w:rsidRDefault="00352764" w:rsidP="00352764">
      <w:pPr>
        <w:pStyle w:val="ListParagraph"/>
        <w:numPr>
          <w:ilvl w:val="0"/>
          <w:numId w:val="1"/>
        </w:numPr>
        <w:spacing w:after="0" w:line="240" w:lineRule="auto"/>
        <w:jc w:val="center"/>
        <w:rPr>
          <w:rFonts w:ascii="Book Antiqua" w:eastAsia="Times New Roman" w:hAnsi="Book Antiqua" w:cs="Times New Roman"/>
          <w:bCs/>
          <w:kern w:val="0"/>
          <w:u w:val="single"/>
          <w14:ligatures w14:val="none"/>
        </w:rPr>
      </w:pPr>
      <w:bookmarkStart w:id="0" w:name="_Hlk191473974"/>
      <w:r w:rsidRPr="00DF6CF3">
        <w:rPr>
          <w:rFonts w:ascii="Book Antiqua" w:eastAsia="Times New Roman" w:hAnsi="Book Antiqua" w:cs="Times New Roman"/>
          <w:kern w:val="0"/>
          <w:u w:val="single"/>
          <w:lang w:val="es-ES_tradnl"/>
          <w14:ligatures w14:val="none"/>
        </w:rPr>
        <w:t xml:space="preserve">Corporación Pública para la Supervisión y </w:t>
      </w:r>
    </w:p>
    <w:p w14:paraId="36E19C55" w14:textId="77777777" w:rsidR="00352764" w:rsidRPr="00DF6CF3" w:rsidRDefault="00352764" w:rsidP="00352764">
      <w:pPr>
        <w:pStyle w:val="ListParagraph"/>
        <w:spacing w:after="0" w:line="240" w:lineRule="auto"/>
        <w:jc w:val="center"/>
        <w:rPr>
          <w:rFonts w:ascii="Book Antiqua" w:eastAsia="Times New Roman" w:hAnsi="Book Antiqua" w:cs="Times New Roman"/>
          <w:kern w:val="0"/>
          <w:u w:val="single"/>
          <w:lang w:val="es-ES_tradnl"/>
          <w14:ligatures w14:val="none"/>
        </w:rPr>
      </w:pPr>
      <w:r w:rsidRPr="00DF6CF3">
        <w:rPr>
          <w:rFonts w:ascii="Book Antiqua" w:eastAsia="Times New Roman" w:hAnsi="Book Antiqua" w:cs="Times New Roman"/>
          <w:kern w:val="0"/>
          <w:u w:val="single"/>
          <w:lang w:val="es-ES_tradnl"/>
          <w14:ligatures w14:val="none"/>
        </w:rPr>
        <w:t>Seguros de Cooperativas de Puerto Rico (COSSEC)</w:t>
      </w:r>
    </w:p>
    <w:p w14:paraId="49C90E95" w14:textId="77777777" w:rsidR="00440A59" w:rsidRPr="00DF6CF3" w:rsidRDefault="00440A59" w:rsidP="00440A59">
      <w:pPr>
        <w:spacing w:after="0" w:line="240" w:lineRule="auto"/>
        <w:rPr>
          <w:rFonts w:ascii="Book Antiqua" w:eastAsia="Times New Roman" w:hAnsi="Book Antiqua" w:cs="Times New Roman"/>
          <w:bCs/>
          <w:kern w:val="0"/>
          <w14:ligatures w14:val="none"/>
        </w:rPr>
      </w:pPr>
    </w:p>
    <w:p w14:paraId="5DC474D9" w14:textId="28E5DEAF" w:rsidR="001F12B4" w:rsidRPr="00DF6CF3" w:rsidRDefault="00440A59" w:rsidP="003C3F3D">
      <w:pPr>
        <w:spacing w:after="0" w:line="360" w:lineRule="auto"/>
        <w:ind w:firstLine="720"/>
        <w:jc w:val="both"/>
        <w:rPr>
          <w:rFonts w:ascii="Book Antiqua" w:eastAsia="Times New Roman" w:hAnsi="Book Antiqua" w:cs="Times New Roman"/>
          <w:bCs/>
          <w:kern w:val="0"/>
          <w14:ligatures w14:val="none"/>
        </w:rPr>
      </w:pPr>
      <w:r w:rsidRPr="00DF6CF3">
        <w:rPr>
          <w:rFonts w:ascii="Book Antiqua" w:eastAsia="Times New Roman" w:hAnsi="Book Antiqua" w:cs="Times New Roman"/>
          <w:bCs/>
          <w:kern w:val="0"/>
          <w14:ligatures w14:val="none"/>
        </w:rPr>
        <w:t>El 6 de marzo de 2025 la Corporación Pública para la Supervisión y Seguros de Cooperativas de Puerto Rico (COSSEC), envió a la CRED un documento titulado</w:t>
      </w:r>
      <w:r w:rsidR="00FA73BD" w:rsidRPr="00DF6CF3">
        <w:rPr>
          <w:rFonts w:ascii="Book Antiqua" w:eastAsia="Times New Roman" w:hAnsi="Book Antiqua" w:cs="Times New Roman"/>
          <w:bCs/>
          <w:kern w:val="0"/>
          <w14:ligatures w14:val="none"/>
        </w:rPr>
        <w:t xml:space="preserve"> </w:t>
      </w:r>
      <w:r w:rsidR="00FA73BD" w:rsidRPr="00DF6CF3">
        <w:rPr>
          <w:rFonts w:ascii="Book Antiqua" w:eastAsia="Times New Roman" w:hAnsi="Book Antiqua" w:cs="Times New Roman"/>
          <w:bCs/>
          <w:i/>
          <w:iCs/>
          <w:kern w:val="0"/>
          <w14:ligatures w14:val="none"/>
        </w:rPr>
        <w:t xml:space="preserve">Memorial Explicativo </w:t>
      </w:r>
      <w:r w:rsidR="00667221" w:rsidRPr="00DF6CF3">
        <w:rPr>
          <w:rFonts w:ascii="Book Antiqua" w:eastAsia="Times New Roman" w:hAnsi="Book Antiqua" w:cs="Times New Roman"/>
          <w:bCs/>
          <w:i/>
          <w:iCs/>
          <w:kern w:val="0"/>
          <w14:ligatures w14:val="none"/>
        </w:rPr>
        <w:t>sobre el Proyecto de la Cámara 157</w:t>
      </w:r>
      <w:r w:rsidR="00667221" w:rsidRPr="00DF6CF3">
        <w:rPr>
          <w:rFonts w:ascii="Book Antiqua" w:eastAsia="Times New Roman" w:hAnsi="Book Antiqua" w:cs="Times New Roman"/>
          <w:bCs/>
          <w:kern w:val="0"/>
          <w14:ligatures w14:val="none"/>
        </w:rPr>
        <w:t>.</w:t>
      </w:r>
      <w:r w:rsidR="00667221" w:rsidRPr="00DF6CF3">
        <w:rPr>
          <w:rStyle w:val="FootnoteReference"/>
          <w:rFonts w:ascii="Book Antiqua" w:eastAsia="Times New Roman" w:hAnsi="Book Antiqua"/>
          <w:bCs/>
          <w:kern w:val="0"/>
          <w14:ligatures w14:val="none"/>
        </w:rPr>
        <w:footnoteReference w:id="12"/>
      </w:r>
      <w:r w:rsidR="00C1455B" w:rsidRPr="00DF6CF3">
        <w:rPr>
          <w:rFonts w:ascii="Book Antiqua" w:eastAsia="Times New Roman" w:hAnsi="Book Antiqua" w:cs="Times New Roman"/>
          <w:bCs/>
          <w:kern w:val="0"/>
          <w14:ligatures w14:val="none"/>
        </w:rPr>
        <w:t xml:space="preserve"> </w:t>
      </w:r>
      <w:r w:rsidR="002D3140" w:rsidRPr="00DF6CF3">
        <w:rPr>
          <w:rFonts w:ascii="Book Antiqua" w:eastAsia="Times New Roman" w:hAnsi="Book Antiqua" w:cs="Times New Roman"/>
          <w:bCs/>
          <w:kern w:val="0"/>
          <w14:ligatures w14:val="none"/>
        </w:rPr>
        <w:t xml:space="preserve">En lo pertinente, COSSEC indica que el Código de Rentas Internas de Puerto Rico, supra, dispone que los valores emitidos por asociaciones cooperativas y operadas bajo las leyes 239-2004, </w:t>
      </w:r>
      <w:r w:rsidR="002D3140" w:rsidRPr="00DF6CF3">
        <w:rPr>
          <w:rFonts w:ascii="Book Antiqua" w:eastAsia="Times New Roman" w:hAnsi="Book Antiqua" w:cs="Times New Roman"/>
          <w:bCs/>
          <w:i/>
          <w:iCs/>
          <w:kern w:val="0"/>
          <w14:ligatures w14:val="none"/>
        </w:rPr>
        <w:t>supra</w:t>
      </w:r>
      <w:r w:rsidR="002D3140" w:rsidRPr="00DF6CF3">
        <w:rPr>
          <w:rFonts w:ascii="Book Antiqua" w:eastAsia="Times New Roman" w:hAnsi="Book Antiqua" w:cs="Times New Roman"/>
          <w:bCs/>
          <w:kern w:val="0"/>
          <w14:ligatures w14:val="none"/>
        </w:rPr>
        <w:t xml:space="preserve">, o 255-2002, </w:t>
      </w:r>
      <w:r w:rsidR="002D3140" w:rsidRPr="00DF6CF3">
        <w:rPr>
          <w:rFonts w:ascii="Book Antiqua" w:eastAsia="Times New Roman" w:hAnsi="Book Antiqua" w:cs="Times New Roman"/>
          <w:bCs/>
          <w:i/>
          <w:iCs/>
          <w:kern w:val="0"/>
          <w14:ligatures w14:val="none"/>
        </w:rPr>
        <w:t>supra</w:t>
      </w:r>
      <w:r w:rsidR="002D3140" w:rsidRPr="00DF6CF3">
        <w:rPr>
          <w:rFonts w:ascii="Book Antiqua" w:eastAsia="Times New Roman" w:hAnsi="Book Antiqua" w:cs="Times New Roman"/>
          <w:bCs/>
          <w:kern w:val="0"/>
          <w14:ligatures w14:val="none"/>
        </w:rPr>
        <w:t xml:space="preserve">, </w:t>
      </w:r>
      <w:r w:rsidR="002D3140" w:rsidRPr="00DF6CF3">
        <w:rPr>
          <w:rFonts w:ascii="Book Antiqua" w:eastAsia="Times New Roman" w:hAnsi="Book Antiqua" w:cs="Times New Roman"/>
          <w:bCs/>
          <w:kern w:val="0"/>
          <w14:ligatures w14:val="none"/>
        </w:rPr>
        <w:lastRenderedPageBreak/>
        <w:t>están exentas de tributación hasta un máximo de $5,000.00.</w:t>
      </w:r>
      <w:r w:rsidR="004E0F19" w:rsidRPr="00DF6CF3">
        <w:rPr>
          <w:rStyle w:val="FootnoteReference"/>
          <w:rFonts w:ascii="Book Antiqua" w:eastAsia="Times New Roman" w:hAnsi="Book Antiqua"/>
          <w:bCs/>
          <w:kern w:val="0"/>
          <w14:ligatures w14:val="none"/>
        </w:rPr>
        <w:footnoteReference w:id="13"/>
      </w:r>
      <w:r w:rsidR="002D3140" w:rsidRPr="00DF6CF3">
        <w:rPr>
          <w:rFonts w:ascii="Book Antiqua" w:eastAsia="Times New Roman" w:hAnsi="Book Antiqua" w:cs="Times New Roman"/>
          <w:bCs/>
          <w:kern w:val="0"/>
          <w14:ligatures w14:val="none"/>
        </w:rPr>
        <w:t xml:space="preserve"> Asimismo, para lograr la exención tributaria correspondiente, deberán cumplir con los requisitos de las leyes, 239-2004, </w:t>
      </w:r>
      <w:r w:rsidR="002D3140" w:rsidRPr="00DF6CF3">
        <w:rPr>
          <w:rFonts w:ascii="Book Antiqua" w:eastAsia="Times New Roman" w:hAnsi="Book Antiqua" w:cs="Times New Roman"/>
          <w:bCs/>
          <w:i/>
          <w:iCs/>
          <w:kern w:val="0"/>
          <w14:ligatures w14:val="none"/>
        </w:rPr>
        <w:t>supra</w:t>
      </w:r>
      <w:r w:rsidR="002D3140" w:rsidRPr="00DF6CF3">
        <w:rPr>
          <w:rFonts w:ascii="Book Antiqua" w:eastAsia="Times New Roman" w:hAnsi="Book Antiqua" w:cs="Times New Roman"/>
          <w:bCs/>
          <w:kern w:val="0"/>
          <w14:ligatures w14:val="none"/>
        </w:rPr>
        <w:t xml:space="preserve">; Ley Núm. 255-2002, </w:t>
      </w:r>
      <w:r w:rsidR="002D3140" w:rsidRPr="00DF6CF3">
        <w:rPr>
          <w:rFonts w:ascii="Book Antiqua" w:eastAsia="Times New Roman" w:hAnsi="Book Antiqua" w:cs="Times New Roman"/>
          <w:bCs/>
          <w:i/>
          <w:iCs/>
          <w:kern w:val="0"/>
          <w14:ligatures w14:val="none"/>
        </w:rPr>
        <w:t>supra</w:t>
      </w:r>
      <w:r w:rsidR="002D3140" w:rsidRPr="00DF6CF3">
        <w:rPr>
          <w:rFonts w:ascii="Book Antiqua" w:eastAsia="Times New Roman" w:hAnsi="Book Antiqua" w:cs="Times New Roman"/>
          <w:bCs/>
          <w:kern w:val="0"/>
          <w14:ligatures w14:val="none"/>
        </w:rPr>
        <w:t xml:space="preserve">; Ley Núm. 220-2002, según enmendada, conocida como </w:t>
      </w:r>
      <w:r w:rsidR="002D3140" w:rsidRPr="00DF6CF3">
        <w:rPr>
          <w:rFonts w:ascii="Book Antiqua" w:eastAsia="Times New Roman" w:hAnsi="Book Antiqua" w:cs="Times New Roman"/>
          <w:bCs/>
          <w:i/>
          <w:iCs/>
          <w:kern w:val="0"/>
          <w14:ligatures w14:val="none"/>
        </w:rPr>
        <w:t>Ley Especial de Cooperativas Juveniles</w:t>
      </w:r>
      <w:r w:rsidR="002D3140" w:rsidRPr="00DF6CF3">
        <w:rPr>
          <w:rStyle w:val="FootnoteReference"/>
          <w:rFonts w:ascii="Book Antiqua" w:eastAsia="Times New Roman" w:hAnsi="Book Antiqua"/>
          <w:bCs/>
          <w:i/>
          <w:iCs/>
          <w:kern w:val="0"/>
          <w14:ligatures w14:val="none"/>
        </w:rPr>
        <w:footnoteReference w:id="14"/>
      </w:r>
      <w:r w:rsidR="004E0F19" w:rsidRPr="00DF6CF3">
        <w:rPr>
          <w:rFonts w:ascii="Book Antiqua" w:eastAsia="Times New Roman" w:hAnsi="Book Antiqua" w:cs="Times New Roman"/>
          <w:bCs/>
          <w:kern w:val="0"/>
          <w14:ligatures w14:val="none"/>
        </w:rPr>
        <w:t xml:space="preserve">, o la Ley Núm. 77 de 19 de junio de 1957, según enmendada, conocida como </w:t>
      </w:r>
      <w:r w:rsidR="004E0F19" w:rsidRPr="00DF6CF3">
        <w:rPr>
          <w:rFonts w:ascii="Book Antiqua" w:eastAsia="Times New Roman" w:hAnsi="Book Antiqua" w:cs="Times New Roman"/>
          <w:bCs/>
          <w:i/>
          <w:iCs/>
          <w:kern w:val="0"/>
          <w14:ligatures w14:val="none"/>
        </w:rPr>
        <w:t>Código de Seguros de Puerto Rico</w:t>
      </w:r>
      <w:r w:rsidR="004E0F19" w:rsidRPr="00DF6CF3">
        <w:rPr>
          <w:rStyle w:val="FootnoteReference"/>
          <w:rFonts w:ascii="Book Antiqua" w:eastAsia="Times New Roman" w:hAnsi="Book Antiqua"/>
          <w:bCs/>
          <w:kern w:val="0"/>
          <w14:ligatures w14:val="none"/>
        </w:rPr>
        <w:footnoteReference w:id="15"/>
      </w:r>
      <w:r w:rsidR="004E0F19" w:rsidRPr="00DF6CF3">
        <w:rPr>
          <w:rFonts w:ascii="Book Antiqua" w:eastAsia="Times New Roman" w:hAnsi="Book Antiqua" w:cs="Times New Roman"/>
          <w:bCs/>
          <w:kern w:val="0"/>
          <w14:ligatures w14:val="none"/>
        </w:rPr>
        <w:t>.</w:t>
      </w:r>
      <w:r w:rsidR="004E0F19" w:rsidRPr="00DF6CF3">
        <w:rPr>
          <w:rStyle w:val="FootnoteReference"/>
          <w:rFonts w:ascii="Book Antiqua" w:eastAsia="Times New Roman" w:hAnsi="Book Antiqua"/>
          <w:bCs/>
          <w:kern w:val="0"/>
          <w14:ligatures w14:val="none"/>
        </w:rPr>
        <w:footnoteReference w:id="16"/>
      </w:r>
    </w:p>
    <w:p w14:paraId="0F75F68A" w14:textId="042C0C70" w:rsidR="00D15B4B" w:rsidRPr="00DF6CF3" w:rsidRDefault="004E0F19" w:rsidP="002B79A3">
      <w:pPr>
        <w:spacing w:after="0" w:line="360" w:lineRule="auto"/>
        <w:ind w:firstLine="720"/>
        <w:jc w:val="both"/>
        <w:rPr>
          <w:rFonts w:ascii="Book Antiqua" w:eastAsia="Times New Roman" w:hAnsi="Book Antiqua" w:cs="Times New Roman"/>
          <w:bCs/>
          <w:kern w:val="0"/>
          <w14:ligatures w14:val="none"/>
        </w:rPr>
      </w:pPr>
      <w:r w:rsidRPr="00DF6CF3">
        <w:rPr>
          <w:rFonts w:ascii="Book Antiqua" w:eastAsia="Times New Roman" w:hAnsi="Book Antiqua" w:cs="Times New Roman"/>
          <w:bCs/>
          <w:kern w:val="0"/>
          <w14:ligatures w14:val="none"/>
        </w:rPr>
        <w:t xml:space="preserve">Finalmente, COSSEC expresó estar de acuerdo “con la intención del Proyecto [de la Cámara 157] </w:t>
      </w:r>
      <w:r w:rsidR="00E92C53" w:rsidRPr="00DF6CF3">
        <w:rPr>
          <w:rFonts w:ascii="Book Antiqua" w:eastAsia="Times New Roman" w:hAnsi="Book Antiqua" w:cs="Times New Roman"/>
          <w:bCs/>
          <w:kern w:val="0"/>
          <w14:ligatures w14:val="none"/>
        </w:rPr>
        <w:t>en derogar la Ley Núm. 402-1952 por haberse convertido esta ley en una obsoleta e inoficiosa.”</w:t>
      </w:r>
      <w:r w:rsidR="00E92C53" w:rsidRPr="00DF6CF3">
        <w:rPr>
          <w:rStyle w:val="FootnoteReference"/>
          <w:rFonts w:ascii="Book Antiqua" w:eastAsia="Times New Roman" w:hAnsi="Book Antiqua"/>
          <w:bCs/>
          <w:kern w:val="0"/>
          <w14:ligatures w14:val="none"/>
        </w:rPr>
        <w:footnoteReference w:id="17"/>
      </w:r>
    </w:p>
    <w:p w14:paraId="4E9BE92F" w14:textId="6BBC8D34" w:rsidR="00A54AF0" w:rsidRPr="00D15B4B" w:rsidRDefault="009C5642" w:rsidP="00D15B4B">
      <w:pPr>
        <w:numPr>
          <w:ilvl w:val="0"/>
          <w:numId w:val="1"/>
        </w:numPr>
        <w:spacing w:after="200" w:line="276" w:lineRule="auto"/>
        <w:contextualSpacing/>
        <w:jc w:val="center"/>
        <w:rPr>
          <w:rFonts w:ascii="Book Antiqua" w:eastAsia="Times New Roman" w:hAnsi="Book Antiqua" w:cs="Times New Roman"/>
          <w:bCs/>
          <w:kern w:val="0"/>
          <w:u w:val="single"/>
          <w14:ligatures w14:val="none"/>
        </w:rPr>
      </w:pPr>
      <w:r w:rsidRPr="00DF6CF3">
        <w:rPr>
          <w:rFonts w:ascii="Book Antiqua" w:eastAsia="Times New Roman" w:hAnsi="Book Antiqua" w:cs="Times New Roman"/>
          <w:kern w:val="0"/>
          <w:u w:val="single"/>
          <w:lang w:val="es-ES_tradnl"/>
          <w14:ligatures w14:val="none"/>
        </w:rPr>
        <w:t>Departamento de Hacienda</w:t>
      </w:r>
      <w:bookmarkEnd w:id="0"/>
    </w:p>
    <w:p w14:paraId="2D4B87D7" w14:textId="77777777" w:rsidR="00D15B4B" w:rsidRPr="00D15B4B" w:rsidRDefault="00D15B4B" w:rsidP="00D15B4B">
      <w:pPr>
        <w:spacing w:after="200" w:line="276" w:lineRule="auto"/>
        <w:ind w:left="720"/>
        <w:contextualSpacing/>
        <w:rPr>
          <w:rFonts w:ascii="Book Antiqua" w:eastAsia="Times New Roman" w:hAnsi="Book Antiqua" w:cs="Times New Roman"/>
          <w:bCs/>
          <w:kern w:val="0"/>
          <w:u w:val="single"/>
          <w14:ligatures w14:val="none"/>
        </w:rPr>
      </w:pPr>
    </w:p>
    <w:p w14:paraId="3B5258D1" w14:textId="7165F5E4" w:rsidR="00675DC7" w:rsidRPr="00DF6CF3" w:rsidRDefault="008A4272" w:rsidP="003C3F3D">
      <w:pPr>
        <w:spacing w:after="0" w:line="360" w:lineRule="auto"/>
        <w:ind w:firstLine="720"/>
        <w:jc w:val="both"/>
        <w:rPr>
          <w:rFonts w:ascii="Book Antiqua" w:eastAsia="Times New Roman" w:hAnsi="Book Antiqua" w:cs="Times New Roman"/>
          <w:bCs/>
          <w:kern w:val="0"/>
          <w14:ligatures w14:val="none"/>
        </w:rPr>
      </w:pPr>
      <w:r w:rsidRPr="00DF6CF3">
        <w:rPr>
          <w:rFonts w:ascii="Book Antiqua" w:eastAsia="Times New Roman" w:hAnsi="Book Antiqua" w:cs="Times New Roman"/>
          <w:bCs/>
          <w:kern w:val="0"/>
          <w14:ligatures w14:val="none"/>
        </w:rPr>
        <w:t>El 20 de marzo de 2025 el Departamento de Hacienda notificó a la CRED un documento cuyo asunto era Re: P. de la C. 157.</w:t>
      </w:r>
      <w:r w:rsidRPr="00DF6CF3">
        <w:rPr>
          <w:rStyle w:val="FootnoteReference"/>
          <w:rFonts w:ascii="Book Antiqua" w:eastAsia="Times New Roman" w:hAnsi="Book Antiqua"/>
          <w:bCs/>
          <w:kern w:val="0"/>
          <w14:ligatures w14:val="none"/>
        </w:rPr>
        <w:footnoteReference w:id="18"/>
      </w:r>
      <w:r w:rsidRPr="00DF6CF3">
        <w:rPr>
          <w:rFonts w:ascii="Book Antiqua" w:eastAsia="Times New Roman" w:hAnsi="Book Antiqua" w:cs="Times New Roman"/>
          <w:bCs/>
          <w:kern w:val="0"/>
          <w14:ligatures w14:val="none"/>
        </w:rPr>
        <w:t xml:space="preserve"> En síntesis, el Departamento de Hacienda expresa que</w:t>
      </w:r>
      <w:r w:rsidR="00F36C67" w:rsidRPr="00DF6CF3">
        <w:rPr>
          <w:rFonts w:ascii="Book Antiqua" w:eastAsia="Times New Roman" w:hAnsi="Book Antiqua" w:cs="Times New Roman"/>
          <w:bCs/>
          <w:kern w:val="0"/>
          <w14:ligatures w14:val="none"/>
        </w:rPr>
        <w:t>:</w:t>
      </w:r>
    </w:p>
    <w:p w14:paraId="404ADA9B" w14:textId="77777777" w:rsidR="00F36C67" w:rsidRPr="00DF6CF3" w:rsidRDefault="00F36C67" w:rsidP="00F36C67">
      <w:pPr>
        <w:spacing w:after="0" w:line="240" w:lineRule="auto"/>
        <w:ind w:left="720" w:right="720"/>
        <w:jc w:val="both"/>
        <w:rPr>
          <w:rFonts w:ascii="Book Antiqua" w:eastAsia="Times New Roman" w:hAnsi="Book Antiqua" w:cs="Times New Roman"/>
          <w:bCs/>
          <w:kern w:val="0"/>
          <w14:ligatures w14:val="none"/>
        </w:rPr>
      </w:pPr>
    </w:p>
    <w:p w14:paraId="52AA02AF" w14:textId="63953B93" w:rsidR="008A4272" w:rsidRPr="00DF6CF3" w:rsidRDefault="008A4272" w:rsidP="006823BA">
      <w:pPr>
        <w:spacing w:after="0" w:line="240" w:lineRule="auto"/>
        <w:ind w:left="720" w:right="720"/>
        <w:jc w:val="both"/>
        <w:rPr>
          <w:rFonts w:ascii="Book Antiqua" w:eastAsia="Times New Roman" w:hAnsi="Book Antiqua" w:cs="Times New Roman"/>
          <w:bCs/>
          <w:kern w:val="0"/>
          <w14:ligatures w14:val="none"/>
        </w:rPr>
      </w:pPr>
      <w:r w:rsidRPr="00DF6CF3">
        <w:rPr>
          <w:rFonts w:ascii="Book Antiqua" w:eastAsia="Times New Roman" w:hAnsi="Book Antiqua" w:cs="Times New Roman"/>
          <w:bCs/>
          <w:kern w:val="0"/>
          <w14:ligatures w14:val="none"/>
        </w:rPr>
        <w:t xml:space="preserve">[…] en nuestro ordenamiento </w:t>
      </w:r>
      <w:r w:rsidR="00F36C67" w:rsidRPr="00DF6CF3">
        <w:rPr>
          <w:rFonts w:ascii="Book Antiqua" w:eastAsia="Times New Roman" w:hAnsi="Book Antiqua" w:cs="Times New Roman"/>
          <w:bCs/>
          <w:kern w:val="0"/>
          <w14:ligatures w14:val="none"/>
        </w:rPr>
        <w:t>contributivo</w:t>
      </w:r>
      <w:r w:rsidRPr="00DF6CF3">
        <w:rPr>
          <w:rFonts w:ascii="Book Antiqua" w:eastAsia="Times New Roman" w:hAnsi="Book Antiqua" w:cs="Times New Roman"/>
          <w:bCs/>
          <w:kern w:val="0"/>
          <w14:ligatures w14:val="none"/>
        </w:rPr>
        <w:t xml:space="preserve"> actual se dispone que los valores emitidos por asociaciones cooperativas organizadas y operadas bajo las disposiciones de la Ley núm. 239-2004, conocida como “ley General de Asociaciones Cooperativas de 2004” (Ley Núm. 239-2004), o bajo las disposiciones de la Ley Núm. 225-2002, conocida como ‘Ley de Sociedades Cooperativas de Ahorro y Crédito de 2002” (Ley Núm. 225-2002</w:t>
      </w:r>
      <w:r w:rsidR="000C0ECB" w:rsidRPr="00DF6CF3">
        <w:rPr>
          <w:rFonts w:ascii="Book Antiqua" w:eastAsia="Times New Roman" w:hAnsi="Book Antiqua" w:cs="Times New Roman"/>
          <w:bCs/>
          <w:kern w:val="0"/>
          <w14:ligatures w14:val="none"/>
        </w:rPr>
        <w:t>)</w:t>
      </w:r>
      <w:r w:rsidR="00F36C67" w:rsidRPr="00DF6CF3">
        <w:rPr>
          <w:rFonts w:ascii="Book Antiqua" w:eastAsia="Times New Roman" w:hAnsi="Book Antiqua" w:cs="Times New Roman"/>
          <w:bCs/>
          <w:kern w:val="0"/>
          <w14:ligatures w14:val="none"/>
        </w:rPr>
        <w:t>, hasta un máximo de cinco mil (5,000) dólares, están exentas de tributación; al igual que el ingreso recibido por residentes de Puerto Rico por concepto de distribución de dividendos efectuados por asociaciones cooperativas domésticas, así como dispone la exención de contribuciones cuando las cooperativas son creadas a tenor con ciertas leyes especiales. […]</w:t>
      </w:r>
      <w:r w:rsidR="00F36C67" w:rsidRPr="00DF6CF3">
        <w:rPr>
          <w:rStyle w:val="FootnoteReference"/>
          <w:rFonts w:ascii="Book Antiqua" w:eastAsia="Times New Roman" w:hAnsi="Book Antiqua"/>
          <w:bCs/>
          <w:kern w:val="0"/>
          <w14:ligatures w14:val="none"/>
        </w:rPr>
        <w:footnoteReference w:id="19"/>
      </w:r>
    </w:p>
    <w:p w14:paraId="2C7F0370" w14:textId="77777777" w:rsidR="00A54AF0" w:rsidRPr="00DF6CF3" w:rsidRDefault="00A54AF0" w:rsidP="009C5642">
      <w:pPr>
        <w:spacing w:after="0" w:line="240" w:lineRule="auto"/>
        <w:ind w:left="720"/>
        <w:jc w:val="both"/>
        <w:rPr>
          <w:rFonts w:ascii="Book Antiqua" w:eastAsia="Times New Roman" w:hAnsi="Book Antiqua" w:cs="Times New Roman"/>
          <w:bCs/>
          <w:kern w:val="0"/>
          <w14:ligatures w14:val="none"/>
        </w:rPr>
      </w:pPr>
    </w:p>
    <w:p w14:paraId="073C52EE" w14:textId="03CC5188" w:rsidR="006736F9" w:rsidRPr="00DF6CF3" w:rsidRDefault="00F36C67" w:rsidP="003C3F3D">
      <w:pPr>
        <w:spacing w:after="0" w:line="360" w:lineRule="auto"/>
        <w:ind w:firstLine="720"/>
        <w:jc w:val="both"/>
        <w:rPr>
          <w:rFonts w:ascii="Book Antiqua" w:eastAsia="Times New Roman" w:hAnsi="Book Antiqua" w:cs="Times New Roman"/>
          <w:bCs/>
          <w:kern w:val="0"/>
          <w14:ligatures w14:val="none"/>
        </w:rPr>
      </w:pPr>
      <w:r w:rsidRPr="00DF6CF3">
        <w:rPr>
          <w:rFonts w:ascii="Book Antiqua" w:eastAsia="Times New Roman" w:hAnsi="Book Antiqua" w:cs="Times New Roman"/>
          <w:bCs/>
          <w:kern w:val="0"/>
          <w14:ligatures w14:val="none"/>
        </w:rPr>
        <w:t xml:space="preserve">Considerando lo anterior, así como el alcance que tiene el Departamento de Hacienda para con el análisis de la medida presupuestaria de referencia, éste se expresó </w:t>
      </w:r>
      <w:r w:rsidRPr="00DF6CF3">
        <w:rPr>
          <w:rFonts w:ascii="Book Antiqua" w:eastAsia="Times New Roman" w:hAnsi="Book Antiqua" w:cs="Times New Roman"/>
          <w:bCs/>
          <w:kern w:val="0"/>
          <w14:ligatures w14:val="none"/>
        </w:rPr>
        <w:lastRenderedPageBreak/>
        <w:t xml:space="preserve">de acuerdo con la premisa de que nuestro código de Rentas Internas de 2011, </w:t>
      </w:r>
      <w:r w:rsidRPr="00DF6CF3">
        <w:rPr>
          <w:rFonts w:ascii="Book Antiqua" w:eastAsia="Times New Roman" w:hAnsi="Book Antiqua" w:cs="Times New Roman"/>
          <w:bCs/>
          <w:i/>
          <w:iCs/>
          <w:kern w:val="0"/>
          <w14:ligatures w14:val="none"/>
        </w:rPr>
        <w:t>supra</w:t>
      </w:r>
      <w:r w:rsidRPr="00DF6CF3">
        <w:rPr>
          <w:rFonts w:ascii="Book Antiqua" w:eastAsia="Times New Roman" w:hAnsi="Book Antiqua" w:cs="Times New Roman"/>
          <w:bCs/>
          <w:kern w:val="0"/>
          <w14:ligatures w14:val="none"/>
        </w:rPr>
        <w:t>, contiene disposiciones que proveen exenciones de contribuciones sobre las cooperativas que cualifiquen a tenor con la Ley.</w:t>
      </w:r>
      <w:r w:rsidR="00312586" w:rsidRPr="00DF6CF3">
        <w:rPr>
          <w:rStyle w:val="FootnoteReference"/>
          <w:rFonts w:ascii="Book Antiqua" w:eastAsia="Times New Roman" w:hAnsi="Book Antiqua"/>
          <w:bCs/>
          <w:kern w:val="0"/>
          <w14:ligatures w14:val="none"/>
        </w:rPr>
        <w:footnoteReference w:id="20"/>
      </w:r>
      <w:r w:rsidRPr="00DF6CF3">
        <w:rPr>
          <w:rFonts w:ascii="Book Antiqua" w:eastAsia="Times New Roman" w:hAnsi="Book Antiqua" w:cs="Times New Roman"/>
          <w:bCs/>
          <w:kern w:val="0"/>
          <w14:ligatures w14:val="none"/>
        </w:rPr>
        <w:t xml:space="preserve"> Recomendó, sin embargo, auscultar con el Departamento de Agricultura para aclarar si la ley propuesta pudiera derogar tácitamente algún beneficio otorgado no contenido en el Código de Rentas Internas de 2011, </w:t>
      </w:r>
      <w:r w:rsidRPr="00DF6CF3">
        <w:rPr>
          <w:rFonts w:ascii="Book Antiqua" w:eastAsia="Times New Roman" w:hAnsi="Book Antiqua" w:cs="Times New Roman"/>
          <w:bCs/>
          <w:i/>
          <w:iCs/>
          <w:kern w:val="0"/>
          <w14:ligatures w14:val="none"/>
        </w:rPr>
        <w:t>supra</w:t>
      </w:r>
      <w:r w:rsidRPr="00DF6CF3">
        <w:rPr>
          <w:rFonts w:ascii="Book Antiqua" w:eastAsia="Times New Roman" w:hAnsi="Book Antiqua" w:cs="Times New Roman"/>
          <w:bCs/>
          <w:kern w:val="0"/>
          <w14:ligatures w14:val="none"/>
        </w:rPr>
        <w:t>.</w:t>
      </w:r>
      <w:r w:rsidRPr="00DF6CF3">
        <w:rPr>
          <w:rStyle w:val="FootnoteReference"/>
          <w:rFonts w:ascii="Book Antiqua" w:eastAsia="Times New Roman" w:hAnsi="Book Antiqua"/>
          <w:bCs/>
          <w:kern w:val="0"/>
          <w14:ligatures w14:val="none"/>
        </w:rPr>
        <w:footnoteReference w:id="21"/>
      </w:r>
      <w:r w:rsidR="00DF6CF3">
        <w:rPr>
          <w:rFonts w:ascii="Book Antiqua" w:eastAsia="Times New Roman" w:hAnsi="Book Antiqua" w:cs="Times New Roman"/>
          <w:bCs/>
          <w:kern w:val="0"/>
          <w14:ligatures w14:val="none"/>
        </w:rPr>
        <w:t xml:space="preserve"> Asimismo, recomendó </w:t>
      </w:r>
      <w:r w:rsidR="008361EB">
        <w:rPr>
          <w:rFonts w:ascii="Book Antiqua" w:eastAsia="Times New Roman" w:hAnsi="Book Antiqua" w:cs="Times New Roman"/>
          <w:bCs/>
          <w:kern w:val="0"/>
          <w14:ligatures w14:val="none"/>
        </w:rPr>
        <w:t>consultar</w:t>
      </w:r>
      <w:r w:rsidR="00DF6CF3">
        <w:rPr>
          <w:rFonts w:ascii="Book Antiqua" w:eastAsia="Times New Roman" w:hAnsi="Book Antiqua" w:cs="Times New Roman"/>
          <w:bCs/>
          <w:kern w:val="0"/>
          <w14:ligatures w14:val="none"/>
        </w:rPr>
        <w:t xml:space="preserve"> con la Oficina de Gerencia y Presupuesto y la Autoridad de Asesoría Financiera y Agencia Fiscal de puerto Rico para </w:t>
      </w:r>
      <w:r w:rsidR="002B79A3">
        <w:rPr>
          <w:rFonts w:ascii="Book Antiqua" w:eastAsia="Times New Roman" w:hAnsi="Book Antiqua" w:cs="Times New Roman"/>
          <w:bCs/>
          <w:kern w:val="0"/>
          <w14:ligatures w14:val="none"/>
        </w:rPr>
        <w:t>que</w:t>
      </w:r>
      <w:r w:rsidR="00DF6CF3">
        <w:rPr>
          <w:rFonts w:ascii="Book Antiqua" w:eastAsia="Times New Roman" w:hAnsi="Book Antiqua" w:cs="Times New Roman"/>
          <w:bCs/>
          <w:kern w:val="0"/>
          <w14:ligatures w14:val="none"/>
        </w:rPr>
        <w:t>, desde sus respectivas áreas de peritaje, se expresaran con relación al proyecto de ley propuesto.</w:t>
      </w:r>
      <w:r w:rsidR="00DF6CF3">
        <w:rPr>
          <w:rStyle w:val="FootnoteReference"/>
          <w:rFonts w:ascii="Book Antiqua" w:eastAsia="Times New Roman" w:hAnsi="Book Antiqua"/>
          <w:bCs/>
          <w:kern w:val="0"/>
          <w14:ligatures w14:val="none"/>
        </w:rPr>
        <w:footnoteReference w:id="22"/>
      </w:r>
    </w:p>
    <w:p w14:paraId="338FEE0D" w14:textId="66A3F624" w:rsidR="008361EB" w:rsidRPr="00F1343B" w:rsidRDefault="006736F9" w:rsidP="006823BA">
      <w:pPr>
        <w:pStyle w:val="ListParagraph"/>
        <w:numPr>
          <w:ilvl w:val="0"/>
          <w:numId w:val="1"/>
        </w:numPr>
        <w:spacing w:after="0" w:line="240" w:lineRule="auto"/>
        <w:jc w:val="center"/>
        <w:rPr>
          <w:rFonts w:ascii="Book Antiqua" w:eastAsia="Times New Roman" w:hAnsi="Book Antiqua" w:cs="Times New Roman"/>
          <w:bCs/>
          <w:kern w:val="0"/>
          <w:u w:val="single"/>
          <w14:ligatures w14:val="none"/>
        </w:rPr>
      </w:pPr>
      <w:r w:rsidRPr="00F1343B">
        <w:rPr>
          <w:rFonts w:ascii="Book Antiqua" w:eastAsia="Times New Roman" w:hAnsi="Book Antiqua" w:cs="Times New Roman"/>
          <w:bCs/>
          <w:kern w:val="0"/>
          <w:u w:val="single"/>
          <w14:ligatures w14:val="none"/>
        </w:rPr>
        <w:t>Oficina de Gerencia y Presupuesto (OGP)</w:t>
      </w:r>
    </w:p>
    <w:p w14:paraId="555B73AD" w14:textId="77777777" w:rsidR="006823BA" w:rsidRPr="006823BA" w:rsidRDefault="006823BA" w:rsidP="006823BA">
      <w:pPr>
        <w:pStyle w:val="ListParagraph"/>
        <w:spacing w:after="0" w:line="240" w:lineRule="auto"/>
        <w:rPr>
          <w:rFonts w:ascii="Book Antiqua" w:eastAsia="Times New Roman" w:hAnsi="Book Antiqua" w:cs="Times New Roman"/>
          <w:bCs/>
          <w:i/>
          <w:iCs/>
          <w:kern w:val="0"/>
          <w14:ligatures w14:val="none"/>
        </w:rPr>
      </w:pPr>
    </w:p>
    <w:p w14:paraId="07787E91" w14:textId="61A6552C" w:rsidR="006736F9" w:rsidRPr="008361EB" w:rsidRDefault="008361EB" w:rsidP="003C3F3D">
      <w:pPr>
        <w:pStyle w:val="ListParagraph"/>
        <w:spacing w:after="0" w:line="360" w:lineRule="auto"/>
        <w:ind w:left="0" w:firstLine="360"/>
        <w:jc w:val="both"/>
        <w:rPr>
          <w:rFonts w:ascii="Book Antiqua" w:eastAsia="Times New Roman" w:hAnsi="Book Antiqua" w:cs="Times New Roman"/>
          <w:bCs/>
          <w:kern w:val="0"/>
          <w14:ligatures w14:val="none"/>
        </w:rPr>
      </w:pPr>
      <w:r w:rsidRPr="008361EB">
        <w:rPr>
          <w:rFonts w:ascii="Book Antiqua" w:eastAsia="Times New Roman" w:hAnsi="Book Antiqua" w:cs="Times New Roman"/>
          <w:bCs/>
          <w:kern w:val="0"/>
          <w14:ligatures w14:val="none"/>
        </w:rPr>
        <w:t xml:space="preserve">A la fecha en que se consideró este informe ante la CRED, la Oficina de Gerencia y Presupuesto no había presentado su </w:t>
      </w:r>
      <w:r w:rsidRPr="008361EB">
        <w:rPr>
          <w:rFonts w:ascii="Book Antiqua" w:eastAsia="Times New Roman" w:hAnsi="Book Antiqua" w:cs="Times New Roman"/>
          <w:bCs/>
          <w:i/>
          <w:iCs/>
          <w:kern w:val="0"/>
          <w14:ligatures w14:val="none"/>
        </w:rPr>
        <w:t>Memorial Explicativo</w:t>
      </w:r>
      <w:r w:rsidRPr="008361EB">
        <w:rPr>
          <w:rFonts w:ascii="Book Antiqua" w:eastAsia="Times New Roman" w:hAnsi="Book Antiqua" w:cs="Times New Roman"/>
          <w:bCs/>
          <w:kern w:val="0"/>
          <w14:ligatures w14:val="none"/>
        </w:rPr>
        <w:t xml:space="preserve">. </w:t>
      </w:r>
      <w:r w:rsidR="00130571">
        <w:rPr>
          <w:rFonts w:ascii="Book Antiqua" w:eastAsia="Times New Roman" w:hAnsi="Book Antiqua" w:cs="Times New Roman"/>
          <w:bCs/>
          <w:kern w:val="0"/>
          <w14:ligatures w14:val="none"/>
        </w:rPr>
        <w:t xml:space="preserve"> Ello aún luego de varias y repetidas gestiones efectuadas por la Comisión para obtener el mismo. </w:t>
      </w:r>
    </w:p>
    <w:p w14:paraId="6722127E" w14:textId="77777777" w:rsidR="006736F9" w:rsidRPr="00DF6CF3" w:rsidRDefault="006736F9" w:rsidP="006736F9">
      <w:pPr>
        <w:pStyle w:val="ListParagraph"/>
        <w:spacing w:after="0" w:line="240" w:lineRule="auto"/>
        <w:rPr>
          <w:rFonts w:ascii="Book Antiqua" w:eastAsia="Times New Roman" w:hAnsi="Book Antiqua" w:cs="Times New Roman"/>
          <w:bCs/>
          <w:i/>
          <w:iCs/>
          <w:kern w:val="0"/>
          <w14:ligatures w14:val="none"/>
        </w:rPr>
      </w:pPr>
    </w:p>
    <w:p w14:paraId="68A0A581" w14:textId="4B723E26" w:rsidR="006736F9" w:rsidRPr="00F1343B" w:rsidRDefault="006736F9" w:rsidP="006736F9">
      <w:pPr>
        <w:pStyle w:val="ListParagraph"/>
        <w:numPr>
          <w:ilvl w:val="0"/>
          <w:numId w:val="1"/>
        </w:numPr>
        <w:jc w:val="center"/>
        <w:rPr>
          <w:rFonts w:ascii="Book Antiqua" w:hAnsi="Book Antiqua" w:cs="Times New Roman"/>
          <w:u w:val="single"/>
        </w:rPr>
      </w:pPr>
      <w:r w:rsidRPr="00F1343B">
        <w:rPr>
          <w:rFonts w:ascii="Book Antiqua" w:hAnsi="Book Antiqua" w:cs="Times New Roman"/>
          <w:u w:val="single"/>
        </w:rPr>
        <w:t>Autoridad de Asesoría Financiera y Agencia Fiscal de Puerto Rico (AAFAF)</w:t>
      </w:r>
    </w:p>
    <w:p w14:paraId="2A52F7E5" w14:textId="6E00C7A8" w:rsidR="00F36C67" w:rsidRDefault="00AC2BDF" w:rsidP="003C3F3D">
      <w:pPr>
        <w:spacing w:after="0" w:line="360" w:lineRule="auto"/>
        <w:ind w:firstLine="360"/>
        <w:jc w:val="both"/>
        <w:rPr>
          <w:rFonts w:ascii="Book Antiqua" w:hAnsi="Book Antiqua" w:cs="Times New Roman"/>
        </w:rPr>
      </w:pPr>
      <w:r>
        <w:rPr>
          <w:rFonts w:ascii="Book Antiqua" w:hAnsi="Book Antiqua" w:cs="Times New Roman"/>
        </w:rPr>
        <w:t xml:space="preserve">AAFAF inicia su exposición describiendo que la intención de la Ley Núm. 402, </w:t>
      </w:r>
      <w:r w:rsidRPr="00FF783D">
        <w:rPr>
          <w:rFonts w:ascii="Book Antiqua" w:hAnsi="Book Antiqua" w:cs="Times New Roman"/>
          <w:i/>
          <w:iCs/>
        </w:rPr>
        <w:t>supra</w:t>
      </w:r>
      <w:r>
        <w:rPr>
          <w:rFonts w:ascii="Book Antiqua" w:hAnsi="Book Antiqua" w:cs="Times New Roman"/>
        </w:rPr>
        <w:t xml:space="preserve">, </w:t>
      </w:r>
      <w:r w:rsidR="00FB5487">
        <w:rPr>
          <w:rFonts w:ascii="Book Antiqua" w:hAnsi="Book Antiqua" w:cs="Times New Roman"/>
        </w:rPr>
        <w:t xml:space="preserve">era autorizar al Departamento de Hacienda a eximir del pago de contribuciones sobre ingresos y sobre la propiedad a </w:t>
      </w:r>
      <w:proofErr w:type="gramStart"/>
      <w:r w:rsidR="00FB5487">
        <w:rPr>
          <w:rFonts w:ascii="Book Antiqua" w:hAnsi="Book Antiqua" w:cs="Times New Roman"/>
        </w:rPr>
        <w:t>la asociaciones</w:t>
      </w:r>
      <w:proofErr w:type="gramEnd"/>
      <w:r w:rsidR="00FB5487">
        <w:rPr>
          <w:rFonts w:ascii="Book Antiqua" w:hAnsi="Book Antiqua" w:cs="Times New Roman"/>
        </w:rPr>
        <w:t xml:space="preserve"> de cooperativas de crédito para producción creadas pajo el </w:t>
      </w:r>
      <w:proofErr w:type="spellStart"/>
      <w:r w:rsidR="00FB5487">
        <w:rPr>
          <w:rFonts w:ascii="Book Antiqua" w:hAnsi="Book Antiqua" w:cs="Times New Roman"/>
        </w:rPr>
        <w:t>Farm</w:t>
      </w:r>
      <w:proofErr w:type="spellEnd"/>
      <w:r w:rsidR="00FB5487">
        <w:rPr>
          <w:rFonts w:ascii="Book Antiqua" w:hAnsi="Book Antiqua" w:cs="Times New Roman"/>
        </w:rPr>
        <w:t xml:space="preserve"> </w:t>
      </w:r>
      <w:proofErr w:type="spellStart"/>
      <w:r w:rsidR="00FB5487">
        <w:rPr>
          <w:rFonts w:ascii="Book Antiqua" w:hAnsi="Book Antiqua" w:cs="Times New Roman"/>
        </w:rPr>
        <w:t>Credict</w:t>
      </w:r>
      <w:proofErr w:type="spellEnd"/>
      <w:r w:rsidR="00FB5487">
        <w:rPr>
          <w:rFonts w:ascii="Book Antiqua" w:hAnsi="Book Antiqua" w:cs="Times New Roman"/>
        </w:rPr>
        <w:t xml:space="preserve"> </w:t>
      </w:r>
      <w:proofErr w:type="spellStart"/>
      <w:r w:rsidR="00FB5487">
        <w:rPr>
          <w:rFonts w:ascii="Book Antiqua" w:hAnsi="Book Antiqua" w:cs="Times New Roman"/>
        </w:rPr>
        <w:t>Act</w:t>
      </w:r>
      <w:proofErr w:type="spellEnd"/>
      <w:r w:rsidR="00FB5487">
        <w:rPr>
          <w:rFonts w:ascii="Book Antiqua" w:hAnsi="Book Antiqua" w:cs="Times New Roman"/>
        </w:rPr>
        <w:t xml:space="preserve"> de 1933.</w:t>
      </w:r>
      <w:r w:rsidR="00FB5487">
        <w:rPr>
          <w:rStyle w:val="FootnoteReference"/>
          <w:rFonts w:ascii="Book Antiqua" w:hAnsi="Book Antiqua"/>
        </w:rPr>
        <w:footnoteReference w:id="23"/>
      </w:r>
      <w:r w:rsidR="00FB5487">
        <w:rPr>
          <w:rFonts w:ascii="Book Antiqua" w:hAnsi="Book Antiqua" w:cs="Times New Roman"/>
        </w:rPr>
        <w:t xml:space="preserve"> A</w:t>
      </w:r>
      <w:r w:rsidR="00FF783D">
        <w:rPr>
          <w:rFonts w:ascii="Book Antiqua" w:hAnsi="Book Antiqua" w:cs="Times New Roman"/>
        </w:rPr>
        <w:t>ñ</w:t>
      </w:r>
      <w:r w:rsidR="00FB5487">
        <w:rPr>
          <w:rFonts w:ascii="Book Antiqua" w:hAnsi="Book Antiqua" w:cs="Times New Roman"/>
        </w:rPr>
        <w:t>adió, que</w:t>
      </w:r>
      <w:r w:rsidR="00FF783D">
        <w:rPr>
          <w:rFonts w:ascii="Book Antiqua" w:hAnsi="Book Antiqua" w:cs="Times New Roman"/>
        </w:rPr>
        <w:t xml:space="preserve"> el </w:t>
      </w:r>
      <w:r w:rsidR="00FB5487">
        <w:rPr>
          <w:rFonts w:ascii="Book Antiqua" w:hAnsi="Book Antiqua" w:cs="Times New Roman"/>
        </w:rPr>
        <w:t>marco contributivo en el cual se bas</w:t>
      </w:r>
      <w:r w:rsidR="00FF783D">
        <w:rPr>
          <w:rFonts w:ascii="Book Antiqua" w:hAnsi="Book Antiqua" w:cs="Times New Roman"/>
        </w:rPr>
        <w:t>ó</w:t>
      </w:r>
      <w:r w:rsidR="00FB5487">
        <w:rPr>
          <w:rFonts w:ascii="Book Antiqua" w:hAnsi="Book Antiqua" w:cs="Times New Roman"/>
        </w:rPr>
        <w:t xml:space="preserve"> dicha disposición legal evolucionó significativamente de la Ley Núm. 402, </w:t>
      </w:r>
      <w:r w:rsidR="00FB5487" w:rsidRPr="00FB5487">
        <w:rPr>
          <w:rFonts w:ascii="Book Antiqua" w:hAnsi="Book Antiqua" w:cs="Times New Roman"/>
          <w:i/>
          <w:iCs/>
        </w:rPr>
        <w:t>supra</w:t>
      </w:r>
      <w:r w:rsidR="00FB5487">
        <w:rPr>
          <w:rFonts w:ascii="Book Antiqua" w:hAnsi="Book Antiqua" w:cs="Times New Roman"/>
        </w:rPr>
        <w:t>. Con la adopción del Código de Rentas internas de Puerto Rico, se consolidaron y actualizaron las exenciones aplicables a, entre otras, las cooperativas de crédito para la producción. Expresó AAFAF que “[e]</w:t>
      </w:r>
      <w:proofErr w:type="spellStart"/>
      <w:r w:rsidR="00FB5487">
        <w:rPr>
          <w:rFonts w:ascii="Book Antiqua" w:hAnsi="Book Antiqua" w:cs="Times New Roman"/>
        </w:rPr>
        <w:t>ste</w:t>
      </w:r>
      <w:proofErr w:type="spellEnd"/>
      <w:r w:rsidR="00FB5487">
        <w:rPr>
          <w:rFonts w:ascii="Book Antiqua" w:hAnsi="Book Antiqua" w:cs="Times New Roman"/>
        </w:rPr>
        <w:t xml:space="preserve"> marco legal garantiza exenciones contributivas </w:t>
      </w:r>
      <w:r w:rsidR="00FB5487">
        <w:rPr>
          <w:rFonts w:ascii="Book Antiqua" w:hAnsi="Book Antiqua" w:cs="Times New Roman"/>
        </w:rPr>
        <w:lastRenderedPageBreak/>
        <w:t xml:space="preserve">a dichas entidades bajo parámetros más abarcadores, </w:t>
      </w:r>
      <w:proofErr w:type="spellStart"/>
      <w:r w:rsidR="00FB5487">
        <w:rPr>
          <w:rFonts w:ascii="Book Antiqua" w:hAnsi="Book Antiqua" w:cs="Times New Roman"/>
        </w:rPr>
        <w:t>fiscalemnte</w:t>
      </w:r>
      <w:proofErr w:type="spellEnd"/>
      <w:r w:rsidR="00FB5487">
        <w:rPr>
          <w:rFonts w:ascii="Book Antiqua" w:hAnsi="Book Antiqua" w:cs="Times New Roman"/>
        </w:rPr>
        <w:t xml:space="preserve"> responsables y coherentes con la realidad económica del país.”</w:t>
      </w:r>
      <w:r w:rsidR="00FF783D">
        <w:rPr>
          <w:rStyle w:val="FootnoteReference"/>
          <w:rFonts w:ascii="Book Antiqua" w:hAnsi="Book Antiqua"/>
        </w:rPr>
        <w:footnoteReference w:id="24"/>
      </w:r>
    </w:p>
    <w:p w14:paraId="298188CD" w14:textId="50F32C34" w:rsidR="000F722F" w:rsidRDefault="000F722F" w:rsidP="003C3F3D">
      <w:pPr>
        <w:spacing w:after="0" w:line="360" w:lineRule="auto"/>
        <w:jc w:val="both"/>
        <w:rPr>
          <w:rFonts w:ascii="Book Antiqua" w:hAnsi="Book Antiqua" w:cs="Times New Roman"/>
        </w:rPr>
      </w:pPr>
      <w:r>
        <w:rPr>
          <w:rFonts w:ascii="Book Antiqua" w:hAnsi="Book Antiqua" w:cs="Times New Roman"/>
        </w:rPr>
        <w:tab/>
        <w:t>Referente al impacto económico de la medida, AAFAF entiende que no conlleva ninguno sobre el Fondo General ni sobre las proyecciones del Plan Fiscal</w:t>
      </w:r>
      <w:r w:rsidR="00FF783D">
        <w:rPr>
          <w:rFonts w:ascii="Book Antiqua" w:hAnsi="Book Antiqua" w:cs="Times New Roman"/>
        </w:rPr>
        <w:t xml:space="preserve"> </w:t>
      </w:r>
      <w:r>
        <w:rPr>
          <w:rFonts w:ascii="Book Antiqua" w:hAnsi="Book Antiqua" w:cs="Times New Roman"/>
        </w:rPr>
        <w:t xml:space="preserve">Certificado. </w:t>
      </w:r>
      <w:r w:rsidR="00054285">
        <w:rPr>
          <w:rFonts w:ascii="Book Antiqua" w:hAnsi="Book Antiqua" w:cs="Times New Roman"/>
        </w:rPr>
        <w:t>Según indicó AAFAF</w:t>
      </w:r>
    </w:p>
    <w:p w14:paraId="1DC1E284" w14:textId="0CBDD9F5" w:rsidR="00CA6283" w:rsidRDefault="00054285" w:rsidP="006823BA">
      <w:pPr>
        <w:spacing w:line="240" w:lineRule="auto"/>
        <w:ind w:left="720" w:right="720"/>
        <w:jc w:val="both"/>
        <w:rPr>
          <w:rFonts w:ascii="Book Antiqua" w:hAnsi="Book Antiqua" w:cs="Times New Roman"/>
        </w:rPr>
      </w:pPr>
      <w:r>
        <w:rPr>
          <w:rFonts w:ascii="Book Antiqua" w:hAnsi="Book Antiqua" w:cs="Times New Roman"/>
        </w:rPr>
        <w:t>[e]</w:t>
      </w:r>
      <w:proofErr w:type="spellStart"/>
      <w:r>
        <w:rPr>
          <w:rFonts w:ascii="Book Antiqua" w:hAnsi="Book Antiqua" w:cs="Times New Roman"/>
        </w:rPr>
        <w:t>sto</w:t>
      </w:r>
      <w:proofErr w:type="spellEnd"/>
      <w:r>
        <w:rPr>
          <w:rFonts w:ascii="Book Antiqua" w:hAnsi="Book Antiqua" w:cs="Times New Roman"/>
        </w:rPr>
        <w:t xml:space="preserve"> se debe </w:t>
      </w:r>
      <w:r w:rsidR="00CA6283">
        <w:rPr>
          <w:rFonts w:ascii="Book Antiqua" w:hAnsi="Book Antiqua" w:cs="Times New Roman"/>
        </w:rPr>
        <w:t xml:space="preserve">a que las entidades a las que originalmente cobijaba la exención están, en su mayoría, cubiertas hoy bajo otras </w:t>
      </w:r>
      <w:r w:rsidR="002B79A3">
        <w:rPr>
          <w:rFonts w:ascii="Book Antiqua" w:hAnsi="Book Antiqua" w:cs="Times New Roman"/>
        </w:rPr>
        <w:t>l</w:t>
      </w:r>
      <w:r w:rsidR="00CA6283">
        <w:rPr>
          <w:rFonts w:ascii="Book Antiqua" w:hAnsi="Book Antiqua" w:cs="Times New Roman"/>
        </w:rPr>
        <w:t>eyes contributivas vigentes que reconocen y promueven el rol de las cooperativas en la economía de Puerto Rico. En ese sentido, la derogación se considera una medida de depuración normativa que promueve la eficiencia, coherencia y simplificación del sistema contributivo vigente, en armonía con el Plan Fiscal Certificado. […]</w:t>
      </w:r>
      <w:r w:rsidR="00CA6283">
        <w:rPr>
          <w:rStyle w:val="FootnoteReference"/>
          <w:rFonts w:ascii="Book Antiqua" w:hAnsi="Book Antiqua"/>
        </w:rPr>
        <w:footnoteReference w:id="25"/>
      </w:r>
    </w:p>
    <w:p w14:paraId="6AAFF46E" w14:textId="7B4121E2" w:rsidR="006823BA" w:rsidRDefault="00CA6283" w:rsidP="006823BA">
      <w:pPr>
        <w:spacing w:line="360" w:lineRule="auto"/>
        <w:jc w:val="both"/>
        <w:rPr>
          <w:rFonts w:ascii="Book Antiqua" w:hAnsi="Book Antiqua" w:cs="Times New Roman"/>
        </w:rPr>
      </w:pPr>
      <w:r>
        <w:rPr>
          <w:rFonts w:ascii="Book Antiqua" w:hAnsi="Book Antiqua" w:cs="Times New Roman"/>
        </w:rPr>
        <w:tab/>
        <w:t xml:space="preserve">Asimismo, AAFAF expresó: </w:t>
      </w:r>
    </w:p>
    <w:p w14:paraId="30F81780" w14:textId="1FBFDFA8" w:rsidR="00CA6283" w:rsidRDefault="00CA6283" w:rsidP="006823BA">
      <w:pPr>
        <w:spacing w:after="0" w:line="240" w:lineRule="auto"/>
        <w:ind w:left="720" w:right="720"/>
        <w:jc w:val="both"/>
        <w:rPr>
          <w:rFonts w:ascii="Book Antiqua" w:hAnsi="Book Antiqua" w:cs="Times New Roman"/>
        </w:rPr>
      </w:pPr>
      <w:r>
        <w:rPr>
          <w:rFonts w:ascii="Book Antiqua" w:hAnsi="Book Antiqua" w:cs="Times New Roman"/>
        </w:rPr>
        <w:t xml:space="preserve">De igual forma, este Proyecto se alinea con el compromiso del Programa de Gobierno de esta Administración de revisar, actualizar y modernizar la legislación existente para asegurar su pertinencia, funcionalidad y conformidad con los principios de transparencia y disciplina fiscal y de buen gobierno. La eliminación de disposiciones legales que resultan duplicadas, ineficaces o innecesarias responde a una política pública de racionalización legislativa que favorece la estabilidad financiera del Gobierno de </w:t>
      </w:r>
      <w:r w:rsidR="002B79A3">
        <w:rPr>
          <w:rFonts w:ascii="Book Antiqua" w:hAnsi="Book Antiqua" w:cs="Times New Roman"/>
        </w:rPr>
        <w:t>P</w:t>
      </w:r>
      <w:r>
        <w:rPr>
          <w:rFonts w:ascii="Book Antiqua" w:hAnsi="Book Antiqua" w:cs="Times New Roman"/>
        </w:rPr>
        <w:t xml:space="preserve">uerto Rico y promueve un marco regulatorio ágil para el desarrollo económico. </w:t>
      </w:r>
    </w:p>
    <w:p w14:paraId="49425279" w14:textId="77777777" w:rsidR="00CA6283" w:rsidRDefault="00CA6283" w:rsidP="006823BA">
      <w:pPr>
        <w:spacing w:after="0" w:line="240" w:lineRule="auto"/>
        <w:ind w:left="720" w:right="720"/>
        <w:jc w:val="both"/>
        <w:rPr>
          <w:rFonts w:ascii="Book Antiqua" w:hAnsi="Book Antiqua" w:cs="Times New Roman"/>
        </w:rPr>
      </w:pPr>
    </w:p>
    <w:p w14:paraId="36F7C40B" w14:textId="48FB8025" w:rsidR="00CA6283" w:rsidRDefault="00CA6283" w:rsidP="006823BA">
      <w:pPr>
        <w:spacing w:after="0" w:line="240" w:lineRule="auto"/>
        <w:ind w:left="720" w:right="720"/>
        <w:jc w:val="both"/>
        <w:rPr>
          <w:rFonts w:ascii="Book Antiqua" w:hAnsi="Book Antiqua" w:cs="Times New Roman"/>
        </w:rPr>
      </w:pPr>
      <w:r>
        <w:rPr>
          <w:rFonts w:ascii="Book Antiqua" w:hAnsi="Book Antiqua" w:cs="Times New Roman"/>
        </w:rPr>
        <w:t>Finalmente, al tratarse de una disposición vetusta cuyo contenido fue ya integrado en leyes posteriores, la aprobación de esta medida no representa aumento en gastos públicos ni requiere la asignación de nuevos recursos, lo cual permite su implementación</w:t>
      </w:r>
      <w:r w:rsidR="0087730C">
        <w:rPr>
          <w:rFonts w:ascii="Book Antiqua" w:hAnsi="Book Antiqua" w:cs="Times New Roman"/>
        </w:rPr>
        <w:t xml:space="preserve"> inmediata sin menoscabo de los servicios que ofrece el Gobierno de Puerto Rico. […]</w:t>
      </w:r>
      <w:r w:rsidR="0087730C">
        <w:rPr>
          <w:rStyle w:val="FootnoteReference"/>
          <w:rFonts w:ascii="Book Antiqua" w:hAnsi="Book Antiqua"/>
        </w:rPr>
        <w:footnoteReference w:id="26"/>
      </w:r>
    </w:p>
    <w:p w14:paraId="2A984796" w14:textId="77777777" w:rsidR="0087730C" w:rsidRDefault="0087730C" w:rsidP="0087730C">
      <w:pPr>
        <w:spacing w:after="0" w:line="276" w:lineRule="auto"/>
        <w:jc w:val="both"/>
        <w:rPr>
          <w:rFonts w:ascii="Book Antiqua" w:hAnsi="Book Antiqua" w:cs="Times New Roman"/>
        </w:rPr>
      </w:pPr>
    </w:p>
    <w:p w14:paraId="3D0C555E" w14:textId="34634710" w:rsidR="00F36C67" w:rsidRDefault="0087730C" w:rsidP="003C3F3D">
      <w:pPr>
        <w:spacing w:after="0" w:line="360" w:lineRule="auto"/>
        <w:ind w:firstLine="720"/>
        <w:jc w:val="both"/>
        <w:rPr>
          <w:rFonts w:ascii="Book Antiqua" w:hAnsi="Book Antiqua" w:cs="Times New Roman"/>
        </w:rPr>
      </w:pPr>
      <w:r>
        <w:rPr>
          <w:rFonts w:ascii="Book Antiqua" w:hAnsi="Book Antiqua" w:cs="Times New Roman"/>
        </w:rPr>
        <w:t>Finalmente, AAFAF recomendó que se solicitase la posición del Departamento de Hacienda y el Departamento de Agricultura.</w:t>
      </w:r>
      <w:r>
        <w:rPr>
          <w:rStyle w:val="FootnoteReference"/>
          <w:rFonts w:ascii="Book Antiqua" w:hAnsi="Book Antiqua"/>
        </w:rPr>
        <w:footnoteReference w:id="27"/>
      </w:r>
      <w:r>
        <w:rPr>
          <w:rFonts w:ascii="Book Antiqua" w:hAnsi="Book Antiqua" w:cs="Times New Roman"/>
        </w:rPr>
        <w:t xml:space="preserve"> </w:t>
      </w:r>
    </w:p>
    <w:p w14:paraId="5EF35CA1" w14:textId="77777777" w:rsidR="006823BA" w:rsidRDefault="006823BA" w:rsidP="003C3F3D">
      <w:pPr>
        <w:spacing w:after="0" w:line="360" w:lineRule="auto"/>
        <w:ind w:firstLine="720"/>
        <w:jc w:val="both"/>
        <w:rPr>
          <w:rFonts w:ascii="Book Antiqua" w:hAnsi="Book Antiqua" w:cs="Times New Roman"/>
        </w:rPr>
      </w:pPr>
    </w:p>
    <w:p w14:paraId="1148976A" w14:textId="77777777" w:rsidR="002B79A3" w:rsidRPr="00AF1158" w:rsidRDefault="002B79A3" w:rsidP="003C3F3D">
      <w:pPr>
        <w:spacing w:after="0" w:line="360" w:lineRule="auto"/>
        <w:ind w:firstLine="720"/>
        <w:jc w:val="both"/>
        <w:rPr>
          <w:rFonts w:ascii="Book Antiqua" w:hAnsi="Book Antiqua" w:cs="Times New Roman"/>
        </w:rPr>
      </w:pPr>
    </w:p>
    <w:p w14:paraId="1FB3A56A" w14:textId="068DD491" w:rsidR="00A54AF0" w:rsidRPr="00DF6CF3" w:rsidRDefault="00A54AF0" w:rsidP="00A54AF0">
      <w:pPr>
        <w:spacing w:after="0"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VISTA PÚBLICA</w:t>
      </w:r>
    </w:p>
    <w:p w14:paraId="523D9D94" w14:textId="77777777" w:rsidR="00A54AF0" w:rsidRPr="00DF6CF3" w:rsidRDefault="00A54AF0" w:rsidP="00A54AF0">
      <w:pPr>
        <w:spacing w:after="0" w:line="240" w:lineRule="auto"/>
        <w:jc w:val="center"/>
        <w:rPr>
          <w:rFonts w:ascii="Book Antiqua" w:eastAsia="Times New Roman" w:hAnsi="Book Antiqua" w:cs="Times New Roman"/>
          <w:b/>
          <w:kern w:val="0"/>
          <w14:ligatures w14:val="none"/>
        </w:rPr>
      </w:pPr>
    </w:p>
    <w:p w14:paraId="4C745D19" w14:textId="722F31B6" w:rsidR="00A54AF0" w:rsidRPr="00DF6CF3" w:rsidRDefault="00A54AF0" w:rsidP="003C3F3D">
      <w:pPr>
        <w:spacing w:after="0" w:line="360" w:lineRule="auto"/>
        <w:ind w:firstLine="72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Esta Comisión decidió no realizar Vistas Públicas, toda vez que la información proporcionada por las entidades antes mencionadas resultó suficiente para ponderar el alcance del proyecto de ley, aprovechando y utilizando así los recursos del Gobierno de Puerto Rico, y en particular la Asamblea Legislativa, de la manera más eficiente y costo-efectiva posible. </w:t>
      </w:r>
    </w:p>
    <w:p w14:paraId="115914DA" w14:textId="78C55A22" w:rsidR="006736F9" w:rsidRPr="00DF6CF3" w:rsidRDefault="00A54AF0" w:rsidP="006823BA">
      <w:pPr>
        <w:spacing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ANÁLISIS DE LA MEDIDA</w:t>
      </w:r>
    </w:p>
    <w:p w14:paraId="66A19FC2" w14:textId="04E80E22" w:rsidR="0006062E" w:rsidRPr="00DF6CF3" w:rsidRDefault="006736F9" w:rsidP="003C3F3D">
      <w:pPr>
        <w:spacing w:after="0" w:line="360" w:lineRule="auto"/>
        <w:jc w:val="both"/>
        <w:rPr>
          <w:rFonts w:ascii="Book Antiqua" w:hAnsi="Book Antiqua"/>
          <w:lang w:val="es-ES_tradnl"/>
        </w:rPr>
      </w:pPr>
      <w:r w:rsidRPr="00DF6CF3">
        <w:rPr>
          <w:rFonts w:ascii="Book Antiqua" w:eastAsia="Times New Roman" w:hAnsi="Book Antiqua" w:cs="Times New Roman"/>
          <w:b/>
          <w:kern w:val="0"/>
          <w14:ligatures w14:val="none"/>
        </w:rPr>
        <w:tab/>
      </w:r>
      <w:r w:rsidR="001F12B4" w:rsidRPr="00DF6CF3">
        <w:rPr>
          <w:rFonts w:ascii="Book Antiqua" w:eastAsia="Times New Roman" w:hAnsi="Book Antiqua" w:cs="Times New Roman"/>
          <w:bCs/>
          <w:kern w:val="0"/>
          <w14:ligatures w14:val="none"/>
        </w:rPr>
        <w:t>El P. de la C. 157 propone</w:t>
      </w:r>
      <w:r w:rsidR="001F12B4" w:rsidRPr="00DF6CF3">
        <w:rPr>
          <w:rFonts w:ascii="Book Antiqua" w:eastAsia="Times New Roman" w:hAnsi="Book Antiqua" w:cs="Times New Roman"/>
          <w:b/>
          <w:kern w:val="0"/>
          <w14:ligatures w14:val="none"/>
        </w:rPr>
        <w:t xml:space="preserve"> </w:t>
      </w:r>
      <w:r w:rsidR="0013170B" w:rsidRPr="00DF6CF3">
        <w:rPr>
          <w:rFonts w:ascii="Book Antiqua" w:hAnsi="Book Antiqua"/>
          <w:lang w:val="es-ES_tradnl"/>
        </w:rPr>
        <w:t>derogar la Ley Núm. 402 de 12 de mayo de 1952</w:t>
      </w:r>
      <w:r w:rsidR="001F5CAD" w:rsidRPr="00DF6CF3">
        <w:rPr>
          <w:rFonts w:ascii="Book Antiqua" w:hAnsi="Book Antiqua"/>
          <w:lang w:val="es-ES_tradnl"/>
        </w:rPr>
        <w:t xml:space="preserve">, </w:t>
      </w:r>
      <w:r w:rsidR="001F5CAD" w:rsidRPr="00DF6CF3">
        <w:rPr>
          <w:rFonts w:ascii="Book Antiqua" w:hAnsi="Book Antiqua"/>
          <w:i/>
          <w:iCs/>
          <w:lang w:val="es-ES_tradnl"/>
        </w:rPr>
        <w:t>supra</w:t>
      </w:r>
      <w:r w:rsidR="001F5CAD" w:rsidRPr="00DF6CF3">
        <w:rPr>
          <w:rFonts w:ascii="Book Antiqua" w:hAnsi="Book Antiqua"/>
          <w:lang w:val="es-ES_tradnl"/>
        </w:rPr>
        <w:t>,</w:t>
      </w:r>
      <w:r w:rsidR="0013170B" w:rsidRPr="00DF6CF3">
        <w:rPr>
          <w:rFonts w:ascii="Book Antiqua" w:hAnsi="Book Antiqua"/>
          <w:lang w:val="es-ES_tradnl"/>
        </w:rPr>
        <w:t xml:space="preserve"> debido a que la autorización dada mediante esa Ley al </w:t>
      </w:r>
      <w:proofErr w:type="gramStart"/>
      <w:r w:rsidR="0013170B" w:rsidRPr="00DF6CF3">
        <w:rPr>
          <w:rFonts w:ascii="Book Antiqua" w:hAnsi="Book Antiqua"/>
          <w:lang w:val="es-ES_tradnl"/>
        </w:rPr>
        <w:t>Secretario</w:t>
      </w:r>
      <w:proofErr w:type="gramEnd"/>
      <w:r w:rsidR="0013170B" w:rsidRPr="00DF6CF3">
        <w:rPr>
          <w:rFonts w:ascii="Book Antiqua" w:hAnsi="Book Antiqua"/>
          <w:lang w:val="es-ES_tradnl"/>
        </w:rPr>
        <w:t xml:space="preserve"> de Hacienda – entiéndase eximir del pago de contribuciones sobre ingresos a las Asociaciones Cooperativas de Crédito para Producción, creadas y organizadas de acuerdo con el </w:t>
      </w:r>
      <w:proofErr w:type="spellStart"/>
      <w:r w:rsidR="0013170B" w:rsidRPr="00DF6CF3">
        <w:rPr>
          <w:rFonts w:ascii="Book Antiqua" w:hAnsi="Book Antiqua"/>
          <w:i/>
          <w:iCs/>
          <w:lang w:val="es-ES_tradnl"/>
        </w:rPr>
        <w:t>Farm</w:t>
      </w:r>
      <w:proofErr w:type="spellEnd"/>
      <w:r w:rsidR="0013170B" w:rsidRPr="00DF6CF3">
        <w:rPr>
          <w:rFonts w:ascii="Book Antiqua" w:hAnsi="Book Antiqua"/>
          <w:i/>
          <w:iCs/>
          <w:lang w:val="es-ES_tradnl"/>
        </w:rPr>
        <w:t xml:space="preserve"> </w:t>
      </w:r>
      <w:proofErr w:type="spellStart"/>
      <w:r w:rsidR="0013170B" w:rsidRPr="00DF6CF3">
        <w:rPr>
          <w:rFonts w:ascii="Book Antiqua" w:hAnsi="Book Antiqua"/>
          <w:i/>
          <w:iCs/>
          <w:lang w:val="es-ES_tradnl"/>
        </w:rPr>
        <w:t>Credit</w:t>
      </w:r>
      <w:proofErr w:type="spellEnd"/>
      <w:r w:rsidR="0013170B" w:rsidRPr="00DF6CF3">
        <w:rPr>
          <w:rFonts w:ascii="Book Antiqua" w:hAnsi="Book Antiqua"/>
          <w:i/>
          <w:iCs/>
          <w:lang w:val="es-ES_tradnl"/>
        </w:rPr>
        <w:t xml:space="preserve"> </w:t>
      </w:r>
      <w:proofErr w:type="spellStart"/>
      <w:r w:rsidR="0013170B" w:rsidRPr="00DF6CF3">
        <w:rPr>
          <w:rFonts w:ascii="Book Antiqua" w:hAnsi="Book Antiqua"/>
          <w:i/>
          <w:iCs/>
          <w:lang w:val="es-ES_tradnl"/>
        </w:rPr>
        <w:t>Act</w:t>
      </w:r>
      <w:proofErr w:type="spellEnd"/>
      <w:r w:rsidR="0013170B" w:rsidRPr="00DF6CF3">
        <w:rPr>
          <w:rFonts w:ascii="Book Antiqua" w:hAnsi="Book Antiqua"/>
          <w:i/>
          <w:iCs/>
          <w:lang w:val="es-ES_tradnl"/>
        </w:rPr>
        <w:t xml:space="preserve"> </w:t>
      </w:r>
      <w:proofErr w:type="spellStart"/>
      <w:r w:rsidR="0013170B" w:rsidRPr="00DF6CF3">
        <w:rPr>
          <w:rFonts w:ascii="Book Antiqua" w:hAnsi="Book Antiqua"/>
          <w:i/>
          <w:iCs/>
          <w:lang w:val="es-ES_tradnl"/>
        </w:rPr>
        <w:t>of</w:t>
      </w:r>
      <w:proofErr w:type="spellEnd"/>
      <w:r w:rsidR="0013170B" w:rsidRPr="00DF6CF3">
        <w:rPr>
          <w:rFonts w:ascii="Book Antiqua" w:hAnsi="Book Antiqua"/>
          <w:i/>
          <w:iCs/>
          <w:lang w:val="es-ES_tradnl"/>
        </w:rPr>
        <w:t xml:space="preserve"> 1933</w:t>
      </w:r>
      <w:r w:rsidR="0013170B" w:rsidRPr="00DF6CF3">
        <w:rPr>
          <w:rFonts w:ascii="Book Antiqua" w:hAnsi="Book Antiqua"/>
          <w:lang w:val="es-ES_tradnl"/>
        </w:rPr>
        <w:t xml:space="preserve">- se encuentra codificada en un cuerpo legal más reciente. </w:t>
      </w:r>
      <w:r w:rsidR="0087730C">
        <w:rPr>
          <w:rFonts w:ascii="Book Antiqua" w:hAnsi="Book Antiqua"/>
          <w:lang w:val="es-ES_tradnl"/>
        </w:rPr>
        <w:t xml:space="preserve">Los Memoriales Explicativos del Departamento de Agricultura, el Departamento de Hacienda y AAFAF coinciden con esa visión. </w:t>
      </w:r>
    </w:p>
    <w:p w14:paraId="30EA1052" w14:textId="2D11D02F" w:rsidR="00130008" w:rsidRPr="00DF6CF3" w:rsidRDefault="0013170B" w:rsidP="006823BA">
      <w:pPr>
        <w:spacing w:after="0" w:line="360" w:lineRule="auto"/>
        <w:jc w:val="both"/>
        <w:rPr>
          <w:rFonts w:ascii="Book Antiqua" w:hAnsi="Book Antiqua"/>
          <w:lang w:val="es-ES_tradnl"/>
        </w:rPr>
      </w:pPr>
      <w:r w:rsidRPr="00DF6CF3">
        <w:rPr>
          <w:rFonts w:ascii="Book Antiqua" w:hAnsi="Book Antiqua"/>
          <w:lang w:val="es-ES_tradnl"/>
        </w:rPr>
        <w:tab/>
        <w:t xml:space="preserve">Al evaluar la </w:t>
      </w:r>
      <w:r w:rsidRPr="00DF6CF3">
        <w:rPr>
          <w:rFonts w:ascii="Book Antiqua" w:hAnsi="Book Antiqua"/>
          <w:i/>
          <w:iCs/>
          <w:lang w:val="es-ES_tradnl"/>
        </w:rPr>
        <w:t xml:space="preserve">Exposición de </w:t>
      </w:r>
      <w:r w:rsidR="00130008" w:rsidRPr="00DF6CF3">
        <w:rPr>
          <w:rFonts w:ascii="Book Antiqua" w:hAnsi="Book Antiqua"/>
          <w:i/>
          <w:iCs/>
          <w:lang w:val="es-ES_tradnl"/>
        </w:rPr>
        <w:t>M</w:t>
      </w:r>
      <w:r w:rsidRPr="00DF6CF3">
        <w:rPr>
          <w:rFonts w:ascii="Book Antiqua" w:hAnsi="Book Antiqua"/>
          <w:i/>
          <w:iCs/>
          <w:lang w:val="es-ES_tradnl"/>
        </w:rPr>
        <w:t>otivos</w:t>
      </w:r>
      <w:r w:rsidRPr="00DF6CF3">
        <w:rPr>
          <w:rFonts w:ascii="Book Antiqua" w:hAnsi="Book Antiqua"/>
          <w:lang w:val="es-ES_tradnl"/>
        </w:rPr>
        <w:t xml:space="preserve"> de la Ley Núm. 402, </w:t>
      </w:r>
      <w:r w:rsidRPr="00DF6CF3">
        <w:rPr>
          <w:rFonts w:ascii="Book Antiqua" w:hAnsi="Book Antiqua"/>
          <w:i/>
          <w:iCs/>
          <w:lang w:val="es-ES_tradnl"/>
        </w:rPr>
        <w:t>supra</w:t>
      </w:r>
      <w:r w:rsidRPr="00DF6CF3">
        <w:rPr>
          <w:rFonts w:ascii="Book Antiqua" w:hAnsi="Book Antiqua"/>
          <w:lang w:val="es-ES_tradnl"/>
        </w:rPr>
        <w:t xml:space="preserve">, </w:t>
      </w:r>
      <w:r w:rsidR="000C0ECB" w:rsidRPr="00DF6CF3">
        <w:rPr>
          <w:rFonts w:ascii="Book Antiqua" w:hAnsi="Book Antiqua"/>
          <w:lang w:val="es-ES_tradnl"/>
        </w:rPr>
        <w:t xml:space="preserve">esta centró su creación en los beneficios que en algún momento concedió la Ley Núm. 291 del 9 de abril de 1946, conocida como </w:t>
      </w:r>
      <w:r w:rsidR="000C0ECB" w:rsidRPr="00DF6CF3">
        <w:rPr>
          <w:rFonts w:ascii="Book Antiqua" w:hAnsi="Book Antiqua"/>
          <w:i/>
          <w:iCs/>
          <w:lang w:val="es-ES_tradnl"/>
        </w:rPr>
        <w:t xml:space="preserve">Ley </w:t>
      </w:r>
      <w:r w:rsidR="001F5CAD" w:rsidRPr="00DF6CF3">
        <w:rPr>
          <w:rFonts w:ascii="Book Antiqua" w:hAnsi="Book Antiqua"/>
          <w:i/>
          <w:iCs/>
          <w:lang w:val="es-ES_tradnl"/>
        </w:rPr>
        <w:t>G</w:t>
      </w:r>
      <w:r w:rsidR="000C0ECB" w:rsidRPr="00DF6CF3">
        <w:rPr>
          <w:rFonts w:ascii="Book Antiqua" w:hAnsi="Book Antiqua"/>
          <w:i/>
          <w:iCs/>
          <w:lang w:val="es-ES_tradnl"/>
        </w:rPr>
        <w:t>eneral de Sociedades Cooperativas de Puerto Rico</w:t>
      </w:r>
      <w:r w:rsidR="000C0ECB" w:rsidRPr="00DF6CF3">
        <w:rPr>
          <w:rStyle w:val="FootnoteReference"/>
          <w:rFonts w:ascii="Book Antiqua" w:hAnsi="Book Antiqua"/>
          <w:lang w:val="es-ES_tradnl"/>
        </w:rPr>
        <w:footnoteReference w:id="28"/>
      </w:r>
      <w:r w:rsidR="000C0ECB" w:rsidRPr="00DF6CF3">
        <w:rPr>
          <w:rFonts w:ascii="Book Antiqua" w:hAnsi="Book Antiqua"/>
          <w:lang w:val="es-ES_tradnl"/>
        </w:rPr>
        <w:t xml:space="preserve">, en donde se autorizó al Tesorero de Puerto Rico de entonces </w:t>
      </w:r>
      <w:r w:rsidR="001F5CAD" w:rsidRPr="00DF6CF3">
        <w:rPr>
          <w:rFonts w:ascii="Book Antiqua" w:hAnsi="Book Antiqua"/>
          <w:lang w:val="es-ES_tradnl"/>
        </w:rPr>
        <w:t>a</w:t>
      </w:r>
      <w:r w:rsidR="000C0ECB" w:rsidRPr="00DF6CF3">
        <w:rPr>
          <w:rFonts w:ascii="Book Antiqua" w:hAnsi="Book Antiqua"/>
          <w:lang w:val="es-ES_tradnl"/>
        </w:rPr>
        <w:t xml:space="preserve"> eximir del pago de toda contribución sobre la propiedad de los bienes pertenecientes a sociedades cooperativas sin fines de lucro  debidamente autorizadas hasta aquella época</w:t>
      </w:r>
      <w:r w:rsidR="001F5CAD" w:rsidRPr="00DF6CF3">
        <w:rPr>
          <w:rFonts w:ascii="Book Antiqua" w:hAnsi="Book Antiqua"/>
          <w:lang w:val="es-ES_tradnl"/>
        </w:rPr>
        <w:t>, o que en adelante se organizaren de acuerdo con las disposiciones de dicha ley”</w:t>
      </w:r>
      <w:r w:rsidR="001F5CAD" w:rsidRPr="00DF6CF3">
        <w:rPr>
          <w:rStyle w:val="FootnoteReference"/>
          <w:rFonts w:ascii="Book Antiqua" w:hAnsi="Book Antiqua"/>
          <w:lang w:val="es-ES_tradnl"/>
        </w:rPr>
        <w:footnoteReference w:id="29"/>
      </w:r>
      <w:r w:rsidR="00130008" w:rsidRPr="00DF6CF3">
        <w:rPr>
          <w:rFonts w:ascii="Book Antiqua" w:hAnsi="Book Antiqua"/>
          <w:lang w:val="es-ES_tradnl"/>
        </w:rPr>
        <w:t xml:space="preserve">. Dicha exoneración se componía de lo siguiente: </w:t>
      </w:r>
    </w:p>
    <w:p w14:paraId="7FF03365" w14:textId="59D08906" w:rsidR="009722AA" w:rsidRPr="00DF6CF3" w:rsidRDefault="00130008" w:rsidP="006823BA">
      <w:pPr>
        <w:spacing w:line="240" w:lineRule="auto"/>
        <w:ind w:left="720" w:right="720"/>
        <w:jc w:val="both"/>
        <w:rPr>
          <w:rFonts w:ascii="Book Antiqua" w:hAnsi="Book Antiqua"/>
          <w:lang w:val="es-ES_tradnl"/>
        </w:rPr>
      </w:pPr>
      <w:r w:rsidRPr="00DF6CF3">
        <w:rPr>
          <w:rFonts w:ascii="Book Antiqua" w:hAnsi="Book Antiqua"/>
          <w:lang w:val="es-ES_tradnl"/>
        </w:rPr>
        <w:t xml:space="preserve">[…] los bienes cuya exención fue autorizada , son los productores de la tierra, envases, efectos y mobiliario de oficina terrenos que, en conjunto, no excedan de cinco (5) cuerdas de extensión y los edificios que se construyan en tales terrenos y que se usen exclusivamente como depósitos para </w:t>
      </w:r>
      <w:r w:rsidRPr="00DF6CF3">
        <w:rPr>
          <w:rFonts w:ascii="Book Antiqua" w:hAnsi="Book Antiqua"/>
          <w:lang w:val="es-ES_tradnl"/>
        </w:rPr>
        <w:lastRenderedPageBreak/>
        <w:t>almacenar los productos de la cooperativa o de sus sociedades y para instalación de oficinas y maquinarias, pertenecientes a dichas cooperativa, siempre que el valor de los edificios y maquinarias, que se instalen en ellos no exceda de cincuenta mil dólares ($50,000.00)</w:t>
      </w:r>
      <w:r w:rsidR="009722AA" w:rsidRPr="00DF6CF3">
        <w:rPr>
          <w:rFonts w:ascii="Book Antiqua" w:hAnsi="Book Antiqua"/>
          <w:lang w:val="es-ES_tradnl"/>
        </w:rPr>
        <w:t>; […] en el caso de sociedades cooperativas cuyos terrenos excedan de cinco (5) cuerdas y/o cuando el valor de los edificios y maquinarias excedan de $50,000, tales sociedades cooperativas vendrán obligadas a pagar contribuciones sobre el exceso […]”.</w:t>
      </w:r>
      <w:r w:rsidR="009722AA" w:rsidRPr="00DF6CF3">
        <w:rPr>
          <w:rStyle w:val="FootnoteReference"/>
          <w:rFonts w:ascii="Book Antiqua" w:hAnsi="Book Antiqua"/>
          <w:lang w:val="es-ES_tradnl"/>
        </w:rPr>
        <w:footnoteReference w:id="30"/>
      </w:r>
    </w:p>
    <w:p w14:paraId="02A7D462" w14:textId="5572D577" w:rsidR="002554B3" w:rsidRPr="00DF6CF3" w:rsidRDefault="009722AA" w:rsidP="003C3F3D">
      <w:pPr>
        <w:spacing w:after="0" w:line="360" w:lineRule="auto"/>
        <w:ind w:firstLine="720"/>
        <w:jc w:val="both"/>
        <w:rPr>
          <w:rFonts w:ascii="Book Antiqua" w:hAnsi="Book Antiqua"/>
          <w:lang w:val="es-ES_tradnl"/>
        </w:rPr>
      </w:pPr>
      <w:r w:rsidRPr="00DF6CF3">
        <w:rPr>
          <w:rFonts w:ascii="Book Antiqua" w:hAnsi="Book Antiqua"/>
          <w:lang w:val="es-ES_tradnl"/>
        </w:rPr>
        <w:t xml:space="preserve">Así las cosas, la Ley Núm. 402, </w:t>
      </w:r>
      <w:r w:rsidRPr="00DF6CF3">
        <w:rPr>
          <w:rFonts w:ascii="Book Antiqua" w:hAnsi="Book Antiqua"/>
          <w:i/>
          <w:iCs/>
          <w:lang w:val="es-ES_tradnl"/>
        </w:rPr>
        <w:t>supra</w:t>
      </w:r>
      <w:r w:rsidRPr="00DF6CF3">
        <w:rPr>
          <w:rFonts w:ascii="Book Antiqua" w:hAnsi="Book Antiqua"/>
          <w:lang w:val="es-ES_tradnl"/>
        </w:rPr>
        <w:t>,</w:t>
      </w:r>
      <w:r w:rsidR="004A5647" w:rsidRPr="00DF6CF3">
        <w:rPr>
          <w:rFonts w:ascii="Book Antiqua" w:hAnsi="Book Antiqua"/>
          <w:lang w:val="es-ES_tradnl"/>
        </w:rPr>
        <w:t xml:space="preserve"> en su artículo 2, exime de contribución, impuesto a tributo los bienes de asociaciones cooperativas de crédito para la producción, establecidas hasta aquel momento en Puerto Rico, o que se establezcan en el futuro. Los terrenos serán aquellos de hasta cinco (5) cuerdas, y los edificios que en ellos se construyan siempre que se utilicen exclusivamente para oficinas y </w:t>
      </w:r>
      <w:r w:rsidR="0006062E" w:rsidRPr="00DF6CF3">
        <w:rPr>
          <w:rFonts w:ascii="Book Antiqua" w:hAnsi="Book Antiqua"/>
          <w:lang w:val="es-ES_tradnl"/>
        </w:rPr>
        <w:t>maquinaria de</w:t>
      </w:r>
      <w:r w:rsidR="004A5647" w:rsidRPr="00DF6CF3">
        <w:rPr>
          <w:rFonts w:ascii="Book Antiqua" w:hAnsi="Book Antiqua"/>
          <w:lang w:val="es-ES_tradnl"/>
        </w:rPr>
        <w:t xml:space="preserve"> dichas entidades, y que el valor no sobrepase de cincuenta mil dólares ($50,000.00).</w:t>
      </w:r>
      <w:r w:rsidR="004A5647" w:rsidRPr="00DF6CF3">
        <w:rPr>
          <w:rStyle w:val="FootnoteReference"/>
          <w:rFonts w:ascii="Book Antiqua" w:hAnsi="Book Antiqua"/>
          <w:lang w:val="es-ES_tradnl"/>
        </w:rPr>
        <w:footnoteReference w:id="31"/>
      </w:r>
      <w:r w:rsidR="0006062E" w:rsidRPr="00DF6CF3">
        <w:rPr>
          <w:rFonts w:ascii="Book Antiqua" w:hAnsi="Book Antiqua"/>
          <w:lang w:val="es-ES_tradnl"/>
        </w:rPr>
        <w:t xml:space="preserve"> De sobrepasar los valores antes mencionados, la entidad vendrá obligada a tributar sobre el exceso.</w:t>
      </w:r>
      <w:r w:rsidR="0006062E" w:rsidRPr="00DF6CF3">
        <w:rPr>
          <w:rStyle w:val="FootnoteReference"/>
          <w:rFonts w:ascii="Book Antiqua" w:hAnsi="Book Antiqua"/>
          <w:lang w:val="es-ES_tradnl"/>
        </w:rPr>
        <w:footnoteReference w:id="32"/>
      </w:r>
      <w:r w:rsidR="0006062E" w:rsidRPr="00DF6CF3">
        <w:rPr>
          <w:rFonts w:ascii="Book Antiqua" w:hAnsi="Book Antiqua"/>
          <w:lang w:val="es-ES_tradnl"/>
        </w:rPr>
        <w:t xml:space="preserve"> </w:t>
      </w:r>
    </w:p>
    <w:p w14:paraId="3C78FFED" w14:textId="4B8B205E" w:rsidR="002554B3" w:rsidRPr="00DF6CF3" w:rsidRDefault="0013170B" w:rsidP="003C3F3D">
      <w:pPr>
        <w:spacing w:after="0" w:line="360" w:lineRule="auto"/>
        <w:jc w:val="both"/>
        <w:rPr>
          <w:rFonts w:ascii="Book Antiqua" w:hAnsi="Book Antiqua"/>
          <w:lang w:val="es-ES_tradnl"/>
        </w:rPr>
      </w:pPr>
      <w:r w:rsidRPr="00DF6CF3">
        <w:rPr>
          <w:rFonts w:ascii="Book Antiqua" w:hAnsi="Book Antiqua"/>
          <w:lang w:val="es-ES_tradnl"/>
        </w:rPr>
        <w:tab/>
        <w:t xml:space="preserve">Al evaluar el Código de Rentas Internas de 2011, </w:t>
      </w:r>
      <w:r w:rsidRPr="00DF6CF3">
        <w:rPr>
          <w:rFonts w:ascii="Book Antiqua" w:hAnsi="Book Antiqua"/>
          <w:i/>
          <w:iCs/>
          <w:lang w:val="es-ES_tradnl"/>
        </w:rPr>
        <w:t>supra</w:t>
      </w:r>
      <w:r w:rsidRPr="00DF6CF3">
        <w:rPr>
          <w:rFonts w:ascii="Book Antiqua" w:hAnsi="Book Antiqua"/>
          <w:lang w:val="es-ES_tradnl"/>
        </w:rPr>
        <w:t xml:space="preserve">, nos percatamos </w:t>
      </w:r>
      <w:r w:rsidR="0006062E" w:rsidRPr="00DF6CF3">
        <w:rPr>
          <w:rFonts w:ascii="Book Antiqua" w:hAnsi="Book Antiqua"/>
          <w:lang w:val="es-ES_tradnl"/>
        </w:rPr>
        <w:t>en el subcapítulo “A” del Capítulo 10, particularmente en la Sección 1101.01, inciso 7, se exime</w:t>
      </w:r>
      <w:r w:rsidR="002554B3" w:rsidRPr="00DF6CF3">
        <w:rPr>
          <w:rFonts w:ascii="Book Antiqua" w:hAnsi="Book Antiqua"/>
          <w:lang w:val="es-ES_tradnl"/>
        </w:rPr>
        <w:t xml:space="preserve"> de tributación a aquellas entidades sujetas, respectivamente, a los requisitos de: (a) la Ley Núm. 239-2004, </w:t>
      </w:r>
      <w:r w:rsidR="002554B3" w:rsidRPr="00DF6CF3">
        <w:rPr>
          <w:rFonts w:ascii="Book Antiqua" w:hAnsi="Book Antiqua"/>
          <w:i/>
          <w:iCs/>
          <w:lang w:val="es-ES_tradnl"/>
        </w:rPr>
        <w:t>supra</w:t>
      </w:r>
      <w:r w:rsidR="002554B3" w:rsidRPr="00DF6CF3">
        <w:rPr>
          <w:rFonts w:ascii="Book Antiqua" w:hAnsi="Book Antiqua"/>
          <w:lang w:val="es-ES_tradnl"/>
        </w:rPr>
        <w:t xml:space="preserve">; (b) la Ley Núm. 255-2002, </w:t>
      </w:r>
      <w:r w:rsidR="002554B3" w:rsidRPr="00DF6CF3">
        <w:rPr>
          <w:rFonts w:ascii="Book Antiqua" w:hAnsi="Book Antiqua"/>
          <w:i/>
          <w:iCs/>
          <w:lang w:val="es-ES_tradnl"/>
        </w:rPr>
        <w:t>supra</w:t>
      </w:r>
      <w:r w:rsidR="002554B3" w:rsidRPr="00DF6CF3">
        <w:rPr>
          <w:rFonts w:ascii="Book Antiqua" w:hAnsi="Book Antiqua"/>
          <w:lang w:val="es-ES_tradnl"/>
        </w:rPr>
        <w:t xml:space="preserve">; (c) la Ley Núm. 77 del 19 de junio de 1957, </w:t>
      </w:r>
      <w:r w:rsidR="002554B3" w:rsidRPr="00DF6CF3">
        <w:rPr>
          <w:rFonts w:ascii="Book Antiqua" w:hAnsi="Book Antiqua"/>
          <w:i/>
          <w:iCs/>
          <w:lang w:val="es-ES_tradnl"/>
        </w:rPr>
        <w:t>supra</w:t>
      </w:r>
      <w:r w:rsidR="002554B3" w:rsidRPr="00DF6CF3">
        <w:rPr>
          <w:rFonts w:ascii="Book Antiqua" w:hAnsi="Book Antiqua"/>
          <w:lang w:val="es-ES_tradnl"/>
        </w:rPr>
        <w:t xml:space="preserve">, y/o la Ley Núm. 220-2002, </w:t>
      </w:r>
      <w:r w:rsidR="002554B3" w:rsidRPr="00DF6CF3">
        <w:rPr>
          <w:rFonts w:ascii="Book Antiqua" w:hAnsi="Book Antiqua"/>
          <w:i/>
          <w:iCs/>
          <w:lang w:val="es-ES_tradnl"/>
        </w:rPr>
        <w:t>supra</w:t>
      </w:r>
      <w:r w:rsidR="002554B3" w:rsidRPr="00DF6CF3">
        <w:rPr>
          <w:rFonts w:ascii="Book Antiqua" w:hAnsi="Book Antiqua"/>
          <w:lang w:val="es-ES_tradnl"/>
        </w:rPr>
        <w:t>.</w:t>
      </w:r>
      <w:r w:rsidR="002554B3" w:rsidRPr="00DF6CF3">
        <w:rPr>
          <w:rStyle w:val="FootnoteReference"/>
          <w:rFonts w:ascii="Book Antiqua" w:hAnsi="Book Antiqua"/>
          <w:lang w:val="es-ES_tradnl"/>
        </w:rPr>
        <w:footnoteReference w:id="33"/>
      </w:r>
      <w:r w:rsidR="002554B3" w:rsidRPr="00DF6CF3">
        <w:rPr>
          <w:rFonts w:ascii="Book Antiqua" w:hAnsi="Book Antiqua"/>
          <w:lang w:val="es-ES_tradnl"/>
        </w:rPr>
        <w:t xml:space="preserve"> Asimismo, exime de contribución a organizaciones de trabajo, agrícolas o de horticultura.</w:t>
      </w:r>
      <w:r w:rsidR="002554B3" w:rsidRPr="00DF6CF3">
        <w:rPr>
          <w:rStyle w:val="FootnoteReference"/>
          <w:rFonts w:ascii="Book Antiqua" w:hAnsi="Book Antiqua"/>
          <w:lang w:val="es-ES_tradnl"/>
        </w:rPr>
        <w:footnoteReference w:id="34"/>
      </w:r>
      <w:r w:rsidR="002554B3" w:rsidRPr="00DF6CF3">
        <w:rPr>
          <w:rFonts w:ascii="Book Antiqua" w:hAnsi="Book Antiqua"/>
          <w:lang w:val="es-ES_tradnl"/>
        </w:rPr>
        <w:t xml:space="preserve"> </w:t>
      </w:r>
    </w:p>
    <w:p w14:paraId="7C452D9A" w14:textId="33659349" w:rsidR="004B2A29" w:rsidRPr="00DF6CF3" w:rsidRDefault="005C6849" w:rsidP="003C3F3D">
      <w:pPr>
        <w:spacing w:after="0" w:line="360" w:lineRule="auto"/>
        <w:ind w:firstLine="720"/>
        <w:jc w:val="both"/>
        <w:rPr>
          <w:rFonts w:ascii="Book Antiqua" w:hAnsi="Book Antiqua"/>
          <w:lang w:val="es-ES_tradnl"/>
        </w:rPr>
      </w:pPr>
      <w:r w:rsidRPr="00DF6CF3">
        <w:rPr>
          <w:rFonts w:ascii="Book Antiqua" w:hAnsi="Book Antiqua"/>
          <w:lang w:val="es-ES_tradnl"/>
        </w:rPr>
        <w:t xml:space="preserve">El Código Municipal de Puerto Rico, por su parte, exonera a los agricultores </w:t>
      </w:r>
      <w:proofErr w:type="spellStart"/>
      <w:r w:rsidRPr="00DF6CF3">
        <w:rPr>
          <w:rFonts w:ascii="Book Antiqua" w:hAnsi="Book Antiqua"/>
          <w:lang w:val="es-ES_tradnl"/>
        </w:rPr>
        <w:t>bonafide</w:t>
      </w:r>
      <w:proofErr w:type="spellEnd"/>
      <w:r w:rsidRPr="00DF6CF3">
        <w:rPr>
          <w:rFonts w:ascii="Book Antiqua" w:hAnsi="Book Antiqua"/>
          <w:lang w:val="es-ES_tradnl"/>
        </w:rPr>
        <w:t xml:space="preserve"> debidamente certificados por el Secretario de Agricultura, y que a su vez posean un  decreto bajo la Ley 60-2019, según enmendada, conocida como </w:t>
      </w:r>
      <w:r w:rsidRPr="00DF6CF3">
        <w:rPr>
          <w:rFonts w:ascii="Book Antiqua" w:hAnsi="Book Antiqua"/>
          <w:i/>
          <w:iCs/>
          <w:lang w:val="es-ES_tradnl"/>
        </w:rPr>
        <w:t xml:space="preserve">Código de </w:t>
      </w:r>
      <w:r w:rsidR="004B2A29" w:rsidRPr="00DF6CF3">
        <w:rPr>
          <w:rFonts w:ascii="Book Antiqua" w:hAnsi="Book Antiqua"/>
          <w:i/>
          <w:iCs/>
          <w:lang w:val="es-ES_tradnl"/>
        </w:rPr>
        <w:t>I</w:t>
      </w:r>
      <w:r w:rsidRPr="00DF6CF3">
        <w:rPr>
          <w:rFonts w:ascii="Book Antiqua" w:hAnsi="Book Antiqua"/>
          <w:i/>
          <w:iCs/>
          <w:lang w:val="es-ES_tradnl"/>
        </w:rPr>
        <w:t>ncentivos de Puerto Rico de 2019</w:t>
      </w:r>
      <w:r w:rsidR="004B2A29" w:rsidRPr="00DF6CF3">
        <w:rPr>
          <w:rStyle w:val="FootnoteReference"/>
          <w:rFonts w:ascii="Book Antiqua" w:hAnsi="Book Antiqua"/>
          <w:i/>
          <w:iCs/>
          <w:lang w:val="es-ES_tradnl"/>
        </w:rPr>
        <w:footnoteReference w:id="35"/>
      </w:r>
      <w:r w:rsidRPr="00DF6CF3">
        <w:rPr>
          <w:rFonts w:ascii="Book Antiqua" w:hAnsi="Book Antiqua"/>
          <w:lang w:val="es-ES_tradnl"/>
        </w:rPr>
        <w:t>, sobre la propiedad mueble o inmueble que se utilice en un tre</w:t>
      </w:r>
      <w:r w:rsidR="004B2A29" w:rsidRPr="00DF6CF3">
        <w:rPr>
          <w:rFonts w:ascii="Book Antiqua" w:hAnsi="Book Antiqua"/>
          <w:lang w:val="es-ES_tradnl"/>
        </w:rPr>
        <w:t>i</w:t>
      </w:r>
      <w:r w:rsidRPr="00DF6CF3">
        <w:rPr>
          <w:rFonts w:ascii="Book Antiqua" w:hAnsi="Book Antiqua"/>
          <w:lang w:val="es-ES_tradnl"/>
        </w:rPr>
        <w:t xml:space="preserve">nta y </w:t>
      </w:r>
      <w:r w:rsidRPr="00DF6CF3">
        <w:rPr>
          <w:rFonts w:ascii="Book Antiqua" w:hAnsi="Book Antiqua"/>
          <w:lang w:val="es-ES_tradnl"/>
        </w:rPr>
        <w:lastRenderedPageBreak/>
        <w:t xml:space="preserve">cinco </w:t>
      </w:r>
      <w:proofErr w:type="spellStart"/>
      <w:r w:rsidRPr="00DF6CF3">
        <w:rPr>
          <w:rFonts w:ascii="Book Antiqua" w:hAnsi="Book Antiqua"/>
          <w:lang w:val="es-ES_tradnl"/>
        </w:rPr>
        <w:t>porciento</w:t>
      </w:r>
      <w:proofErr w:type="spellEnd"/>
      <w:r w:rsidRPr="00DF6CF3">
        <w:rPr>
          <w:rFonts w:ascii="Book Antiqua" w:hAnsi="Book Antiqua"/>
          <w:lang w:val="es-ES_tradnl"/>
        </w:rPr>
        <w:t xml:space="preserve"> (35%) o más en actividades agrícolas cub</w:t>
      </w:r>
      <w:r w:rsidR="004B2A29" w:rsidRPr="00DF6CF3">
        <w:rPr>
          <w:rFonts w:ascii="Book Antiqua" w:hAnsi="Book Antiqua"/>
          <w:lang w:val="es-ES_tradnl"/>
        </w:rPr>
        <w:t>ier</w:t>
      </w:r>
      <w:r w:rsidRPr="00DF6CF3">
        <w:rPr>
          <w:rFonts w:ascii="Book Antiqua" w:hAnsi="Book Antiqua"/>
          <w:lang w:val="es-ES_tradnl"/>
        </w:rPr>
        <w:t>tas por el decreto, sujeto otras condiciones.</w:t>
      </w:r>
      <w:r w:rsidRPr="00DF6CF3">
        <w:rPr>
          <w:rStyle w:val="FootnoteReference"/>
          <w:rFonts w:ascii="Book Antiqua" w:hAnsi="Book Antiqua"/>
          <w:lang w:val="es-ES_tradnl"/>
        </w:rPr>
        <w:footnoteReference w:id="36"/>
      </w:r>
      <w:r w:rsidR="004B2A29" w:rsidRPr="00DF6CF3">
        <w:rPr>
          <w:rFonts w:ascii="Book Antiqua" w:hAnsi="Book Antiqua"/>
          <w:lang w:val="es-ES_tradnl"/>
        </w:rPr>
        <w:t xml:space="preserve"> Asimismo, se exime del pago de patentes, sujeto al cumplimiento de los correspondientes requisitos, las sociedades cooperativas organizadas y operadas bajo la Ley 239-2004, </w:t>
      </w:r>
      <w:r w:rsidR="004B2A29" w:rsidRPr="00DF6CF3">
        <w:rPr>
          <w:rFonts w:ascii="Book Antiqua" w:hAnsi="Book Antiqua"/>
          <w:i/>
          <w:iCs/>
          <w:lang w:val="es-ES_tradnl"/>
        </w:rPr>
        <w:t>supra</w:t>
      </w:r>
      <w:r w:rsidR="004B2A29" w:rsidRPr="00DF6CF3">
        <w:rPr>
          <w:rFonts w:ascii="Book Antiqua" w:hAnsi="Book Antiqua"/>
          <w:lang w:val="es-ES_tradnl"/>
        </w:rPr>
        <w:t xml:space="preserve">, y la Ley 255-2002, </w:t>
      </w:r>
      <w:r w:rsidR="004B2A29" w:rsidRPr="00DF6CF3">
        <w:rPr>
          <w:rFonts w:ascii="Book Antiqua" w:hAnsi="Book Antiqua"/>
          <w:i/>
          <w:iCs/>
          <w:lang w:val="es-ES_tradnl"/>
        </w:rPr>
        <w:t>supra</w:t>
      </w:r>
      <w:r w:rsidR="00B71591" w:rsidRPr="00DF6CF3">
        <w:rPr>
          <w:rFonts w:ascii="Book Antiqua" w:hAnsi="Book Antiqua"/>
          <w:lang w:val="es-ES_tradnl"/>
        </w:rPr>
        <w:t xml:space="preserve">, y aquellas ganancias realizadas como resultado de transacciones exentas bajo la Ley 1-2011, </w:t>
      </w:r>
      <w:r w:rsidR="00B71591" w:rsidRPr="00DF6CF3">
        <w:rPr>
          <w:rFonts w:ascii="Book Antiqua" w:hAnsi="Book Antiqua"/>
          <w:i/>
          <w:iCs/>
          <w:lang w:val="es-ES_tradnl"/>
        </w:rPr>
        <w:t>supra</w:t>
      </w:r>
      <w:r w:rsidR="00B71591" w:rsidRPr="00DF6CF3">
        <w:rPr>
          <w:rFonts w:ascii="Book Antiqua" w:hAnsi="Book Antiqua"/>
          <w:lang w:val="es-ES_tradnl"/>
        </w:rPr>
        <w:t>.</w:t>
      </w:r>
      <w:r w:rsidR="004B2A29" w:rsidRPr="00DF6CF3">
        <w:rPr>
          <w:rStyle w:val="FootnoteReference"/>
          <w:rFonts w:ascii="Book Antiqua" w:hAnsi="Book Antiqua"/>
          <w:lang w:val="es-ES_tradnl"/>
        </w:rPr>
        <w:footnoteReference w:id="37"/>
      </w:r>
      <w:r w:rsidR="004B2A29" w:rsidRPr="00DF6CF3">
        <w:rPr>
          <w:rFonts w:ascii="Book Antiqua" w:hAnsi="Book Antiqua"/>
          <w:lang w:val="es-ES_tradnl"/>
        </w:rPr>
        <w:t xml:space="preserve"> </w:t>
      </w:r>
    </w:p>
    <w:p w14:paraId="33BE9E29" w14:textId="32C64843" w:rsidR="003C3F3D" w:rsidRDefault="004B2A29" w:rsidP="003C3F3D">
      <w:pPr>
        <w:spacing w:line="360" w:lineRule="auto"/>
        <w:ind w:firstLine="720"/>
        <w:jc w:val="both"/>
        <w:rPr>
          <w:rFonts w:ascii="Book Antiqua" w:hAnsi="Book Antiqua"/>
          <w:lang w:val="es-ES_tradnl"/>
        </w:rPr>
      </w:pPr>
      <w:r w:rsidRPr="00DF6CF3">
        <w:rPr>
          <w:rFonts w:ascii="Book Antiqua" w:hAnsi="Book Antiqua"/>
          <w:lang w:val="es-ES_tradnl"/>
        </w:rPr>
        <w:t>Debido a lo anterior, esta Comisión coincide con la acción de derogar la Le</w:t>
      </w:r>
      <w:r w:rsidR="008361EB">
        <w:rPr>
          <w:rFonts w:ascii="Book Antiqua" w:hAnsi="Book Antiqua"/>
          <w:lang w:val="es-ES_tradnl"/>
        </w:rPr>
        <w:t>y</w:t>
      </w:r>
      <w:r w:rsidRPr="00DF6CF3">
        <w:rPr>
          <w:rFonts w:ascii="Book Antiqua" w:hAnsi="Book Antiqua"/>
          <w:lang w:val="es-ES_tradnl"/>
        </w:rPr>
        <w:t xml:space="preserve"> núm. 402, </w:t>
      </w:r>
      <w:r w:rsidRPr="006823BA">
        <w:rPr>
          <w:rFonts w:ascii="Book Antiqua" w:hAnsi="Book Antiqua"/>
          <w:i/>
          <w:iCs/>
          <w:lang w:val="es-ES_tradnl"/>
        </w:rPr>
        <w:t>supra</w:t>
      </w:r>
      <w:r w:rsidRPr="00DF6CF3">
        <w:rPr>
          <w:rFonts w:ascii="Book Antiqua" w:hAnsi="Book Antiqua"/>
          <w:lang w:val="es-ES_tradnl"/>
        </w:rPr>
        <w:t xml:space="preserve">, y efectúa algunas modificaciones de estilo y redacción en la medida. </w:t>
      </w:r>
    </w:p>
    <w:p w14:paraId="7F409FE1" w14:textId="2E00BED9" w:rsidR="00AF1158" w:rsidRPr="00F40AE8" w:rsidRDefault="00AF1158" w:rsidP="006823BA">
      <w:pPr>
        <w:spacing w:line="240" w:lineRule="auto"/>
        <w:jc w:val="center"/>
        <w:rPr>
          <w:rFonts w:ascii="Book Antiqua" w:hAnsi="Book Antiqua"/>
          <w:b/>
          <w:bCs/>
        </w:rPr>
      </w:pPr>
      <w:r w:rsidRPr="00F40AE8">
        <w:rPr>
          <w:rFonts w:ascii="Book Antiqua" w:hAnsi="Book Antiqua"/>
          <w:b/>
          <w:bCs/>
        </w:rPr>
        <w:t>ENMIENDA RECOMENDADAS</w:t>
      </w:r>
    </w:p>
    <w:p w14:paraId="26E25735" w14:textId="2370F105" w:rsidR="006823BA" w:rsidRDefault="00AF1158" w:rsidP="006823BA">
      <w:pPr>
        <w:spacing w:line="360" w:lineRule="auto"/>
        <w:ind w:firstLine="720"/>
        <w:jc w:val="both"/>
        <w:rPr>
          <w:rFonts w:ascii="Book Antiqua" w:hAnsi="Book Antiqua"/>
        </w:rPr>
      </w:pPr>
      <w:r>
        <w:rPr>
          <w:rFonts w:ascii="Book Antiqua" w:hAnsi="Book Antiqua"/>
        </w:rPr>
        <w:t xml:space="preserve">Se realizaron varias enmiendas al </w:t>
      </w:r>
      <w:proofErr w:type="spellStart"/>
      <w:r>
        <w:rPr>
          <w:rFonts w:ascii="Book Antiqua" w:hAnsi="Book Antiqua"/>
        </w:rPr>
        <w:t>ent</w:t>
      </w:r>
      <w:r w:rsidR="006A781F">
        <w:rPr>
          <w:rFonts w:ascii="Book Antiqua" w:hAnsi="Book Antiqua"/>
        </w:rPr>
        <w:t>i</w:t>
      </w:r>
      <w:r>
        <w:rPr>
          <w:rFonts w:ascii="Book Antiqua" w:hAnsi="Book Antiqua"/>
        </w:rPr>
        <w:t>rillado</w:t>
      </w:r>
      <w:proofErr w:type="spellEnd"/>
      <w:r w:rsidR="006A781F">
        <w:rPr>
          <w:rFonts w:ascii="Book Antiqua" w:hAnsi="Book Antiqua"/>
        </w:rPr>
        <w:t xml:space="preserve"> electrónico</w:t>
      </w:r>
      <w:r>
        <w:rPr>
          <w:rFonts w:ascii="Book Antiqua" w:hAnsi="Book Antiqua"/>
        </w:rPr>
        <w:t xml:space="preserve">, las cuales fueron en esencia de técnica legislativa, para mejorar el documento. De igual manera, se cambió el texto del título de la medida para mayor claridad y menor redundancia.  </w:t>
      </w:r>
    </w:p>
    <w:p w14:paraId="4116B5BF" w14:textId="4E500D39" w:rsidR="006823BA" w:rsidRPr="006823BA" w:rsidRDefault="008361EB" w:rsidP="006823BA">
      <w:pPr>
        <w:spacing w:line="360" w:lineRule="auto"/>
        <w:jc w:val="center"/>
        <w:rPr>
          <w:rFonts w:ascii="Book Antiqua" w:eastAsia="Times New Roman" w:hAnsi="Book Antiqua" w:cs="Times New Roman"/>
          <w:b/>
          <w:bCs/>
          <w:spacing w:val="-3"/>
          <w:kern w:val="0"/>
          <w:lang w:val="es-ES" w:eastAsia="x-none"/>
          <w14:ligatures w14:val="none"/>
        </w:rPr>
      </w:pPr>
      <w:r>
        <w:rPr>
          <w:rFonts w:ascii="Book Antiqua" w:eastAsia="Times New Roman" w:hAnsi="Book Antiqua" w:cs="Times New Roman"/>
          <w:b/>
          <w:bCs/>
          <w:spacing w:val="-3"/>
          <w:kern w:val="0"/>
          <w:lang w:val="es-ES" w:eastAsia="x-none"/>
          <w14:ligatures w14:val="none"/>
        </w:rPr>
        <w:t>IMPACTO PRESUPUESTARIO</w:t>
      </w:r>
    </w:p>
    <w:p w14:paraId="0E137D6F" w14:textId="2089BC51" w:rsidR="0087730C" w:rsidRPr="0087730C" w:rsidRDefault="0087730C" w:rsidP="003C3F3D">
      <w:pPr>
        <w:keepNext/>
        <w:spacing w:after="0" w:line="360" w:lineRule="auto"/>
        <w:jc w:val="both"/>
        <w:outlineLvl w:val="2"/>
        <w:rPr>
          <w:rFonts w:ascii="Book Antiqua" w:eastAsia="Times New Roman" w:hAnsi="Book Antiqua" w:cs="Times New Roman"/>
          <w:spacing w:val="-3"/>
          <w:kern w:val="0"/>
          <w:lang w:val="es-ES" w:eastAsia="x-none"/>
          <w14:ligatures w14:val="none"/>
        </w:rPr>
      </w:pPr>
      <w:r>
        <w:rPr>
          <w:rFonts w:ascii="Book Antiqua" w:eastAsia="Times New Roman" w:hAnsi="Book Antiqua" w:cs="Times New Roman"/>
          <w:b/>
          <w:bCs/>
          <w:spacing w:val="-3"/>
          <w:kern w:val="0"/>
          <w:lang w:val="es-ES" w:eastAsia="x-none"/>
          <w14:ligatures w14:val="none"/>
        </w:rPr>
        <w:tab/>
      </w:r>
      <w:r w:rsidRPr="0087730C">
        <w:rPr>
          <w:rFonts w:ascii="Book Antiqua" w:eastAsia="Times New Roman" w:hAnsi="Book Antiqua" w:cs="Times New Roman"/>
          <w:spacing w:val="-3"/>
          <w:kern w:val="0"/>
          <w:lang w:val="es-ES" w:eastAsia="x-none"/>
          <w14:ligatures w14:val="none"/>
        </w:rPr>
        <w:t>Según expresado por COSSEC y AAFAF, no se prevé que la medida tenga impacto presupuestario alguno, ni efecto sobre el Plan Fiscal aprobado.</w:t>
      </w:r>
      <w:r>
        <w:rPr>
          <w:rStyle w:val="FootnoteReference"/>
          <w:rFonts w:ascii="Book Antiqua" w:eastAsia="Times New Roman" w:hAnsi="Book Antiqua"/>
          <w:spacing w:val="-3"/>
          <w:kern w:val="0"/>
          <w:lang w:val="es-ES" w:eastAsia="x-none"/>
          <w14:ligatures w14:val="none"/>
        </w:rPr>
        <w:footnoteReference w:id="38"/>
      </w:r>
      <w:r w:rsidRPr="0087730C">
        <w:rPr>
          <w:rFonts w:ascii="Book Antiqua" w:eastAsia="Times New Roman" w:hAnsi="Book Antiqua" w:cs="Times New Roman"/>
          <w:spacing w:val="-3"/>
          <w:kern w:val="0"/>
          <w:lang w:val="es-ES" w:eastAsia="x-none"/>
          <w14:ligatures w14:val="none"/>
        </w:rPr>
        <w:t xml:space="preserve"> </w:t>
      </w:r>
    </w:p>
    <w:p w14:paraId="2D8493A7" w14:textId="77777777" w:rsidR="008361EB" w:rsidRDefault="008361EB" w:rsidP="00AF1158">
      <w:pPr>
        <w:keepNext/>
        <w:spacing w:after="0" w:line="240" w:lineRule="auto"/>
        <w:outlineLvl w:val="2"/>
        <w:rPr>
          <w:rFonts w:ascii="Book Antiqua" w:eastAsia="Times New Roman" w:hAnsi="Book Antiqua" w:cs="Times New Roman"/>
          <w:b/>
          <w:bCs/>
          <w:spacing w:val="-3"/>
          <w:kern w:val="0"/>
          <w:lang w:val="es-ES" w:eastAsia="x-none"/>
          <w14:ligatures w14:val="none"/>
        </w:rPr>
      </w:pPr>
    </w:p>
    <w:p w14:paraId="339877AA" w14:textId="1F6C7477" w:rsidR="00A54AF0" w:rsidRPr="006823BA" w:rsidRDefault="00A54AF0" w:rsidP="006823BA">
      <w:pPr>
        <w:keepNext/>
        <w:spacing w:line="240" w:lineRule="auto"/>
        <w:jc w:val="center"/>
        <w:outlineLvl w:val="2"/>
        <w:rPr>
          <w:rFonts w:ascii="Book Antiqua" w:eastAsia="Times New Roman" w:hAnsi="Book Antiqua" w:cs="Times New Roman"/>
          <w:b/>
          <w:bCs/>
          <w:spacing w:val="-3"/>
          <w:kern w:val="0"/>
          <w:lang w:val="es-ES" w:eastAsia="x-none"/>
          <w14:ligatures w14:val="none"/>
        </w:rPr>
      </w:pPr>
      <w:r w:rsidRPr="00DF6CF3">
        <w:rPr>
          <w:rFonts w:ascii="Book Antiqua" w:eastAsia="Times New Roman" w:hAnsi="Book Antiqua" w:cs="Times New Roman"/>
          <w:b/>
          <w:bCs/>
          <w:spacing w:val="-3"/>
          <w:kern w:val="0"/>
          <w:lang w:val="es-ES" w:eastAsia="x-none"/>
          <w14:ligatures w14:val="none"/>
        </w:rPr>
        <w:t>CONCLUSIÓN</w:t>
      </w:r>
    </w:p>
    <w:p w14:paraId="11D6CEB9" w14:textId="3BD4E13A" w:rsidR="006823BA" w:rsidRPr="00DF6CF3" w:rsidRDefault="00A54AF0" w:rsidP="006823BA">
      <w:pPr>
        <w:spacing w:line="360" w:lineRule="auto"/>
        <w:ind w:firstLine="72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Por los fundamentos antes expuestos, la </w:t>
      </w:r>
      <w:r w:rsidRPr="00DF6CF3">
        <w:rPr>
          <w:rFonts w:ascii="Book Antiqua" w:eastAsia="Times New Roman" w:hAnsi="Book Antiqua" w:cs="Times New Roman"/>
          <w:kern w:val="0"/>
          <w:lang w:val="es-ES"/>
          <w14:ligatures w14:val="none"/>
        </w:rPr>
        <w:t>Comisión de Reorganización, Eficiencia y Diligencia</w:t>
      </w:r>
      <w:r w:rsidRPr="00DF6CF3">
        <w:rPr>
          <w:rFonts w:ascii="Book Antiqua" w:eastAsia="Times New Roman" w:hAnsi="Book Antiqua" w:cs="Times New Roman"/>
          <w:kern w:val="0"/>
          <w14:ligatures w14:val="none"/>
        </w:rPr>
        <w:t xml:space="preserve"> somete el presente </w:t>
      </w:r>
      <w:r w:rsidRPr="00DF6CF3">
        <w:rPr>
          <w:rFonts w:ascii="Book Antiqua" w:eastAsia="Times New Roman" w:hAnsi="Book Antiqua" w:cs="Times New Roman"/>
          <w:b/>
          <w:bCs/>
          <w:kern w:val="0"/>
          <w:u w:val="single"/>
          <w14:ligatures w14:val="none"/>
        </w:rPr>
        <w:t>Informe Positivo</w:t>
      </w:r>
      <w:r w:rsidRPr="00DF6CF3">
        <w:rPr>
          <w:rFonts w:ascii="Book Antiqua" w:eastAsia="Times New Roman" w:hAnsi="Book Antiqua" w:cs="Times New Roman"/>
          <w:kern w:val="0"/>
          <w14:ligatures w14:val="none"/>
        </w:rPr>
        <w:t xml:space="preserve"> en el que </w:t>
      </w:r>
      <w:r w:rsidRPr="00DF6CF3">
        <w:rPr>
          <w:rFonts w:ascii="Book Antiqua" w:eastAsia="Times New Roman" w:hAnsi="Book Antiqua" w:cs="Times New Roman"/>
          <w:kern w:val="0"/>
          <w:u w:val="single"/>
          <w14:ligatures w14:val="none"/>
        </w:rPr>
        <w:t>recomienda</w:t>
      </w:r>
      <w:r w:rsidRPr="00DF6CF3">
        <w:rPr>
          <w:rFonts w:ascii="Book Antiqua" w:eastAsia="Times New Roman" w:hAnsi="Book Antiqua" w:cs="Times New Roman"/>
          <w:kern w:val="0"/>
          <w14:ligatures w14:val="none"/>
        </w:rPr>
        <w:t xml:space="preserve"> a esta Cámara de Representantes que </w:t>
      </w:r>
      <w:r w:rsidRPr="00DF6CF3">
        <w:rPr>
          <w:rFonts w:ascii="Book Antiqua" w:eastAsia="Times New Roman" w:hAnsi="Book Antiqua" w:cs="Times New Roman"/>
          <w:kern w:val="0"/>
          <w:u w:val="single"/>
          <w14:ligatures w14:val="none"/>
        </w:rPr>
        <w:t>apruebe</w:t>
      </w:r>
      <w:r w:rsidRPr="00DF6CF3">
        <w:rPr>
          <w:rFonts w:ascii="Book Antiqua" w:eastAsia="Times New Roman" w:hAnsi="Book Antiqua" w:cs="Times New Roman"/>
          <w:kern w:val="0"/>
          <w14:ligatures w14:val="none"/>
        </w:rPr>
        <w:t xml:space="preserve"> el Proyecto de la Cámara 15</w:t>
      </w:r>
      <w:r w:rsidR="00675DC7" w:rsidRPr="00DF6CF3">
        <w:rPr>
          <w:rFonts w:ascii="Book Antiqua" w:eastAsia="Times New Roman" w:hAnsi="Book Antiqua" w:cs="Times New Roman"/>
          <w:kern w:val="0"/>
          <w14:ligatures w14:val="none"/>
        </w:rPr>
        <w:t>7</w:t>
      </w:r>
      <w:r w:rsidRPr="00DF6CF3">
        <w:rPr>
          <w:rFonts w:ascii="Book Antiqua" w:eastAsia="Times New Roman" w:hAnsi="Book Antiqua" w:cs="Times New Roman"/>
          <w:kern w:val="0"/>
          <w14:ligatures w14:val="none"/>
        </w:rPr>
        <w:t xml:space="preserve">, </w:t>
      </w:r>
      <w:r w:rsidR="00675DC7" w:rsidRPr="00DF6CF3">
        <w:rPr>
          <w:rFonts w:ascii="Book Antiqua" w:eastAsia="Times New Roman" w:hAnsi="Book Antiqua" w:cs="Times New Roman"/>
          <w:kern w:val="0"/>
          <w:u w:val="single"/>
          <w14:ligatures w14:val="none"/>
        </w:rPr>
        <w:t xml:space="preserve">con las enmiendas propuestas </w:t>
      </w:r>
      <w:r w:rsidR="00675DC7" w:rsidRPr="006A781F">
        <w:rPr>
          <w:rFonts w:ascii="Book Antiqua" w:eastAsia="Times New Roman" w:hAnsi="Book Antiqua" w:cs="Times New Roman"/>
          <w:kern w:val="0"/>
          <w:u w:val="single"/>
          <w14:ligatures w14:val="none"/>
        </w:rPr>
        <w:t xml:space="preserve">en el </w:t>
      </w:r>
      <w:proofErr w:type="spellStart"/>
      <w:r w:rsidR="00675DC7" w:rsidRPr="006A781F">
        <w:rPr>
          <w:rFonts w:ascii="Book Antiqua" w:eastAsia="Times New Roman" w:hAnsi="Book Antiqua" w:cs="Times New Roman"/>
          <w:kern w:val="0"/>
          <w:u w:val="single"/>
          <w14:ligatures w14:val="none"/>
        </w:rPr>
        <w:t>ent</w:t>
      </w:r>
      <w:r w:rsidR="006A781F" w:rsidRPr="006A781F">
        <w:rPr>
          <w:rFonts w:ascii="Book Antiqua" w:eastAsia="Times New Roman" w:hAnsi="Book Antiqua" w:cs="Times New Roman"/>
          <w:kern w:val="0"/>
          <w:u w:val="single"/>
          <w14:ligatures w14:val="none"/>
        </w:rPr>
        <w:t>i</w:t>
      </w:r>
      <w:r w:rsidR="00675DC7" w:rsidRPr="006A781F">
        <w:rPr>
          <w:rFonts w:ascii="Book Antiqua" w:eastAsia="Times New Roman" w:hAnsi="Book Antiqua" w:cs="Times New Roman"/>
          <w:kern w:val="0"/>
          <w:u w:val="single"/>
          <w14:ligatures w14:val="none"/>
        </w:rPr>
        <w:t>rillado</w:t>
      </w:r>
      <w:proofErr w:type="spellEnd"/>
      <w:r w:rsidR="006A781F" w:rsidRPr="006A781F">
        <w:rPr>
          <w:rFonts w:ascii="Book Antiqua" w:eastAsia="Times New Roman" w:hAnsi="Book Antiqua" w:cs="Times New Roman"/>
          <w:kern w:val="0"/>
          <w:u w:val="single"/>
          <w14:ligatures w14:val="none"/>
        </w:rPr>
        <w:t xml:space="preserve"> electrónico.</w:t>
      </w:r>
    </w:p>
    <w:p w14:paraId="6B4F35C6" w14:textId="77777777" w:rsidR="00A54AF0" w:rsidRPr="00DF6CF3" w:rsidRDefault="00A54AF0" w:rsidP="003C3F3D">
      <w:pPr>
        <w:spacing w:after="0" w:line="360" w:lineRule="auto"/>
        <w:ind w:firstLine="720"/>
        <w:rPr>
          <w:rFonts w:ascii="Book Antiqua" w:eastAsia="Times New Roman" w:hAnsi="Book Antiqua" w:cs="Times New Roman"/>
          <w:kern w:val="0"/>
          <w:lang w:eastAsia="x-none"/>
          <w14:ligatures w14:val="none"/>
        </w:rPr>
      </w:pPr>
      <w:r w:rsidRPr="00DF6CF3">
        <w:rPr>
          <w:rFonts w:ascii="Book Antiqua" w:eastAsia="Times New Roman" w:hAnsi="Book Antiqua" w:cs="Times New Roman"/>
          <w:kern w:val="0"/>
          <w:lang w:eastAsia="x-none"/>
          <w14:ligatures w14:val="none"/>
        </w:rPr>
        <w:t>Respetuosamente sometido,</w:t>
      </w:r>
    </w:p>
    <w:p w14:paraId="32D798A3" w14:textId="77777777" w:rsidR="00647DED" w:rsidRPr="00DF6CF3" w:rsidRDefault="00647DED" w:rsidP="00A54AF0">
      <w:pPr>
        <w:spacing w:after="0" w:line="240" w:lineRule="auto"/>
        <w:rPr>
          <w:rFonts w:ascii="Book Antiqua" w:eastAsia="Times New Roman" w:hAnsi="Book Antiqua" w:cs="Times New Roman"/>
          <w:kern w:val="0"/>
          <w:lang w:eastAsia="x-none"/>
          <w14:ligatures w14:val="none"/>
        </w:rPr>
      </w:pPr>
    </w:p>
    <w:p w14:paraId="5AE1325A" w14:textId="77777777" w:rsidR="00A54AF0" w:rsidRPr="00DF6CF3" w:rsidRDefault="00A54AF0" w:rsidP="00AC29DB">
      <w:pPr>
        <w:spacing w:after="0" w:line="240" w:lineRule="auto"/>
        <w:jc w:val="both"/>
        <w:rPr>
          <w:rFonts w:ascii="Book Antiqua" w:eastAsia="Times New Roman" w:hAnsi="Book Antiqua" w:cs="Times New Roman"/>
          <w:b/>
          <w:bCs/>
          <w:kern w:val="0"/>
          <w:lang w:eastAsia="x-none"/>
          <w14:ligatures w14:val="none"/>
        </w:rPr>
      </w:pPr>
      <w:proofErr w:type="spellStart"/>
      <w:r w:rsidRPr="00DF6CF3">
        <w:rPr>
          <w:rFonts w:ascii="Book Antiqua" w:eastAsia="Times New Roman" w:hAnsi="Book Antiqua" w:cs="Times New Roman"/>
          <w:b/>
          <w:bCs/>
          <w:kern w:val="0"/>
          <w:lang w:eastAsia="x-none"/>
          <w14:ligatures w14:val="none"/>
        </w:rPr>
        <w:t>Hon</w:t>
      </w:r>
      <w:proofErr w:type="spellEnd"/>
      <w:r w:rsidRPr="00DF6CF3">
        <w:rPr>
          <w:rFonts w:ascii="Book Antiqua" w:eastAsia="Times New Roman" w:hAnsi="Book Antiqua" w:cs="Times New Roman"/>
          <w:b/>
          <w:bCs/>
          <w:kern w:val="0"/>
          <w:lang w:eastAsia="x-none"/>
          <w14:ligatures w14:val="none"/>
        </w:rPr>
        <w:t>. Ángel A. Morey Noble</w:t>
      </w:r>
      <w:r w:rsidRPr="00DF6CF3">
        <w:rPr>
          <w:rFonts w:ascii="Book Antiqua" w:eastAsia="Times New Roman" w:hAnsi="Book Antiqua" w:cs="Times New Roman"/>
          <w:b/>
          <w:bCs/>
          <w:kern w:val="0"/>
          <w:lang w:eastAsia="x-none"/>
          <w14:ligatures w14:val="none"/>
        </w:rPr>
        <w:tab/>
        <w:t xml:space="preserve"> </w:t>
      </w:r>
    </w:p>
    <w:p w14:paraId="0C55918C" w14:textId="77777777" w:rsidR="00A54AF0" w:rsidRPr="00DF6CF3" w:rsidRDefault="00A54AF0" w:rsidP="00AC29DB">
      <w:pPr>
        <w:spacing w:after="0" w:line="240" w:lineRule="auto"/>
        <w:jc w:val="both"/>
        <w:rPr>
          <w:rFonts w:ascii="Book Antiqua" w:eastAsia="Times New Roman" w:hAnsi="Book Antiqua" w:cs="Times New Roman"/>
          <w:i/>
          <w:iCs/>
          <w:kern w:val="0"/>
          <w:lang w:eastAsia="x-none"/>
          <w14:ligatures w14:val="none"/>
        </w:rPr>
      </w:pPr>
      <w:r w:rsidRPr="00DF6CF3">
        <w:rPr>
          <w:rFonts w:ascii="Book Antiqua" w:eastAsia="Times New Roman" w:hAnsi="Book Antiqua" w:cs="Times New Roman"/>
          <w:i/>
          <w:iCs/>
          <w:kern w:val="0"/>
          <w:lang w:eastAsia="x-none"/>
          <w14:ligatures w14:val="none"/>
        </w:rPr>
        <w:t>Presidente</w:t>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p>
    <w:p w14:paraId="60E9B1BB" w14:textId="047D4680" w:rsidR="00A54AF0" w:rsidRPr="00DF6CF3" w:rsidRDefault="00A54AF0" w:rsidP="00AC29DB">
      <w:pPr>
        <w:spacing w:after="0" w:line="240" w:lineRule="auto"/>
        <w:ind w:left="5760" w:hanging="5760"/>
        <w:jc w:val="both"/>
        <w:rPr>
          <w:rFonts w:ascii="Book Antiqua" w:eastAsia="Times New Roman" w:hAnsi="Book Antiqua" w:cs="Times New Roman"/>
          <w:kern w:val="0"/>
          <w:lang w:eastAsia="x-none"/>
          <w14:ligatures w14:val="none"/>
        </w:rPr>
      </w:pPr>
      <w:r w:rsidRPr="00DF6CF3">
        <w:rPr>
          <w:rFonts w:ascii="Book Antiqua" w:eastAsia="Times New Roman" w:hAnsi="Book Antiqua" w:cs="Times New Roman"/>
          <w:kern w:val="0"/>
          <w:lang w:val="es-ES" w:eastAsia="x-none"/>
          <w14:ligatures w14:val="none"/>
        </w:rPr>
        <w:t>Comisión de Reorganización Eficiencia y Diligencia</w:t>
      </w:r>
    </w:p>
    <w:sectPr w:rsidR="00A54AF0" w:rsidRPr="00DF6C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DE72" w14:textId="77777777" w:rsidR="00A54AF0" w:rsidRDefault="00A54AF0" w:rsidP="00A54AF0">
      <w:pPr>
        <w:spacing w:after="0" w:line="240" w:lineRule="auto"/>
      </w:pPr>
      <w:r>
        <w:separator/>
      </w:r>
    </w:p>
  </w:endnote>
  <w:endnote w:type="continuationSeparator" w:id="0">
    <w:p w14:paraId="1E7CDC70" w14:textId="77777777" w:rsidR="00A54AF0" w:rsidRDefault="00A54AF0"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3C3F3D">
          <w:rPr>
            <w:rFonts w:ascii="Book Antiqua" w:hAnsi="Book Antiqua"/>
          </w:rPr>
          <w:fldChar w:fldCharType="begin"/>
        </w:r>
        <w:r w:rsidRPr="003C3F3D">
          <w:rPr>
            <w:rFonts w:ascii="Book Antiqua" w:hAnsi="Book Antiqua"/>
          </w:rPr>
          <w:instrText xml:space="preserve"> PAGE   \* MERGEFORMAT </w:instrText>
        </w:r>
        <w:r w:rsidRPr="003C3F3D">
          <w:rPr>
            <w:rFonts w:ascii="Book Antiqua" w:hAnsi="Book Antiqua"/>
          </w:rPr>
          <w:fldChar w:fldCharType="separate"/>
        </w:r>
        <w:r w:rsidRPr="003C3F3D">
          <w:rPr>
            <w:rFonts w:ascii="Book Antiqua" w:hAnsi="Book Antiqua"/>
            <w:noProof/>
          </w:rPr>
          <w:t>2</w:t>
        </w:r>
        <w:r w:rsidRPr="003C3F3D">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4106D" w14:textId="77777777" w:rsidR="00A54AF0" w:rsidRDefault="00A54AF0" w:rsidP="00A54AF0">
      <w:pPr>
        <w:spacing w:after="0" w:line="240" w:lineRule="auto"/>
      </w:pPr>
      <w:r>
        <w:separator/>
      </w:r>
    </w:p>
  </w:footnote>
  <w:footnote w:type="continuationSeparator" w:id="0">
    <w:p w14:paraId="27B8D503" w14:textId="77777777" w:rsidR="00A54AF0" w:rsidRDefault="00A54AF0" w:rsidP="00A54AF0">
      <w:pPr>
        <w:spacing w:after="0" w:line="240" w:lineRule="auto"/>
      </w:pPr>
      <w:r>
        <w:continuationSeparator/>
      </w:r>
    </w:p>
  </w:footnote>
  <w:footnote w:id="1">
    <w:p w14:paraId="23BB9598" w14:textId="75A1B87D" w:rsidR="00A350FB" w:rsidRPr="00D15B4B" w:rsidRDefault="00A350FB" w:rsidP="00B71591">
      <w:pPr>
        <w:pStyle w:val="FootnoteText"/>
        <w:ind w:left="720" w:hanging="720"/>
        <w:jc w:val="both"/>
        <w:rPr>
          <w:rFonts w:ascii="Book Antiqua" w:hAnsi="Book Antiqua"/>
          <w:lang w:val="en-US"/>
        </w:rPr>
      </w:pPr>
      <w:r w:rsidRPr="009C5642">
        <w:rPr>
          <w:rStyle w:val="FootnoteReference"/>
          <w:rFonts w:ascii="Book Antiqua" w:hAnsi="Book Antiqua"/>
        </w:rPr>
        <w:footnoteRef/>
      </w:r>
      <w:r w:rsidRPr="009C5642">
        <w:rPr>
          <w:rFonts w:ascii="Book Antiqua" w:hAnsi="Book Antiqua"/>
        </w:rPr>
        <w:t xml:space="preserve"> </w:t>
      </w:r>
      <w:r w:rsidR="00CA12CB" w:rsidRPr="009C5642">
        <w:rPr>
          <w:rFonts w:ascii="Book Antiqua" w:hAnsi="Book Antiqua"/>
        </w:rPr>
        <w:tab/>
      </w:r>
      <w:r w:rsidR="00CA12CB" w:rsidRPr="00D15B4B">
        <w:rPr>
          <w:rFonts w:ascii="Book Antiqua" w:hAnsi="Book Antiqua"/>
        </w:rPr>
        <w:t xml:space="preserve">Ley Núm. 402 del 12 de mayo de 1952, según enmendada, </w:t>
      </w:r>
      <w:r w:rsidR="00860EC4" w:rsidRPr="00D15B4B">
        <w:rPr>
          <w:rFonts w:ascii="Book Antiqua" w:hAnsi="Book Antiqua"/>
        </w:rPr>
        <w:t>5</w:t>
      </w:r>
      <w:r w:rsidR="00CA12CB" w:rsidRPr="00D15B4B">
        <w:rPr>
          <w:rFonts w:ascii="Book Antiqua" w:hAnsi="Book Antiqua"/>
        </w:rPr>
        <w:t xml:space="preserve"> LPRA </w:t>
      </w:r>
      <w:proofErr w:type="spellStart"/>
      <w:r w:rsidR="00860EC4" w:rsidRPr="00D15B4B">
        <w:rPr>
          <w:rFonts w:ascii="Book Antiqua" w:hAnsi="Book Antiqua"/>
        </w:rPr>
        <w:t>secs</w:t>
      </w:r>
      <w:proofErr w:type="spellEnd"/>
      <w:r w:rsidR="00860EC4" w:rsidRPr="00D15B4B">
        <w:rPr>
          <w:rFonts w:ascii="Book Antiqua" w:hAnsi="Book Antiqua"/>
        </w:rPr>
        <w:t xml:space="preserve">. </w:t>
      </w:r>
      <w:r w:rsidR="00860EC4" w:rsidRPr="00D15B4B">
        <w:rPr>
          <w:rFonts w:ascii="Book Antiqua" w:hAnsi="Book Antiqua"/>
          <w:lang w:val="en-US"/>
        </w:rPr>
        <w:t xml:space="preserve">915 </w:t>
      </w:r>
      <w:r w:rsidR="00860EC4" w:rsidRPr="00D15B4B">
        <w:rPr>
          <w:rFonts w:ascii="Book Antiqua" w:hAnsi="Book Antiqua"/>
          <w:i/>
          <w:iCs/>
          <w:lang w:val="en-US"/>
        </w:rPr>
        <w:t>et seq</w:t>
      </w:r>
      <w:r w:rsidR="00860EC4" w:rsidRPr="00D15B4B">
        <w:rPr>
          <w:rFonts w:ascii="Book Antiqua" w:hAnsi="Book Antiqua"/>
          <w:lang w:val="en-US"/>
        </w:rPr>
        <w:t>.</w:t>
      </w:r>
      <w:r w:rsidR="00CA12CB" w:rsidRPr="00D15B4B">
        <w:rPr>
          <w:rFonts w:ascii="Book Antiqua" w:hAnsi="Book Antiqua"/>
          <w:lang w:val="en-US"/>
        </w:rPr>
        <w:t xml:space="preserve"> (Ley </w:t>
      </w:r>
      <w:proofErr w:type="spellStart"/>
      <w:r w:rsidR="00CA12CB" w:rsidRPr="00D15B4B">
        <w:rPr>
          <w:rFonts w:ascii="Book Antiqua" w:hAnsi="Book Antiqua"/>
          <w:lang w:val="en-US"/>
        </w:rPr>
        <w:t>Núm</w:t>
      </w:r>
      <w:proofErr w:type="spellEnd"/>
      <w:r w:rsidR="00CA12CB" w:rsidRPr="00D15B4B">
        <w:rPr>
          <w:rFonts w:ascii="Book Antiqua" w:hAnsi="Book Antiqua"/>
          <w:lang w:val="en-US"/>
        </w:rPr>
        <w:t xml:space="preserve">. 402). </w:t>
      </w:r>
    </w:p>
  </w:footnote>
  <w:footnote w:id="2">
    <w:p w14:paraId="1F4EFA47" w14:textId="0DC35839" w:rsidR="00A350FB" w:rsidRPr="00D15B4B" w:rsidRDefault="00A350FB" w:rsidP="009C5642">
      <w:pPr>
        <w:pStyle w:val="FootnoteText"/>
        <w:jc w:val="both"/>
        <w:rPr>
          <w:rFonts w:ascii="Book Antiqua" w:hAnsi="Book Antiqua" w:cs="Times New Roman"/>
          <w:lang w:val="en-US"/>
        </w:rPr>
      </w:pPr>
      <w:r w:rsidRPr="00D15B4B">
        <w:rPr>
          <w:rStyle w:val="FootnoteReference"/>
          <w:rFonts w:ascii="Book Antiqua" w:hAnsi="Book Antiqua"/>
        </w:rPr>
        <w:footnoteRef/>
      </w:r>
      <w:r w:rsidRPr="00D15B4B">
        <w:rPr>
          <w:rFonts w:ascii="Book Antiqua" w:hAnsi="Book Antiqua" w:cs="Times New Roman"/>
          <w:lang w:val="en-US"/>
        </w:rPr>
        <w:t xml:space="preserve"> </w:t>
      </w:r>
      <w:r w:rsidR="00CA12CB" w:rsidRPr="00D15B4B">
        <w:rPr>
          <w:rFonts w:ascii="Book Antiqua" w:hAnsi="Book Antiqua" w:cs="Times New Roman"/>
          <w:lang w:val="en-US"/>
        </w:rPr>
        <w:tab/>
      </w:r>
      <w:r w:rsidR="00CA12CB" w:rsidRPr="00D15B4B">
        <w:rPr>
          <w:rFonts w:ascii="Book Antiqua" w:hAnsi="Book Antiqua" w:cs="Times New Roman"/>
          <w:i/>
          <w:iCs/>
          <w:lang w:val="en-US"/>
        </w:rPr>
        <w:t xml:space="preserve">Farm </w:t>
      </w:r>
      <w:proofErr w:type="spellStart"/>
      <w:r w:rsidR="00CA12CB" w:rsidRPr="00D15B4B">
        <w:rPr>
          <w:rFonts w:ascii="Book Antiqua" w:hAnsi="Book Antiqua" w:cs="Times New Roman"/>
          <w:i/>
          <w:iCs/>
          <w:lang w:val="en-US"/>
        </w:rPr>
        <w:t>Credict</w:t>
      </w:r>
      <w:proofErr w:type="spellEnd"/>
      <w:r w:rsidR="00CA12CB" w:rsidRPr="00D15B4B">
        <w:rPr>
          <w:rFonts w:ascii="Book Antiqua" w:hAnsi="Book Antiqua" w:cs="Times New Roman"/>
          <w:i/>
          <w:iCs/>
          <w:lang w:val="en-US"/>
        </w:rPr>
        <w:t xml:space="preserve"> Act of 1933</w:t>
      </w:r>
      <w:r w:rsidR="00CA12CB" w:rsidRPr="00D15B4B">
        <w:rPr>
          <w:rFonts w:ascii="Book Antiqua" w:hAnsi="Book Antiqua" w:cs="Times New Roman"/>
          <w:lang w:val="en-US"/>
        </w:rPr>
        <w:t>, Pub. L. 73-75, 48 Stat. 257</w:t>
      </w:r>
      <w:r w:rsidR="00AF1158" w:rsidRPr="00D15B4B">
        <w:rPr>
          <w:rFonts w:ascii="Book Antiqua" w:hAnsi="Book Antiqua" w:cs="Times New Roman"/>
          <w:lang w:val="en-US"/>
        </w:rPr>
        <w:t>.</w:t>
      </w:r>
    </w:p>
  </w:footnote>
  <w:footnote w:id="3">
    <w:p w14:paraId="296BC72E" w14:textId="2A282C2E" w:rsidR="00A350FB" w:rsidRPr="00D15B4B" w:rsidRDefault="00A350FB" w:rsidP="009C5642">
      <w:pPr>
        <w:pStyle w:val="FootnoteText"/>
        <w:jc w:val="both"/>
        <w:rPr>
          <w:rFonts w:ascii="Book Antiqua" w:hAnsi="Book Antiqua" w:cs="Times New Roman"/>
        </w:rPr>
      </w:pPr>
      <w:r w:rsidRPr="00D15B4B">
        <w:rPr>
          <w:rStyle w:val="FootnoteReference"/>
          <w:rFonts w:ascii="Book Antiqua" w:hAnsi="Book Antiqua"/>
        </w:rPr>
        <w:footnoteRef/>
      </w:r>
      <w:r w:rsidRPr="00D15B4B">
        <w:rPr>
          <w:rFonts w:ascii="Book Antiqua" w:hAnsi="Book Antiqua" w:cs="Times New Roman"/>
        </w:rPr>
        <w:t xml:space="preserve"> </w:t>
      </w:r>
      <w:r w:rsidRPr="00D15B4B">
        <w:rPr>
          <w:rFonts w:ascii="Book Antiqua" w:hAnsi="Book Antiqua" w:cs="Times New Roman"/>
        </w:rPr>
        <w:tab/>
      </w:r>
      <w:r w:rsidR="00860EC4" w:rsidRPr="00D15B4B">
        <w:rPr>
          <w:rFonts w:ascii="Book Antiqua" w:hAnsi="Book Antiqua" w:cs="Times New Roman"/>
        </w:rPr>
        <w:t xml:space="preserve"> Art. 1 de la </w:t>
      </w:r>
      <w:r w:rsidR="00CA12CB" w:rsidRPr="00D15B4B">
        <w:rPr>
          <w:rFonts w:ascii="Book Antiqua" w:hAnsi="Book Antiqua" w:cs="Times New Roman"/>
        </w:rPr>
        <w:t>Ley Núm. 402</w:t>
      </w:r>
      <w:r w:rsidR="00860EC4" w:rsidRPr="00D15B4B">
        <w:rPr>
          <w:rFonts w:ascii="Book Antiqua" w:hAnsi="Book Antiqua" w:cs="Times New Roman"/>
        </w:rPr>
        <w:t xml:space="preserve">, </w:t>
      </w:r>
      <w:r w:rsidR="00860EC4" w:rsidRPr="00D15B4B">
        <w:rPr>
          <w:rFonts w:ascii="Book Antiqua" w:hAnsi="Book Antiqua" w:cs="Times New Roman"/>
          <w:i/>
          <w:iCs/>
        </w:rPr>
        <w:t>supra</w:t>
      </w:r>
      <w:r w:rsidR="00860EC4" w:rsidRPr="00D15B4B">
        <w:rPr>
          <w:rFonts w:ascii="Book Antiqua" w:hAnsi="Book Antiqua" w:cs="Times New Roman"/>
        </w:rPr>
        <w:t xml:space="preserve">, 2 LPRA sec. 915. </w:t>
      </w:r>
    </w:p>
  </w:footnote>
  <w:footnote w:id="4">
    <w:p w14:paraId="7BE60DAD" w14:textId="0AAC73FB" w:rsidR="00F751C1" w:rsidRPr="00D15B4B" w:rsidRDefault="00F751C1" w:rsidP="009C5642">
      <w:pPr>
        <w:pStyle w:val="FootnoteText"/>
        <w:jc w:val="both"/>
        <w:rPr>
          <w:rFonts w:ascii="Book Antiqua" w:hAnsi="Book Antiqua" w:cs="Times New Roman"/>
        </w:rPr>
      </w:pPr>
      <w:r w:rsidRPr="00D15B4B">
        <w:rPr>
          <w:rStyle w:val="FootnoteReference"/>
          <w:rFonts w:ascii="Book Antiqua" w:hAnsi="Book Antiqua"/>
        </w:rPr>
        <w:footnoteRef/>
      </w:r>
      <w:r w:rsidRPr="00D15B4B">
        <w:rPr>
          <w:rFonts w:ascii="Book Antiqua" w:hAnsi="Book Antiqua" w:cs="Times New Roman"/>
        </w:rPr>
        <w:t xml:space="preserve"> </w:t>
      </w:r>
      <w:r w:rsidR="00A931F0" w:rsidRPr="00D15B4B">
        <w:rPr>
          <w:rFonts w:ascii="Book Antiqua" w:hAnsi="Book Antiqua" w:cs="Times New Roman"/>
        </w:rPr>
        <w:tab/>
        <w:t>P. de la C. 157, 20</w:t>
      </w:r>
      <w:r w:rsidR="00A931F0" w:rsidRPr="00D15B4B">
        <w:rPr>
          <w:rFonts w:ascii="Book Antiqua" w:hAnsi="Book Antiqua" w:cs="Times New Roman"/>
          <w:vertAlign w:val="superscript"/>
        </w:rPr>
        <w:t>ma</w:t>
      </w:r>
      <w:r w:rsidR="00A931F0" w:rsidRPr="00D15B4B">
        <w:rPr>
          <w:rFonts w:ascii="Book Antiqua" w:hAnsi="Book Antiqua" w:cs="Times New Roman"/>
        </w:rPr>
        <w:t xml:space="preserve"> Asamblea Legislativa, pág. 2 (2025).</w:t>
      </w:r>
    </w:p>
  </w:footnote>
  <w:footnote w:id="5">
    <w:p w14:paraId="71443609" w14:textId="7A271CCF" w:rsidR="00860EC4" w:rsidRPr="00D15B4B" w:rsidRDefault="00860EC4" w:rsidP="00B07592">
      <w:pPr>
        <w:pStyle w:val="FootnoteText"/>
        <w:ind w:left="720" w:hanging="720"/>
        <w:jc w:val="both"/>
        <w:rPr>
          <w:rFonts w:ascii="Book Antiqua" w:hAnsi="Book Antiqua" w:cs="Times New Roman"/>
        </w:rPr>
      </w:pPr>
      <w:r w:rsidRPr="00D15B4B">
        <w:rPr>
          <w:rStyle w:val="FootnoteReference"/>
          <w:rFonts w:ascii="Book Antiqua" w:hAnsi="Book Antiqua"/>
        </w:rPr>
        <w:footnoteRef/>
      </w:r>
      <w:r w:rsidRPr="00D15B4B">
        <w:rPr>
          <w:rFonts w:ascii="Book Antiqua" w:hAnsi="Book Antiqua" w:cs="Times New Roman"/>
        </w:rPr>
        <w:t xml:space="preserve"> </w:t>
      </w:r>
      <w:r w:rsidRPr="00D15B4B">
        <w:rPr>
          <w:rFonts w:ascii="Book Antiqua" w:hAnsi="Book Antiqua" w:cs="Times New Roman"/>
        </w:rPr>
        <w:tab/>
      </w:r>
      <w:r w:rsidR="002D578F" w:rsidRPr="00D15B4B">
        <w:rPr>
          <w:rFonts w:ascii="Book Antiqua" w:hAnsi="Book Antiqua" w:cs="Times New Roman"/>
        </w:rPr>
        <w:t xml:space="preserve">Ley Núm. 1-2011, según enmendada, conocida como </w:t>
      </w:r>
      <w:r w:rsidR="002D578F" w:rsidRPr="00D15B4B">
        <w:rPr>
          <w:rFonts w:ascii="Book Antiqua" w:hAnsi="Book Antiqua" w:cs="Times New Roman"/>
          <w:i/>
          <w:iCs/>
        </w:rPr>
        <w:t>Código de Rentas Internas de Puerto Rico de 2011</w:t>
      </w:r>
      <w:r w:rsidR="002D578F" w:rsidRPr="00D15B4B">
        <w:rPr>
          <w:rFonts w:ascii="Book Antiqua" w:hAnsi="Book Antiqua" w:cs="Times New Roman"/>
        </w:rPr>
        <w:t xml:space="preserve">, 13 LPRA </w:t>
      </w:r>
      <w:proofErr w:type="spellStart"/>
      <w:r w:rsidR="002D578F" w:rsidRPr="00D15B4B">
        <w:rPr>
          <w:rFonts w:ascii="Book Antiqua" w:hAnsi="Book Antiqua" w:cs="Times New Roman"/>
        </w:rPr>
        <w:t>secs</w:t>
      </w:r>
      <w:proofErr w:type="spellEnd"/>
      <w:r w:rsidR="002D578F" w:rsidRPr="00D15B4B">
        <w:rPr>
          <w:rFonts w:ascii="Book Antiqua" w:hAnsi="Book Antiqua" w:cs="Times New Roman"/>
        </w:rPr>
        <w:t xml:space="preserve">. 30011 </w:t>
      </w:r>
      <w:r w:rsidR="002D578F" w:rsidRPr="00D15B4B">
        <w:rPr>
          <w:rFonts w:ascii="Book Antiqua" w:hAnsi="Book Antiqua" w:cs="Times New Roman"/>
          <w:i/>
          <w:iCs/>
        </w:rPr>
        <w:t xml:space="preserve">et </w:t>
      </w:r>
      <w:proofErr w:type="spellStart"/>
      <w:r w:rsidR="002D578F" w:rsidRPr="00D15B4B">
        <w:rPr>
          <w:rFonts w:ascii="Book Antiqua" w:hAnsi="Book Antiqua" w:cs="Times New Roman"/>
          <w:i/>
          <w:iCs/>
        </w:rPr>
        <w:t>seq</w:t>
      </w:r>
      <w:proofErr w:type="spellEnd"/>
      <w:r w:rsidR="002D578F" w:rsidRPr="00D15B4B">
        <w:rPr>
          <w:rFonts w:ascii="Book Antiqua" w:hAnsi="Book Antiqua" w:cs="Times New Roman"/>
        </w:rPr>
        <w:t xml:space="preserve">. </w:t>
      </w:r>
    </w:p>
  </w:footnote>
  <w:footnote w:id="6">
    <w:p w14:paraId="7C50AF62" w14:textId="4C88FCC5" w:rsidR="002D578F" w:rsidRPr="00D15B4B" w:rsidRDefault="002D578F" w:rsidP="009C5642">
      <w:pPr>
        <w:pStyle w:val="FootnoteText"/>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Pr="00D15B4B">
        <w:rPr>
          <w:rFonts w:ascii="Book Antiqua" w:hAnsi="Book Antiqua" w:cs="Times New Roman"/>
        </w:rPr>
        <w:t xml:space="preserve">P. de la C. 157, </w:t>
      </w:r>
      <w:r w:rsidRPr="00D15B4B">
        <w:rPr>
          <w:rFonts w:ascii="Book Antiqua" w:hAnsi="Book Antiqua" w:cs="Times New Roman"/>
          <w:i/>
          <w:iCs/>
        </w:rPr>
        <w:t>supra</w:t>
      </w:r>
      <w:r w:rsidRPr="00D15B4B">
        <w:rPr>
          <w:rFonts w:ascii="Book Antiqua" w:hAnsi="Book Antiqua" w:cs="Times New Roman"/>
        </w:rPr>
        <w:t xml:space="preserve">, pág. 2. </w:t>
      </w:r>
    </w:p>
  </w:footnote>
  <w:footnote w:id="7">
    <w:p w14:paraId="5985A6C6" w14:textId="0D5C82B8" w:rsidR="002D578F" w:rsidRPr="00D15B4B" w:rsidRDefault="002D578F" w:rsidP="009C5642">
      <w:pPr>
        <w:pStyle w:val="FootnoteText"/>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00352764" w:rsidRPr="00D15B4B">
        <w:rPr>
          <w:rFonts w:ascii="Book Antiqua" w:hAnsi="Book Antiqua"/>
          <w:i/>
          <w:iCs/>
        </w:rPr>
        <w:t>I</w:t>
      </w:r>
      <w:r w:rsidRPr="00D15B4B">
        <w:rPr>
          <w:rFonts w:ascii="Book Antiqua" w:hAnsi="Book Antiqua"/>
          <w:i/>
          <w:iCs/>
        </w:rPr>
        <w:t>d.</w:t>
      </w:r>
    </w:p>
  </w:footnote>
  <w:footnote w:id="8">
    <w:p w14:paraId="0B71AA51" w14:textId="291AD785" w:rsidR="00C1455B" w:rsidRPr="00D15B4B" w:rsidRDefault="00C1455B">
      <w:pPr>
        <w:pStyle w:val="FootnoteText"/>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Pr="00D15B4B">
        <w:rPr>
          <w:rFonts w:ascii="Book Antiqua" w:hAnsi="Book Antiqua" w:cs="Times New Roman"/>
        </w:rPr>
        <w:t xml:space="preserve">Departamento de Agricultura, </w:t>
      </w:r>
      <w:r w:rsidRPr="00D15B4B">
        <w:rPr>
          <w:rFonts w:ascii="Book Antiqua" w:eastAsia="Times New Roman" w:hAnsi="Book Antiqua" w:cs="Times New Roman"/>
          <w:i/>
          <w:iCs/>
          <w:kern w:val="0"/>
          <w:lang w:val="es-ES"/>
          <w14:ligatures w14:val="none"/>
        </w:rPr>
        <w:t>Memorial Explicativo P. de la C. 157</w:t>
      </w:r>
      <w:r w:rsidRPr="00D15B4B">
        <w:rPr>
          <w:rFonts w:ascii="Book Antiqua" w:eastAsia="Times New Roman" w:hAnsi="Book Antiqua" w:cs="Times New Roman"/>
          <w:kern w:val="0"/>
          <w:lang w:val="es-ES"/>
          <w14:ligatures w14:val="none"/>
        </w:rPr>
        <w:t xml:space="preserve"> (28 de febrero de 2025).</w:t>
      </w:r>
    </w:p>
  </w:footnote>
  <w:footnote w:id="9">
    <w:p w14:paraId="65DCE91F" w14:textId="547854B9" w:rsidR="00352764" w:rsidRPr="00D15B4B" w:rsidRDefault="00352764" w:rsidP="004E0F19">
      <w:pPr>
        <w:pStyle w:val="FootnoteText"/>
        <w:jc w:val="both"/>
        <w:rPr>
          <w:rFonts w:ascii="Book Antiqua" w:hAnsi="Book Antiqua" w:cs="Times New Roman"/>
          <w:lang w:val="en-US"/>
        </w:rPr>
      </w:pPr>
      <w:r w:rsidRPr="00D15B4B">
        <w:rPr>
          <w:rStyle w:val="FootnoteReference"/>
          <w:rFonts w:ascii="Book Antiqua" w:hAnsi="Book Antiqua"/>
        </w:rPr>
        <w:footnoteRef/>
      </w:r>
      <w:r w:rsidRPr="00D15B4B">
        <w:rPr>
          <w:rFonts w:ascii="Book Antiqua" w:hAnsi="Book Antiqua" w:cs="Times New Roman"/>
          <w:lang w:val="en-US"/>
        </w:rPr>
        <w:t xml:space="preserve"> </w:t>
      </w:r>
      <w:r w:rsidRPr="00D15B4B">
        <w:rPr>
          <w:rFonts w:ascii="Book Antiqua" w:hAnsi="Book Antiqua" w:cs="Times New Roman"/>
          <w:lang w:val="en-US"/>
        </w:rPr>
        <w:tab/>
      </w:r>
      <w:r w:rsidR="00C1455B" w:rsidRPr="00D15B4B">
        <w:rPr>
          <w:rFonts w:ascii="Book Antiqua" w:hAnsi="Book Antiqua" w:cs="Times New Roman"/>
          <w:i/>
          <w:iCs/>
          <w:lang w:val="en-US"/>
        </w:rPr>
        <w:t>Id</w:t>
      </w:r>
      <w:r w:rsidR="00C1455B" w:rsidRPr="00D15B4B">
        <w:rPr>
          <w:rFonts w:ascii="Book Antiqua" w:hAnsi="Book Antiqua" w:cs="Times New Roman"/>
          <w:lang w:val="en-US"/>
        </w:rPr>
        <w:t>.,</w:t>
      </w:r>
      <w:r w:rsidR="00B07592" w:rsidRPr="00D15B4B">
        <w:rPr>
          <w:rFonts w:ascii="Book Antiqua" w:eastAsia="Times New Roman" w:hAnsi="Book Antiqua" w:cs="Times New Roman"/>
          <w:kern w:val="0"/>
          <w:lang w:val="en-US"/>
          <w14:ligatures w14:val="none"/>
        </w:rPr>
        <w:t xml:space="preserve"> </w:t>
      </w:r>
      <w:proofErr w:type="spellStart"/>
      <w:r w:rsidR="00B07592" w:rsidRPr="00D15B4B">
        <w:rPr>
          <w:rFonts w:ascii="Book Antiqua" w:eastAsia="Times New Roman" w:hAnsi="Book Antiqua" w:cs="Times New Roman"/>
          <w:kern w:val="0"/>
          <w:lang w:val="en-US"/>
          <w14:ligatures w14:val="none"/>
        </w:rPr>
        <w:t>págs</w:t>
      </w:r>
      <w:proofErr w:type="spellEnd"/>
      <w:r w:rsidR="00B07592" w:rsidRPr="00D15B4B">
        <w:rPr>
          <w:rFonts w:ascii="Book Antiqua" w:eastAsia="Times New Roman" w:hAnsi="Book Antiqua" w:cs="Times New Roman"/>
          <w:kern w:val="0"/>
          <w:lang w:val="en-US"/>
          <w14:ligatures w14:val="none"/>
        </w:rPr>
        <w:t>. 1-2</w:t>
      </w:r>
      <w:r w:rsidR="00C1455B" w:rsidRPr="00D15B4B">
        <w:rPr>
          <w:rFonts w:ascii="Book Antiqua" w:eastAsia="Times New Roman" w:hAnsi="Book Antiqua" w:cs="Times New Roman"/>
          <w:kern w:val="0"/>
          <w:lang w:val="en-US"/>
          <w14:ligatures w14:val="none"/>
        </w:rPr>
        <w:t>.</w:t>
      </w:r>
    </w:p>
  </w:footnote>
  <w:footnote w:id="10">
    <w:p w14:paraId="722D4222" w14:textId="18821F65" w:rsidR="00352764" w:rsidRPr="00D15B4B" w:rsidRDefault="00352764" w:rsidP="004E0F19">
      <w:pPr>
        <w:pStyle w:val="FootnoteText"/>
        <w:jc w:val="both"/>
        <w:rPr>
          <w:rFonts w:ascii="Book Antiqua" w:hAnsi="Book Antiqua" w:cs="Times New Roman"/>
          <w:lang w:val="en-US"/>
        </w:rPr>
      </w:pPr>
      <w:r w:rsidRPr="00D15B4B">
        <w:rPr>
          <w:rStyle w:val="FootnoteReference"/>
          <w:rFonts w:ascii="Book Antiqua" w:hAnsi="Book Antiqua"/>
        </w:rPr>
        <w:footnoteRef/>
      </w:r>
      <w:r w:rsidRPr="00D15B4B">
        <w:rPr>
          <w:rFonts w:ascii="Book Antiqua" w:hAnsi="Book Antiqua" w:cs="Times New Roman"/>
          <w:lang w:val="en-US"/>
        </w:rPr>
        <w:t xml:space="preserve"> </w:t>
      </w:r>
      <w:r w:rsidRPr="00D15B4B">
        <w:rPr>
          <w:rFonts w:ascii="Book Antiqua" w:hAnsi="Book Antiqua" w:cs="Times New Roman"/>
          <w:lang w:val="en-US"/>
        </w:rPr>
        <w:tab/>
      </w:r>
      <w:r w:rsidR="00440A59" w:rsidRPr="00D15B4B">
        <w:rPr>
          <w:rFonts w:ascii="Book Antiqua" w:hAnsi="Book Antiqua" w:cs="Times New Roman"/>
          <w:i/>
          <w:iCs/>
          <w:lang w:val="en-US"/>
        </w:rPr>
        <w:t>Id</w:t>
      </w:r>
      <w:r w:rsidR="00440A59" w:rsidRPr="00D15B4B">
        <w:rPr>
          <w:rFonts w:ascii="Book Antiqua" w:hAnsi="Book Antiqua" w:cs="Times New Roman"/>
          <w:lang w:val="en-US"/>
        </w:rPr>
        <w:t xml:space="preserve">., </w:t>
      </w:r>
      <w:proofErr w:type="spellStart"/>
      <w:r w:rsidR="00440A59" w:rsidRPr="00D15B4B">
        <w:rPr>
          <w:rFonts w:ascii="Book Antiqua" w:hAnsi="Book Antiqua" w:cs="Times New Roman"/>
          <w:lang w:val="en-US"/>
        </w:rPr>
        <w:t>pág</w:t>
      </w:r>
      <w:proofErr w:type="spellEnd"/>
      <w:r w:rsidR="00440A59" w:rsidRPr="00D15B4B">
        <w:rPr>
          <w:rFonts w:ascii="Book Antiqua" w:hAnsi="Book Antiqua" w:cs="Times New Roman"/>
          <w:lang w:val="en-US"/>
        </w:rPr>
        <w:t>. 2.</w:t>
      </w:r>
    </w:p>
  </w:footnote>
  <w:footnote w:id="11">
    <w:p w14:paraId="17B6EA28" w14:textId="05C21B24" w:rsidR="00352764" w:rsidRPr="00D15B4B" w:rsidRDefault="00352764" w:rsidP="004E0F19">
      <w:pPr>
        <w:pStyle w:val="FootnoteText"/>
        <w:jc w:val="both"/>
        <w:rPr>
          <w:rFonts w:ascii="Book Antiqua" w:hAnsi="Book Antiqua"/>
          <w:lang w:val="en-US"/>
        </w:rPr>
      </w:pPr>
      <w:r w:rsidRPr="00D15B4B">
        <w:rPr>
          <w:rStyle w:val="FootnoteReference"/>
          <w:rFonts w:ascii="Book Antiqua" w:hAnsi="Book Antiqua"/>
        </w:rPr>
        <w:footnoteRef/>
      </w:r>
      <w:r w:rsidRPr="00D15B4B">
        <w:rPr>
          <w:rFonts w:ascii="Book Antiqua" w:hAnsi="Book Antiqua"/>
          <w:lang w:val="en-US"/>
        </w:rPr>
        <w:t xml:space="preserve"> </w:t>
      </w:r>
      <w:r w:rsidRPr="00D15B4B">
        <w:rPr>
          <w:rFonts w:ascii="Book Antiqua" w:hAnsi="Book Antiqua"/>
          <w:lang w:val="en-US"/>
        </w:rPr>
        <w:tab/>
      </w:r>
      <w:r w:rsidR="00440A59" w:rsidRPr="00D15B4B">
        <w:rPr>
          <w:rFonts w:ascii="Book Antiqua" w:hAnsi="Book Antiqua"/>
          <w:i/>
          <w:iCs/>
          <w:lang w:val="en-US"/>
        </w:rPr>
        <w:t>Id</w:t>
      </w:r>
      <w:r w:rsidR="00440A59" w:rsidRPr="00D15B4B">
        <w:rPr>
          <w:rFonts w:ascii="Book Antiqua" w:hAnsi="Book Antiqua"/>
          <w:lang w:val="en-US"/>
        </w:rPr>
        <w:t>.</w:t>
      </w:r>
    </w:p>
  </w:footnote>
  <w:footnote w:id="12">
    <w:p w14:paraId="72C45995" w14:textId="41DFBFEC" w:rsidR="00667221" w:rsidRPr="00D15B4B" w:rsidRDefault="00667221" w:rsidP="004E0F19">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Pr="00D15B4B">
        <w:rPr>
          <w:rFonts w:ascii="Book Antiqua" w:eastAsia="Times New Roman" w:hAnsi="Book Antiqua" w:cs="Times New Roman"/>
          <w:bCs/>
          <w:kern w:val="0"/>
          <w14:ligatures w14:val="none"/>
        </w:rPr>
        <w:t xml:space="preserve">Corporación Pública para la Supervisión y Seguros de Cooperativas de Puerto Rico (COSSEC), </w:t>
      </w:r>
      <w:r w:rsidR="00C1455B" w:rsidRPr="00D15B4B">
        <w:rPr>
          <w:rFonts w:ascii="Book Antiqua" w:eastAsia="Times New Roman" w:hAnsi="Book Antiqua" w:cs="Times New Roman"/>
          <w:bCs/>
          <w:i/>
          <w:iCs/>
          <w:kern w:val="0"/>
          <w14:ligatures w14:val="none"/>
        </w:rPr>
        <w:t>Memorial Explicativo sobre el Proyecto de la Cámara 157</w:t>
      </w:r>
      <w:r w:rsidR="00C1455B" w:rsidRPr="00D15B4B">
        <w:rPr>
          <w:rFonts w:ascii="Book Antiqua" w:eastAsia="Times New Roman" w:hAnsi="Book Antiqua" w:cs="Times New Roman"/>
          <w:bCs/>
          <w:kern w:val="0"/>
          <w14:ligatures w14:val="none"/>
        </w:rPr>
        <w:t xml:space="preserve"> (6 de marzo de 2025). </w:t>
      </w:r>
    </w:p>
  </w:footnote>
  <w:footnote w:id="13">
    <w:p w14:paraId="3AA6CE1D" w14:textId="4D33761D" w:rsidR="004E0F19" w:rsidRPr="00D15B4B" w:rsidRDefault="004E0F19" w:rsidP="004E0F19">
      <w:pPr>
        <w:pStyle w:val="FootnoteText"/>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Pr="00D15B4B">
        <w:rPr>
          <w:rFonts w:ascii="Book Antiqua" w:hAnsi="Book Antiqua"/>
          <w:i/>
          <w:iCs/>
        </w:rPr>
        <w:t>Id</w:t>
      </w:r>
      <w:r w:rsidRPr="00D15B4B">
        <w:rPr>
          <w:rFonts w:ascii="Book Antiqua" w:hAnsi="Book Antiqua"/>
        </w:rPr>
        <w:t>., pág. 2.</w:t>
      </w:r>
    </w:p>
  </w:footnote>
  <w:footnote w:id="14">
    <w:p w14:paraId="2EEE8AF9" w14:textId="0EBB7565" w:rsidR="002D3140" w:rsidRPr="00D15B4B" w:rsidRDefault="002D3140" w:rsidP="004E0F19">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t>Ley Núm. 220-2002, según enmendada, conocida como</w:t>
      </w:r>
      <w:r w:rsidRPr="00D15B4B">
        <w:rPr>
          <w:rFonts w:ascii="Book Antiqua" w:hAnsi="Book Antiqua"/>
          <w:i/>
          <w:iCs/>
        </w:rPr>
        <w:t xml:space="preserve"> Ley Especial de Cooperativas Juveniles</w:t>
      </w:r>
      <w:r w:rsidRPr="00D15B4B">
        <w:rPr>
          <w:rFonts w:ascii="Book Antiqua" w:hAnsi="Book Antiqua"/>
        </w:rPr>
        <w:t xml:space="preserve">, 18 LPRA sec. 1802 </w:t>
      </w:r>
      <w:r w:rsidRPr="00D15B4B">
        <w:rPr>
          <w:rFonts w:ascii="Book Antiqua" w:hAnsi="Book Antiqua"/>
          <w:i/>
          <w:iCs/>
        </w:rPr>
        <w:t xml:space="preserve">et </w:t>
      </w:r>
      <w:proofErr w:type="spellStart"/>
      <w:r w:rsidRPr="00D15B4B">
        <w:rPr>
          <w:rFonts w:ascii="Book Antiqua" w:hAnsi="Book Antiqua"/>
          <w:i/>
          <w:iCs/>
        </w:rPr>
        <w:t>seq</w:t>
      </w:r>
      <w:proofErr w:type="spellEnd"/>
      <w:r w:rsidRPr="00D15B4B">
        <w:rPr>
          <w:rFonts w:ascii="Book Antiqua" w:hAnsi="Book Antiqua"/>
        </w:rPr>
        <w:t>.</w:t>
      </w:r>
    </w:p>
  </w:footnote>
  <w:footnote w:id="15">
    <w:p w14:paraId="1C5CF789" w14:textId="027F4046" w:rsidR="004E0F19" w:rsidRPr="00D15B4B" w:rsidRDefault="004E0F19" w:rsidP="004E0F19">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Pr="00D15B4B">
        <w:rPr>
          <w:rFonts w:ascii="Book Antiqua" w:eastAsia="Times New Roman" w:hAnsi="Book Antiqua" w:cs="Times New Roman"/>
          <w:bCs/>
          <w:kern w:val="0"/>
          <w14:ligatures w14:val="none"/>
        </w:rPr>
        <w:t xml:space="preserve">la Ley Núm. 77 de 19 de junio de 1957, según enmendada, conocida como </w:t>
      </w:r>
      <w:r w:rsidRPr="00D15B4B">
        <w:rPr>
          <w:rFonts w:ascii="Book Antiqua" w:eastAsia="Times New Roman" w:hAnsi="Book Antiqua" w:cs="Times New Roman"/>
          <w:bCs/>
          <w:i/>
          <w:iCs/>
          <w:kern w:val="0"/>
          <w14:ligatures w14:val="none"/>
        </w:rPr>
        <w:t>Código de Seguros de Puerto Rico</w:t>
      </w:r>
      <w:r w:rsidRPr="00D15B4B">
        <w:rPr>
          <w:rFonts w:ascii="Book Antiqua" w:eastAsia="Times New Roman" w:hAnsi="Book Antiqua" w:cs="Times New Roman"/>
          <w:bCs/>
          <w:kern w:val="0"/>
          <w14:ligatures w14:val="none"/>
        </w:rPr>
        <w:t xml:space="preserve">, 26 LPRA 101 </w:t>
      </w:r>
      <w:r w:rsidRPr="00D15B4B">
        <w:rPr>
          <w:rFonts w:ascii="Book Antiqua" w:eastAsia="Times New Roman" w:hAnsi="Book Antiqua" w:cs="Times New Roman"/>
          <w:bCs/>
          <w:i/>
          <w:iCs/>
          <w:kern w:val="0"/>
          <w14:ligatures w14:val="none"/>
        </w:rPr>
        <w:t xml:space="preserve">et </w:t>
      </w:r>
      <w:proofErr w:type="spellStart"/>
      <w:r w:rsidRPr="00D15B4B">
        <w:rPr>
          <w:rFonts w:ascii="Book Antiqua" w:eastAsia="Times New Roman" w:hAnsi="Book Antiqua" w:cs="Times New Roman"/>
          <w:bCs/>
          <w:i/>
          <w:iCs/>
          <w:kern w:val="0"/>
          <w14:ligatures w14:val="none"/>
        </w:rPr>
        <w:t>seq</w:t>
      </w:r>
      <w:proofErr w:type="spellEnd"/>
      <w:r w:rsidRPr="00D15B4B">
        <w:rPr>
          <w:rFonts w:ascii="Book Antiqua" w:eastAsia="Times New Roman" w:hAnsi="Book Antiqua" w:cs="Times New Roman"/>
          <w:bCs/>
          <w:kern w:val="0"/>
          <w14:ligatures w14:val="none"/>
        </w:rPr>
        <w:t>.</w:t>
      </w:r>
    </w:p>
  </w:footnote>
  <w:footnote w:id="16">
    <w:p w14:paraId="5F0C8046" w14:textId="6408FD51" w:rsidR="004E0F19" w:rsidRPr="00D15B4B" w:rsidRDefault="004E0F19" w:rsidP="004E0F19">
      <w:pPr>
        <w:pStyle w:val="FootnoteText"/>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00FF783D" w:rsidRPr="00D15B4B">
        <w:rPr>
          <w:rFonts w:ascii="Book Antiqua" w:hAnsi="Book Antiqua"/>
        </w:rPr>
        <w:t xml:space="preserve">COSSEC, </w:t>
      </w:r>
      <w:r w:rsidRPr="00D15B4B">
        <w:rPr>
          <w:rFonts w:ascii="Book Antiqua" w:hAnsi="Book Antiqua"/>
          <w:i/>
          <w:iCs/>
        </w:rPr>
        <w:t>Memorial Explicativo sobre el Proyecto de la Cámara 157</w:t>
      </w:r>
      <w:r w:rsidRPr="00D15B4B">
        <w:rPr>
          <w:rFonts w:ascii="Book Antiqua" w:hAnsi="Book Antiqua"/>
        </w:rPr>
        <w:t xml:space="preserve">, </w:t>
      </w:r>
      <w:r w:rsidRPr="00D15B4B">
        <w:rPr>
          <w:rFonts w:ascii="Book Antiqua" w:hAnsi="Book Antiqua"/>
          <w:i/>
          <w:iCs/>
        </w:rPr>
        <w:t>supra</w:t>
      </w:r>
      <w:r w:rsidRPr="00D15B4B">
        <w:rPr>
          <w:rFonts w:ascii="Book Antiqua" w:hAnsi="Book Antiqua"/>
        </w:rPr>
        <w:t>, pág. 2.</w:t>
      </w:r>
    </w:p>
  </w:footnote>
  <w:footnote w:id="17">
    <w:p w14:paraId="52BB59B9" w14:textId="5AD3A673" w:rsidR="00E92C53" w:rsidRPr="00D15B4B" w:rsidRDefault="00E92C53">
      <w:pPr>
        <w:pStyle w:val="FootnoteText"/>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Pr="00D15B4B">
        <w:rPr>
          <w:rFonts w:ascii="Book Antiqua" w:hAnsi="Book Antiqua"/>
          <w:i/>
          <w:iCs/>
        </w:rPr>
        <w:t>Id</w:t>
      </w:r>
      <w:r w:rsidRPr="00D15B4B">
        <w:rPr>
          <w:rFonts w:ascii="Book Antiqua" w:hAnsi="Book Antiqua"/>
        </w:rPr>
        <w:t>., pág. 3.</w:t>
      </w:r>
    </w:p>
  </w:footnote>
  <w:footnote w:id="18">
    <w:p w14:paraId="5D9F5339" w14:textId="6E60903E" w:rsidR="008A4272" w:rsidRPr="00D15B4B" w:rsidRDefault="008A4272">
      <w:pPr>
        <w:pStyle w:val="FootnoteText"/>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t xml:space="preserve">Departamento de Hacienda, Re: P. de la C. 157 (20 de marzo de 2025). </w:t>
      </w:r>
    </w:p>
  </w:footnote>
  <w:footnote w:id="19">
    <w:p w14:paraId="1976BCA7" w14:textId="6432A917" w:rsidR="00F36C67" w:rsidRPr="00D15B4B" w:rsidRDefault="00F36C67">
      <w:pPr>
        <w:pStyle w:val="FootnoteText"/>
        <w:rPr>
          <w:rFonts w:ascii="Book Antiqua" w:hAnsi="Book Antiqua"/>
          <w:lang w:val="en-US"/>
        </w:rPr>
      </w:pPr>
      <w:r w:rsidRPr="00D15B4B">
        <w:rPr>
          <w:rStyle w:val="FootnoteReference"/>
          <w:rFonts w:ascii="Book Antiqua" w:hAnsi="Book Antiqua"/>
        </w:rPr>
        <w:footnoteRef/>
      </w:r>
      <w:r w:rsidRPr="00D15B4B">
        <w:rPr>
          <w:rFonts w:ascii="Book Antiqua" w:hAnsi="Book Antiqua"/>
          <w:lang w:val="en-US"/>
        </w:rPr>
        <w:t xml:space="preserve"> </w:t>
      </w:r>
      <w:r w:rsidRPr="00D15B4B">
        <w:rPr>
          <w:rFonts w:ascii="Book Antiqua" w:hAnsi="Book Antiqua"/>
          <w:lang w:val="en-US"/>
        </w:rPr>
        <w:tab/>
      </w:r>
      <w:r w:rsidRPr="00D15B4B">
        <w:rPr>
          <w:rFonts w:ascii="Book Antiqua" w:hAnsi="Book Antiqua"/>
          <w:i/>
          <w:iCs/>
          <w:lang w:val="en-US"/>
        </w:rPr>
        <w:t>Id</w:t>
      </w:r>
      <w:r w:rsidRPr="00D15B4B">
        <w:rPr>
          <w:rFonts w:ascii="Book Antiqua" w:hAnsi="Book Antiqua"/>
          <w:lang w:val="en-US"/>
        </w:rPr>
        <w:t xml:space="preserve">., </w:t>
      </w:r>
      <w:proofErr w:type="spellStart"/>
      <w:r w:rsidRPr="00D15B4B">
        <w:rPr>
          <w:rFonts w:ascii="Book Antiqua" w:hAnsi="Book Antiqua"/>
          <w:lang w:val="en-US"/>
        </w:rPr>
        <w:t>pág</w:t>
      </w:r>
      <w:proofErr w:type="spellEnd"/>
      <w:r w:rsidRPr="00D15B4B">
        <w:rPr>
          <w:rFonts w:ascii="Book Antiqua" w:hAnsi="Book Antiqua"/>
          <w:lang w:val="en-US"/>
        </w:rPr>
        <w:t>. 2.</w:t>
      </w:r>
    </w:p>
  </w:footnote>
  <w:footnote w:id="20">
    <w:p w14:paraId="745C37D9" w14:textId="66D94EAE" w:rsidR="00312586" w:rsidRPr="00D15B4B" w:rsidRDefault="00312586">
      <w:pPr>
        <w:pStyle w:val="FootnoteText"/>
        <w:rPr>
          <w:rFonts w:ascii="Book Antiqua" w:hAnsi="Book Antiqua"/>
          <w:lang w:val="en-US"/>
        </w:rPr>
      </w:pPr>
      <w:r w:rsidRPr="00D15B4B">
        <w:rPr>
          <w:rStyle w:val="FootnoteReference"/>
          <w:rFonts w:ascii="Book Antiqua" w:hAnsi="Book Antiqua"/>
        </w:rPr>
        <w:footnoteRef/>
      </w:r>
      <w:r w:rsidRPr="00D15B4B">
        <w:rPr>
          <w:rFonts w:ascii="Book Antiqua" w:hAnsi="Book Antiqua"/>
          <w:lang w:val="en-US"/>
        </w:rPr>
        <w:t xml:space="preserve"> </w:t>
      </w:r>
      <w:r w:rsidRPr="00D15B4B">
        <w:rPr>
          <w:rFonts w:ascii="Book Antiqua" w:hAnsi="Book Antiqua"/>
          <w:lang w:val="en-US"/>
        </w:rPr>
        <w:tab/>
      </w:r>
      <w:r w:rsidRPr="00D15B4B">
        <w:rPr>
          <w:rFonts w:ascii="Book Antiqua" w:hAnsi="Book Antiqua"/>
          <w:i/>
          <w:iCs/>
          <w:lang w:val="en-US"/>
        </w:rPr>
        <w:t>Id</w:t>
      </w:r>
      <w:r w:rsidRPr="00D15B4B">
        <w:rPr>
          <w:rFonts w:ascii="Book Antiqua" w:hAnsi="Book Antiqua"/>
          <w:lang w:val="en-US"/>
        </w:rPr>
        <w:t>.</w:t>
      </w:r>
    </w:p>
  </w:footnote>
  <w:footnote w:id="21">
    <w:p w14:paraId="62E707CF" w14:textId="39AC59E7" w:rsidR="00F36C67" w:rsidRPr="00D15B4B" w:rsidRDefault="00F36C67" w:rsidP="005E11C2">
      <w:pPr>
        <w:pStyle w:val="FootnoteText"/>
        <w:ind w:left="720" w:hanging="720"/>
        <w:rPr>
          <w:rFonts w:ascii="Book Antiqua" w:hAnsi="Book Antiqua"/>
          <w:lang w:val="en-US"/>
        </w:rPr>
      </w:pPr>
      <w:r w:rsidRPr="00D15B4B">
        <w:rPr>
          <w:rStyle w:val="FootnoteReference"/>
          <w:rFonts w:ascii="Book Antiqua" w:hAnsi="Book Antiqua"/>
        </w:rPr>
        <w:footnoteRef/>
      </w:r>
      <w:r w:rsidRPr="00D15B4B">
        <w:rPr>
          <w:rFonts w:ascii="Book Antiqua" w:hAnsi="Book Antiqua"/>
          <w:lang w:val="en-US"/>
        </w:rPr>
        <w:t xml:space="preserve"> </w:t>
      </w:r>
      <w:r w:rsidR="00312586" w:rsidRPr="00D15B4B">
        <w:rPr>
          <w:rFonts w:ascii="Book Antiqua" w:hAnsi="Book Antiqua"/>
          <w:lang w:val="en-US"/>
        </w:rPr>
        <w:tab/>
      </w:r>
      <w:r w:rsidR="00312586" w:rsidRPr="00D15B4B">
        <w:rPr>
          <w:rFonts w:ascii="Book Antiqua" w:hAnsi="Book Antiqua"/>
          <w:i/>
          <w:iCs/>
          <w:lang w:val="en-US"/>
        </w:rPr>
        <w:t>Id</w:t>
      </w:r>
      <w:r w:rsidR="00312586" w:rsidRPr="00D15B4B">
        <w:rPr>
          <w:rFonts w:ascii="Book Antiqua" w:hAnsi="Book Antiqua"/>
          <w:lang w:val="en-US"/>
        </w:rPr>
        <w:t>.</w:t>
      </w:r>
    </w:p>
  </w:footnote>
  <w:footnote w:id="22">
    <w:p w14:paraId="681F1427" w14:textId="412BC991" w:rsidR="00DF6CF3" w:rsidRPr="00D15B4B" w:rsidRDefault="00DF6CF3" w:rsidP="005E11C2">
      <w:pPr>
        <w:pStyle w:val="FootnoteText"/>
        <w:ind w:left="720" w:hanging="720"/>
        <w:rPr>
          <w:rFonts w:ascii="Book Antiqua" w:hAnsi="Book Antiqua"/>
          <w:lang w:val="en-US"/>
        </w:rPr>
      </w:pPr>
      <w:r w:rsidRPr="00D15B4B">
        <w:rPr>
          <w:rStyle w:val="FootnoteReference"/>
          <w:rFonts w:ascii="Book Antiqua" w:hAnsi="Book Antiqua"/>
        </w:rPr>
        <w:footnoteRef/>
      </w:r>
      <w:r w:rsidRPr="00D15B4B">
        <w:rPr>
          <w:rFonts w:ascii="Book Antiqua" w:hAnsi="Book Antiqua"/>
          <w:lang w:val="en-US"/>
        </w:rPr>
        <w:t xml:space="preserve"> </w:t>
      </w:r>
      <w:r w:rsidRPr="00D15B4B">
        <w:rPr>
          <w:rFonts w:ascii="Book Antiqua" w:hAnsi="Book Antiqua"/>
          <w:lang w:val="en-US"/>
        </w:rPr>
        <w:tab/>
      </w:r>
      <w:proofErr w:type="spellStart"/>
      <w:r w:rsidRPr="00D15B4B">
        <w:rPr>
          <w:rFonts w:ascii="Book Antiqua" w:hAnsi="Book Antiqua"/>
          <w:i/>
          <w:iCs/>
          <w:lang w:val="en-US"/>
        </w:rPr>
        <w:t>Íd</w:t>
      </w:r>
      <w:proofErr w:type="spellEnd"/>
      <w:r w:rsidRPr="00D15B4B">
        <w:rPr>
          <w:rFonts w:ascii="Book Antiqua" w:hAnsi="Book Antiqua"/>
          <w:i/>
          <w:iCs/>
          <w:lang w:val="en-US"/>
        </w:rPr>
        <w:t>.</w:t>
      </w:r>
    </w:p>
  </w:footnote>
  <w:footnote w:id="23">
    <w:p w14:paraId="01535D17" w14:textId="04E5AD15" w:rsidR="005E11C2" w:rsidRPr="00D15B4B" w:rsidRDefault="00FB5487" w:rsidP="005E11C2">
      <w:pPr>
        <w:pStyle w:val="FootnoteText"/>
        <w:ind w:left="720" w:hanging="720"/>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00FF783D" w:rsidRPr="00D15B4B">
        <w:rPr>
          <w:rFonts w:ascii="Book Antiqua" w:hAnsi="Book Antiqua"/>
        </w:rPr>
        <w:tab/>
        <w:t>Autoridad de Asesoría Financiera y Agencia Fiscal de Puerto Rico</w:t>
      </w:r>
      <w:r w:rsidR="004753A3" w:rsidRPr="00D15B4B">
        <w:rPr>
          <w:rFonts w:ascii="Book Antiqua" w:hAnsi="Book Antiqua"/>
        </w:rPr>
        <w:t xml:space="preserve"> (AAFAF)</w:t>
      </w:r>
      <w:r w:rsidR="00FF783D" w:rsidRPr="00D15B4B">
        <w:rPr>
          <w:rFonts w:ascii="Book Antiqua" w:hAnsi="Book Antiqua"/>
        </w:rPr>
        <w:t xml:space="preserve">, </w:t>
      </w:r>
      <w:r w:rsidR="005E11C2" w:rsidRPr="00D15B4B">
        <w:rPr>
          <w:rFonts w:ascii="Book Antiqua" w:hAnsi="Book Antiqua"/>
          <w:i/>
          <w:iCs/>
        </w:rPr>
        <w:t>Re: Memorial Proyecto de la Cámara 157</w:t>
      </w:r>
      <w:r w:rsidR="005E11C2" w:rsidRPr="00D15B4B">
        <w:rPr>
          <w:rFonts w:ascii="Book Antiqua" w:hAnsi="Book Antiqua"/>
        </w:rPr>
        <w:t xml:space="preserve">, pág. 2 (28 de abril de 2025). </w:t>
      </w:r>
    </w:p>
  </w:footnote>
  <w:footnote w:id="24">
    <w:p w14:paraId="2EF85FCF" w14:textId="09EEB070" w:rsidR="00FF783D" w:rsidRPr="00315069" w:rsidRDefault="00FF783D" w:rsidP="005E11C2">
      <w:pPr>
        <w:pStyle w:val="FootnoteText"/>
        <w:ind w:left="720" w:hanging="720"/>
        <w:rPr>
          <w:rFonts w:ascii="Book Antiqua" w:hAnsi="Book Antiqua"/>
          <w:lang w:val="en-US"/>
        </w:rPr>
      </w:pPr>
      <w:r w:rsidRPr="00D15B4B">
        <w:rPr>
          <w:rStyle w:val="FootnoteReference"/>
          <w:rFonts w:ascii="Book Antiqua" w:hAnsi="Book Antiqua"/>
        </w:rPr>
        <w:footnoteRef/>
      </w:r>
      <w:r w:rsidRPr="00315069">
        <w:rPr>
          <w:rFonts w:ascii="Book Antiqua" w:hAnsi="Book Antiqua"/>
          <w:lang w:val="en-US"/>
        </w:rPr>
        <w:t xml:space="preserve"> </w:t>
      </w:r>
      <w:r w:rsidRPr="00315069">
        <w:rPr>
          <w:rFonts w:ascii="Book Antiqua" w:hAnsi="Book Antiqua"/>
          <w:lang w:val="en-US"/>
        </w:rPr>
        <w:tab/>
      </w:r>
      <w:r w:rsidR="005E11C2" w:rsidRPr="00315069">
        <w:rPr>
          <w:rFonts w:ascii="Book Antiqua" w:hAnsi="Book Antiqua"/>
          <w:i/>
          <w:iCs/>
          <w:lang w:val="en-US"/>
        </w:rPr>
        <w:t>Id</w:t>
      </w:r>
      <w:r w:rsidR="005E11C2" w:rsidRPr="00315069">
        <w:rPr>
          <w:rFonts w:ascii="Book Antiqua" w:hAnsi="Book Antiqua"/>
          <w:lang w:val="en-US"/>
        </w:rPr>
        <w:t>.</w:t>
      </w:r>
    </w:p>
  </w:footnote>
  <w:footnote w:id="25">
    <w:p w14:paraId="5921B145" w14:textId="5F2CD0AC" w:rsidR="00CA6283" w:rsidRPr="00D15B4B" w:rsidRDefault="00CA6283">
      <w:pPr>
        <w:pStyle w:val="FootnoteText"/>
        <w:rPr>
          <w:rFonts w:ascii="Book Antiqua" w:hAnsi="Book Antiqua"/>
          <w:lang w:val="en-US"/>
        </w:rPr>
      </w:pPr>
      <w:r w:rsidRPr="00D15B4B">
        <w:rPr>
          <w:rStyle w:val="FootnoteReference"/>
          <w:rFonts w:ascii="Book Antiqua" w:hAnsi="Book Antiqua"/>
        </w:rPr>
        <w:footnoteRef/>
      </w:r>
      <w:r w:rsidRPr="00D15B4B">
        <w:rPr>
          <w:rFonts w:ascii="Book Antiqua" w:hAnsi="Book Antiqua"/>
          <w:lang w:val="en-US"/>
        </w:rPr>
        <w:t xml:space="preserve"> </w:t>
      </w:r>
      <w:r w:rsidRPr="00D15B4B">
        <w:rPr>
          <w:rFonts w:ascii="Book Antiqua" w:hAnsi="Book Antiqua"/>
          <w:lang w:val="en-US"/>
        </w:rPr>
        <w:tab/>
      </w:r>
      <w:r w:rsidRPr="00D15B4B">
        <w:rPr>
          <w:rFonts w:ascii="Book Antiqua" w:hAnsi="Book Antiqua"/>
          <w:i/>
          <w:iCs/>
          <w:lang w:val="en-US"/>
        </w:rPr>
        <w:t>Id</w:t>
      </w:r>
      <w:r w:rsidRPr="00D15B4B">
        <w:rPr>
          <w:rFonts w:ascii="Book Antiqua" w:hAnsi="Book Antiqua"/>
          <w:lang w:val="en-US"/>
        </w:rPr>
        <w:t>.</w:t>
      </w:r>
    </w:p>
  </w:footnote>
  <w:footnote w:id="26">
    <w:p w14:paraId="736FF96F" w14:textId="54B3D336" w:rsidR="0087730C" w:rsidRPr="00D15B4B" w:rsidRDefault="0087730C">
      <w:pPr>
        <w:pStyle w:val="FootnoteText"/>
        <w:rPr>
          <w:rFonts w:ascii="Book Antiqua" w:hAnsi="Book Antiqua"/>
          <w:lang w:val="en-US"/>
        </w:rPr>
      </w:pPr>
      <w:r w:rsidRPr="00D15B4B">
        <w:rPr>
          <w:rStyle w:val="FootnoteReference"/>
          <w:rFonts w:ascii="Book Antiqua" w:hAnsi="Book Antiqua"/>
        </w:rPr>
        <w:footnoteRef/>
      </w:r>
      <w:r w:rsidRPr="00D15B4B">
        <w:rPr>
          <w:rFonts w:ascii="Book Antiqua" w:hAnsi="Book Antiqua"/>
          <w:lang w:val="en-US"/>
        </w:rPr>
        <w:t xml:space="preserve"> </w:t>
      </w:r>
      <w:r w:rsidRPr="00D15B4B">
        <w:rPr>
          <w:rFonts w:ascii="Book Antiqua" w:hAnsi="Book Antiqua"/>
          <w:lang w:val="en-US"/>
        </w:rPr>
        <w:tab/>
      </w:r>
      <w:r w:rsidRPr="00D15B4B">
        <w:rPr>
          <w:rFonts w:ascii="Book Antiqua" w:hAnsi="Book Antiqua"/>
          <w:i/>
          <w:iCs/>
          <w:lang w:val="en-US"/>
        </w:rPr>
        <w:t>Id</w:t>
      </w:r>
      <w:r w:rsidRPr="00D15B4B">
        <w:rPr>
          <w:rFonts w:ascii="Book Antiqua" w:hAnsi="Book Antiqua"/>
          <w:lang w:val="en-US"/>
        </w:rPr>
        <w:t xml:space="preserve">, </w:t>
      </w:r>
      <w:proofErr w:type="spellStart"/>
      <w:r w:rsidRPr="00D15B4B">
        <w:rPr>
          <w:rFonts w:ascii="Book Antiqua" w:hAnsi="Book Antiqua"/>
          <w:lang w:val="en-US"/>
        </w:rPr>
        <w:t>pág</w:t>
      </w:r>
      <w:proofErr w:type="spellEnd"/>
      <w:r w:rsidRPr="00D15B4B">
        <w:rPr>
          <w:rFonts w:ascii="Book Antiqua" w:hAnsi="Book Antiqua"/>
          <w:lang w:val="en-US"/>
        </w:rPr>
        <w:t>. 3.</w:t>
      </w:r>
    </w:p>
  </w:footnote>
  <w:footnote w:id="27">
    <w:p w14:paraId="603E4011" w14:textId="2F1CD046" w:rsidR="0087730C" w:rsidRPr="00D15B4B" w:rsidRDefault="0087730C" w:rsidP="003C3F3D">
      <w:pPr>
        <w:pStyle w:val="FootnoteText"/>
        <w:ind w:left="720" w:hanging="720"/>
        <w:rPr>
          <w:rFonts w:ascii="Book Antiqua" w:hAnsi="Book Antiqua"/>
        </w:rPr>
      </w:pPr>
      <w:r w:rsidRPr="00D15B4B">
        <w:rPr>
          <w:rStyle w:val="FootnoteReference"/>
          <w:rFonts w:ascii="Book Antiqua" w:hAnsi="Book Antiqua"/>
        </w:rPr>
        <w:footnoteRef/>
      </w:r>
      <w:r w:rsidRPr="00315069">
        <w:rPr>
          <w:rFonts w:ascii="Book Antiqua" w:hAnsi="Book Antiqua"/>
          <w:lang w:val="en-US"/>
        </w:rPr>
        <w:t xml:space="preserve"> </w:t>
      </w:r>
      <w:r w:rsidRPr="00315069">
        <w:rPr>
          <w:rFonts w:ascii="Book Antiqua" w:hAnsi="Book Antiqua"/>
          <w:lang w:val="en-US"/>
        </w:rPr>
        <w:tab/>
      </w:r>
      <w:r w:rsidRPr="00315069">
        <w:rPr>
          <w:rFonts w:ascii="Book Antiqua" w:hAnsi="Book Antiqua"/>
          <w:i/>
          <w:iCs/>
          <w:lang w:val="en-US"/>
        </w:rPr>
        <w:t>Id</w:t>
      </w:r>
      <w:r w:rsidRPr="00315069">
        <w:rPr>
          <w:rFonts w:ascii="Book Antiqua" w:hAnsi="Book Antiqua"/>
          <w:lang w:val="en-US"/>
        </w:rPr>
        <w:t xml:space="preserve">., </w:t>
      </w:r>
      <w:proofErr w:type="spellStart"/>
      <w:r w:rsidRPr="00315069">
        <w:rPr>
          <w:rFonts w:ascii="Book Antiqua" w:hAnsi="Book Antiqua"/>
          <w:lang w:val="en-US"/>
        </w:rPr>
        <w:t>págs</w:t>
      </w:r>
      <w:proofErr w:type="spellEnd"/>
      <w:r w:rsidRPr="00315069">
        <w:rPr>
          <w:rFonts w:ascii="Book Antiqua" w:hAnsi="Book Antiqua"/>
          <w:lang w:val="en-US"/>
        </w:rPr>
        <w:t xml:space="preserve">. </w:t>
      </w:r>
      <w:r w:rsidRPr="00D15B4B">
        <w:rPr>
          <w:rFonts w:ascii="Book Antiqua" w:hAnsi="Book Antiqua"/>
        </w:rPr>
        <w:t xml:space="preserve">2 y 3. </w:t>
      </w:r>
    </w:p>
  </w:footnote>
  <w:footnote w:id="28">
    <w:p w14:paraId="6FF737E5" w14:textId="7AB6A5F6" w:rsidR="000C0ECB" w:rsidRPr="00D15B4B" w:rsidRDefault="000C0ECB" w:rsidP="003C3F3D">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004753A3" w:rsidRPr="00D15B4B">
        <w:rPr>
          <w:rFonts w:ascii="Book Antiqua" w:hAnsi="Book Antiqua"/>
        </w:rPr>
        <w:t xml:space="preserve">Ley Núm. 239-2004, según enmendada, conocida como Ley General de Sociedades Cooperativas de Puerto Rico, 5 LPRA sec. 4381 </w:t>
      </w:r>
      <w:r w:rsidR="004753A3" w:rsidRPr="00D15B4B">
        <w:rPr>
          <w:rFonts w:ascii="Book Antiqua" w:hAnsi="Book Antiqua"/>
          <w:i/>
          <w:iCs/>
        </w:rPr>
        <w:t xml:space="preserve">et </w:t>
      </w:r>
      <w:proofErr w:type="spellStart"/>
      <w:r w:rsidR="004753A3" w:rsidRPr="00D15B4B">
        <w:rPr>
          <w:rFonts w:ascii="Book Antiqua" w:hAnsi="Book Antiqua"/>
          <w:i/>
          <w:iCs/>
        </w:rPr>
        <w:t>seq</w:t>
      </w:r>
      <w:proofErr w:type="spellEnd"/>
      <w:r w:rsidR="004753A3" w:rsidRPr="00D15B4B">
        <w:rPr>
          <w:rFonts w:ascii="Book Antiqua" w:hAnsi="Book Antiqua"/>
        </w:rPr>
        <w:t xml:space="preserve">. </w:t>
      </w:r>
    </w:p>
  </w:footnote>
  <w:footnote w:id="29">
    <w:p w14:paraId="5363DCDF" w14:textId="2B74BA2E" w:rsidR="001F5CAD" w:rsidRPr="00D15B4B" w:rsidRDefault="001F5CAD" w:rsidP="00130571">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t xml:space="preserve">Ley Núm. 402 de 12 de mayo de 1952, según enmendada, </w:t>
      </w:r>
      <w:r w:rsidRPr="00D15B4B">
        <w:rPr>
          <w:rFonts w:ascii="Book Antiqua" w:hAnsi="Book Antiqua"/>
          <w:i/>
          <w:iCs/>
        </w:rPr>
        <w:t>Exposición de Motivos</w:t>
      </w:r>
      <w:r w:rsidRPr="00D15B4B">
        <w:rPr>
          <w:rFonts w:ascii="Book Antiqua" w:hAnsi="Book Antiqua"/>
        </w:rPr>
        <w:t>, 1952 LPR 402, pág. 819.</w:t>
      </w:r>
    </w:p>
  </w:footnote>
  <w:footnote w:id="30">
    <w:p w14:paraId="07E982E3" w14:textId="259F4889" w:rsidR="009722AA" w:rsidRPr="00D15B4B" w:rsidRDefault="009722AA" w:rsidP="00130571">
      <w:pPr>
        <w:pStyle w:val="FootnoteText"/>
        <w:ind w:left="720" w:hanging="720"/>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Pr="00D15B4B">
        <w:rPr>
          <w:rFonts w:ascii="Book Antiqua" w:hAnsi="Book Antiqua"/>
          <w:i/>
          <w:iCs/>
        </w:rPr>
        <w:t>Id</w:t>
      </w:r>
      <w:r w:rsidRPr="00D15B4B">
        <w:rPr>
          <w:rFonts w:ascii="Book Antiqua" w:hAnsi="Book Antiqua"/>
        </w:rPr>
        <w:t xml:space="preserve">., págs. 819-820. </w:t>
      </w:r>
    </w:p>
  </w:footnote>
  <w:footnote w:id="31">
    <w:p w14:paraId="0187B77B" w14:textId="5C1ED001" w:rsidR="004A5647" w:rsidRPr="00D15B4B" w:rsidRDefault="004A5647" w:rsidP="00130571">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0006062E" w:rsidRPr="00D15B4B">
        <w:rPr>
          <w:rFonts w:ascii="Book Antiqua" w:hAnsi="Book Antiqua"/>
        </w:rPr>
        <w:t xml:space="preserve">Art. 2 de la </w:t>
      </w:r>
      <w:r w:rsidRPr="00D15B4B">
        <w:rPr>
          <w:rFonts w:ascii="Book Antiqua" w:hAnsi="Book Antiqua"/>
        </w:rPr>
        <w:t xml:space="preserve">Ley Núm. 402 de 12 de mayo de 1952, </w:t>
      </w:r>
      <w:r w:rsidR="0006062E" w:rsidRPr="00D15B4B">
        <w:rPr>
          <w:rFonts w:ascii="Book Antiqua" w:hAnsi="Book Antiqua"/>
        </w:rPr>
        <w:t>5 LPRA sec. 916.</w:t>
      </w:r>
    </w:p>
  </w:footnote>
  <w:footnote w:id="32">
    <w:p w14:paraId="46394C85" w14:textId="4D79F538" w:rsidR="0006062E" w:rsidRPr="00D15B4B" w:rsidRDefault="0006062E" w:rsidP="00130571">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Pr="00D15B4B">
        <w:rPr>
          <w:rFonts w:ascii="Book Antiqua" w:hAnsi="Book Antiqua"/>
          <w:i/>
          <w:iCs/>
        </w:rPr>
        <w:t>Id</w:t>
      </w:r>
      <w:r w:rsidRPr="00D15B4B">
        <w:rPr>
          <w:rFonts w:ascii="Book Antiqua" w:hAnsi="Book Antiqua"/>
        </w:rPr>
        <w:t>.</w:t>
      </w:r>
    </w:p>
  </w:footnote>
  <w:footnote w:id="33">
    <w:p w14:paraId="7D8AB19C" w14:textId="4C657ABE" w:rsidR="002554B3" w:rsidRPr="00D15B4B" w:rsidRDefault="002554B3" w:rsidP="004B2A29">
      <w:pPr>
        <w:pStyle w:val="FootnoteText"/>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bookmarkStart w:id="1" w:name="_Hlk194395955"/>
      <w:r w:rsidRPr="00D15B4B">
        <w:rPr>
          <w:rFonts w:ascii="Book Antiqua" w:hAnsi="Book Antiqua"/>
        </w:rPr>
        <w:t xml:space="preserve">Ley Núm. 1-2011, </w:t>
      </w:r>
      <w:r w:rsidRPr="00D15B4B">
        <w:rPr>
          <w:rFonts w:ascii="Book Antiqua" w:hAnsi="Book Antiqua"/>
          <w:i/>
          <w:iCs/>
        </w:rPr>
        <w:t>supra</w:t>
      </w:r>
      <w:r w:rsidRPr="00D15B4B">
        <w:rPr>
          <w:rFonts w:ascii="Book Antiqua" w:hAnsi="Book Antiqua"/>
        </w:rPr>
        <w:t xml:space="preserve">, sec. 11.01.01 (7) (A)-(D). </w:t>
      </w:r>
      <w:bookmarkEnd w:id="1"/>
    </w:p>
  </w:footnote>
  <w:footnote w:id="34">
    <w:p w14:paraId="12A9D305" w14:textId="50633A7A" w:rsidR="002554B3" w:rsidRPr="00D15B4B" w:rsidRDefault="002554B3" w:rsidP="004B2A29">
      <w:pPr>
        <w:pStyle w:val="FootnoteText"/>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t xml:space="preserve">Ley Núm. 1-2011, </w:t>
      </w:r>
      <w:r w:rsidRPr="00D15B4B">
        <w:rPr>
          <w:rFonts w:ascii="Book Antiqua" w:hAnsi="Book Antiqua"/>
          <w:i/>
          <w:iCs/>
        </w:rPr>
        <w:t>supra</w:t>
      </w:r>
      <w:r w:rsidRPr="00D15B4B">
        <w:rPr>
          <w:rFonts w:ascii="Book Antiqua" w:hAnsi="Book Antiqua"/>
        </w:rPr>
        <w:t>, sec. 11.01.01 (8)(A).</w:t>
      </w:r>
    </w:p>
  </w:footnote>
  <w:footnote w:id="35">
    <w:p w14:paraId="235629F7" w14:textId="6A8B1CBE" w:rsidR="004B2A29" w:rsidRPr="00D15B4B" w:rsidRDefault="004B2A29" w:rsidP="006823BA">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r>
      <w:r w:rsidRPr="00D15B4B">
        <w:rPr>
          <w:rFonts w:ascii="Book Antiqua" w:hAnsi="Book Antiqua"/>
          <w:lang w:val="es-ES_tradnl"/>
        </w:rPr>
        <w:t xml:space="preserve">Ley 60-2019, según enmendada, conocida como </w:t>
      </w:r>
      <w:r w:rsidRPr="00D15B4B">
        <w:rPr>
          <w:rFonts w:ascii="Book Antiqua" w:hAnsi="Book Antiqua"/>
          <w:i/>
          <w:iCs/>
          <w:lang w:val="es-ES_tradnl"/>
        </w:rPr>
        <w:t>Código de Incentivos de Puerto Rico de 2019</w:t>
      </w:r>
      <w:r w:rsidRPr="00D15B4B">
        <w:rPr>
          <w:rFonts w:ascii="Book Antiqua" w:hAnsi="Book Antiqua"/>
          <w:lang w:val="es-ES_tradnl"/>
        </w:rPr>
        <w:t xml:space="preserve">, </w:t>
      </w:r>
      <w:r w:rsidR="00B71591" w:rsidRPr="00D15B4B">
        <w:rPr>
          <w:rFonts w:ascii="Book Antiqua" w:hAnsi="Book Antiqua"/>
          <w:lang w:val="es-ES_tradnl"/>
        </w:rPr>
        <w:t xml:space="preserve">13 LPRA sec. 45001 </w:t>
      </w:r>
      <w:r w:rsidR="00B71591" w:rsidRPr="00D15B4B">
        <w:rPr>
          <w:rFonts w:ascii="Book Antiqua" w:hAnsi="Book Antiqua"/>
          <w:i/>
          <w:iCs/>
          <w:lang w:val="es-ES_tradnl"/>
        </w:rPr>
        <w:t xml:space="preserve">et </w:t>
      </w:r>
      <w:proofErr w:type="spellStart"/>
      <w:r w:rsidR="00B71591" w:rsidRPr="00D15B4B">
        <w:rPr>
          <w:rFonts w:ascii="Book Antiqua" w:hAnsi="Book Antiqua"/>
          <w:i/>
          <w:iCs/>
          <w:lang w:val="es-ES_tradnl"/>
        </w:rPr>
        <w:t>seq</w:t>
      </w:r>
      <w:proofErr w:type="spellEnd"/>
      <w:r w:rsidR="00B71591" w:rsidRPr="00D15B4B">
        <w:rPr>
          <w:rFonts w:ascii="Book Antiqua" w:hAnsi="Book Antiqua"/>
          <w:lang w:val="es-ES_tradnl"/>
        </w:rPr>
        <w:t>.</w:t>
      </w:r>
    </w:p>
  </w:footnote>
  <w:footnote w:id="36">
    <w:p w14:paraId="4A9697F5" w14:textId="0C0CFD1A" w:rsidR="005C6849" w:rsidRPr="00D15B4B" w:rsidRDefault="005C6849" w:rsidP="006823BA">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t xml:space="preserve">Art. </w:t>
      </w:r>
      <w:proofErr w:type="gramStart"/>
      <w:r w:rsidRPr="00D15B4B">
        <w:rPr>
          <w:rFonts w:ascii="Book Antiqua" w:hAnsi="Book Antiqua"/>
        </w:rPr>
        <w:t>7.131  de</w:t>
      </w:r>
      <w:proofErr w:type="gramEnd"/>
      <w:r w:rsidRPr="00D15B4B">
        <w:rPr>
          <w:rFonts w:ascii="Book Antiqua" w:hAnsi="Book Antiqua"/>
        </w:rPr>
        <w:t xml:space="preserve"> la Ley Núm. 107-2020, según enmendada, conocida como </w:t>
      </w:r>
      <w:r w:rsidRPr="00D15B4B">
        <w:rPr>
          <w:rFonts w:ascii="Book Antiqua" w:hAnsi="Book Antiqua"/>
          <w:i/>
          <w:iCs/>
        </w:rPr>
        <w:t>Código Municipal de Puerto Rico</w:t>
      </w:r>
      <w:r w:rsidRPr="00D15B4B">
        <w:rPr>
          <w:rFonts w:ascii="Book Antiqua" w:hAnsi="Book Antiqua"/>
        </w:rPr>
        <w:t xml:space="preserve">, 21 LPRA sec. 8088. </w:t>
      </w:r>
    </w:p>
  </w:footnote>
  <w:footnote w:id="37">
    <w:p w14:paraId="06C01C5B" w14:textId="6A750A06" w:rsidR="004B2A29" w:rsidRPr="00D15B4B" w:rsidRDefault="004B2A29" w:rsidP="006823BA">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t xml:space="preserve">Art. 7.026(a) (13), (14) y (26) de la Ley Núm. 107-2020, </w:t>
      </w:r>
      <w:r w:rsidRPr="00D15B4B">
        <w:rPr>
          <w:rFonts w:ascii="Book Antiqua" w:hAnsi="Book Antiqua"/>
          <w:i/>
          <w:iCs/>
        </w:rPr>
        <w:t>supra</w:t>
      </w:r>
      <w:r w:rsidRPr="00D15B4B">
        <w:rPr>
          <w:rFonts w:ascii="Book Antiqua" w:hAnsi="Book Antiqua"/>
        </w:rPr>
        <w:t xml:space="preserve">, sec. 21 LPRA sec. 8186(a)(13), (14) y (26). </w:t>
      </w:r>
    </w:p>
  </w:footnote>
  <w:footnote w:id="38">
    <w:p w14:paraId="5F0A29CB" w14:textId="541B7D90" w:rsidR="0087730C" w:rsidRPr="00D15B4B" w:rsidRDefault="0087730C" w:rsidP="006823BA">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t xml:space="preserve">Véase, </w:t>
      </w:r>
      <w:r w:rsidR="004753A3" w:rsidRPr="00D15B4B">
        <w:rPr>
          <w:rFonts w:ascii="Book Antiqua" w:hAnsi="Book Antiqua"/>
        </w:rPr>
        <w:t xml:space="preserve">COSSEC, </w:t>
      </w:r>
      <w:r w:rsidR="004753A3" w:rsidRPr="00D15B4B">
        <w:rPr>
          <w:rFonts w:ascii="Book Antiqua" w:hAnsi="Book Antiqua"/>
          <w:i/>
          <w:iCs/>
        </w:rPr>
        <w:t>Memorial Explicativo sobre el Proyecto de la Cámara 157</w:t>
      </w:r>
      <w:r w:rsidR="004753A3" w:rsidRPr="00D15B4B">
        <w:rPr>
          <w:rFonts w:ascii="Book Antiqua" w:hAnsi="Book Antiqua"/>
        </w:rPr>
        <w:t xml:space="preserve">, </w:t>
      </w:r>
      <w:r w:rsidR="004753A3" w:rsidRPr="00D15B4B">
        <w:rPr>
          <w:rFonts w:ascii="Book Antiqua" w:hAnsi="Book Antiqua"/>
          <w:i/>
          <w:iCs/>
        </w:rPr>
        <w:t>supra</w:t>
      </w:r>
      <w:r w:rsidR="004753A3" w:rsidRPr="00D15B4B">
        <w:rPr>
          <w:rFonts w:ascii="Book Antiqua" w:hAnsi="Book Antiqua"/>
        </w:rPr>
        <w:t xml:space="preserve">, pág. 4; AAFAF, </w:t>
      </w:r>
      <w:r w:rsidR="004753A3" w:rsidRPr="00D15B4B">
        <w:rPr>
          <w:rFonts w:ascii="Book Antiqua" w:hAnsi="Book Antiqua"/>
          <w:i/>
          <w:iCs/>
        </w:rPr>
        <w:t>Re: Memorial Proyecto de la Cámara 157</w:t>
      </w:r>
      <w:r w:rsidR="004753A3" w:rsidRPr="00D15B4B">
        <w:rPr>
          <w:rFonts w:ascii="Book Antiqua" w:hAnsi="Book Antiqua"/>
        </w:rPr>
        <w:t xml:space="preserve">, </w:t>
      </w:r>
      <w:r w:rsidR="004753A3" w:rsidRPr="006823BA">
        <w:rPr>
          <w:rFonts w:ascii="Book Antiqua" w:hAnsi="Book Antiqua"/>
          <w:i/>
          <w:iCs/>
        </w:rPr>
        <w:t>supra</w:t>
      </w:r>
      <w:r w:rsidR="004753A3" w:rsidRPr="00D15B4B">
        <w:rPr>
          <w:rFonts w:ascii="Book Antiqua" w:hAnsi="Book Antiqua"/>
        </w:rPr>
        <w:t xml:space="preserve">, págs. 2 y 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B54F6D"/>
    <w:multiLevelType w:val="hybridMultilevel"/>
    <w:tmpl w:val="95823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4961873">
    <w:abstractNumId w:val="1"/>
  </w:num>
  <w:num w:numId="2" w16cid:durableId="1796752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53B4D"/>
    <w:rsid w:val="00054285"/>
    <w:rsid w:val="0006062E"/>
    <w:rsid w:val="0008631C"/>
    <w:rsid w:val="00087E69"/>
    <w:rsid w:val="000B275E"/>
    <w:rsid w:val="000C0ECB"/>
    <w:rsid w:val="000C5343"/>
    <w:rsid w:val="000F722F"/>
    <w:rsid w:val="00130008"/>
    <w:rsid w:val="00130571"/>
    <w:rsid w:val="0013170B"/>
    <w:rsid w:val="001578CC"/>
    <w:rsid w:val="00184D12"/>
    <w:rsid w:val="001B4EAF"/>
    <w:rsid w:val="001F12B4"/>
    <w:rsid w:val="001F5CAD"/>
    <w:rsid w:val="00236740"/>
    <w:rsid w:val="00254332"/>
    <w:rsid w:val="002554B3"/>
    <w:rsid w:val="002B5A25"/>
    <w:rsid w:val="002B79A3"/>
    <w:rsid w:val="002D3140"/>
    <w:rsid w:val="002D578F"/>
    <w:rsid w:val="0030439D"/>
    <w:rsid w:val="00304481"/>
    <w:rsid w:val="00312586"/>
    <w:rsid w:val="00315069"/>
    <w:rsid w:val="0034567B"/>
    <w:rsid w:val="00352764"/>
    <w:rsid w:val="003C3F3D"/>
    <w:rsid w:val="00440A59"/>
    <w:rsid w:val="00474F8C"/>
    <w:rsid w:val="004753A3"/>
    <w:rsid w:val="00485951"/>
    <w:rsid w:val="00492AE5"/>
    <w:rsid w:val="004A5647"/>
    <w:rsid w:val="004B2A29"/>
    <w:rsid w:val="004E0F19"/>
    <w:rsid w:val="00556A54"/>
    <w:rsid w:val="005940EB"/>
    <w:rsid w:val="00596031"/>
    <w:rsid w:val="005C6849"/>
    <w:rsid w:val="005E11C2"/>
    <w:rsid w:val="00647DED"/>
    <w:rsid w:val="0065251D"/>
    <w:rsid w:val="006548AD"/>
    <w:rsid w:val="00667221"/>
    <w:rsid w:val="006736F9"/>
    <w:rsid w:val="00675DC7"/>
    <w:rsid w:val="006823BA"/>
    <w:rsid w:val="00683501"/>
    <w:rsid w:val="006A781F"/>
    <w:rsid w:val="006F61CA"/>
    <w:rsid w:val="007608D9"/>
    <w:rsid w:val="00797039"/>
    <w:rsid w:val="007A354B"/>
    <w:rsid w:val="007E23F0"/>
    <w:rsid w:val="007F1076"/>
    <w:rsid w:val="008361EB"/>
    <w:rsid w:val="00860EC4"/>
    <w:rsid w:val="0087730C"/>
    <w:rsid w:val="008A4272"/>
    <w:rsid w:val="009722AA"/>
    <w:rsid w:val="009735EC"/>
    <w:rsid w:val="009C5642"/>
    <w:rsid w:val="00A350FB"/>
    <w:rsid w:val="00A4054D"/>
    <w:rsid w:val="00A54AF0"/>
    <w:rsid w:val="00A5783E"/>
    <w:rsid w:val="00A7082D"/>
    <w:rsid w:val="00A931F0"/>
    <w:rsid w:val="00AC29DB"/>
    <w:rsid w:val="00AC2BDF"/>
    <w:rsid w:val="00AD79E9"/>
    <w:rsid w:val="00AF1158"/>
    <w:rsid w:val="00B07592"/>
    <w:rsid w:val="00B71591"/>
    <w:rsid w:val="00C1455B"/>
    <w:rsid w:val="00CA12CB"/>
    <w:rsid w:val="00CA6283"/>
    <w:rsid w:val="00CE4CF6"/>
    <w:rsid w:val="00D11501"/>
    <w:rsid w:val="00D15B4B"/>
    <w:rsid w:val="00D36E37"/>
    <w:rsid w:val="00D8144B"/>
    <w:rsid w:val="00DE1DAF"/>
    <w:rsid w:val="00DF6CF3"/>
    <w:rsid w:val="00E31E91"/>
    <w:rsid w:val="00E449EC"/>
    <w:rsid w:val="00E92C53"/>
    <w:rsid w:val="00E97F9B"/>
    <w:rsid w:val="00EE614E"/>
    <w:rsid w:val="00F06CD1"/>
    <w:rsid w:val="00F1343B"/>
    <w:rsid w:val="00F36C67"/>
    <w:rsid w:val="00F6697F"/>
    <w:rsid w:val="00F751C1"/>
    <w:rsid w:val="00FA73BD"/>
    <w:rsid w:val="00FB5487"/>
    <w:rsid w:val="00FF7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nhideWhenUsed/>
    <w:rsid w:val="00A54AF0"/>
    <w:pPr>
      <w:spacing w:after="0" w:line="240" w:lineRule="auto"/>
    </w:pPr>
    <w:rPr>
      <w:sz w:val="20"/>
      <w:szCs w:val="20"/>
    </w:rPr>
  </w:style>
  <w:style w:type="character" w:customStyle="1" w:styleId="FootnoteTextChar">
    <w:name w:val="Footnote Text Char"/>
    <w:basedOn w:val="DefaultParagraphFont"/>
    <w:link w:val="FootnoteText"/>
    <w:rsid w:val="00A54AF0"/>
    <w:rPr>
      <w:sz w:val="20"/>
      <w:szCs w:val="20"/>
      <w:lang w:val="es-PR"/>
    </w:rPr>
  </w:style>
  <w:style w:type="character" w:styleId="FootnoteReference">
    <w:name w:val="footnote reference"/>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2267</Words>
  <Characters>12926</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2025-05-23T20:52:00Z</cp:lastPrinted>
  <dcterms:created xsi:type="dcterms:W3CDTF">2025-05-27T14:22:00Z</dcterms:created>
  <dcterms:modified xsi:type="dcterms:W3CDTF">2025-05-27T14:22:00Z</dcterms:modified>
</cp:coreProperties>
</file>