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F67BB" w14:textId="77777777" w:rsidR="00BB5059" w:rsidRPr="00CD11F7" w:rsidRDefault="00BB5059" w:rsidP="00BB5059">
      <w:pPr>
        <w:jc w:val="center"/>
        <w:rPr>
          <w:rFonts w:ascii="Book Antiqua" w:hAnsi="Book Antiqua"/>
          <w:color w:val="000000"/>
        </w:rPr>
      </w:pPr>
      <w:r w:rsidRPr="00CD11F7">
        <w:rPr>
          <w:rFonts w:ascii="Book Antiqua" w:hAnsi="Book Antiqua"/>
          <w:b/>
          <w:color w:val="000000"/>
          <w:sz w:val="28"/>
          <w:szCs w:val="28"/>
        </w:rPr>
        <w:t>GOBIERNO DE PUERTO RICO</w:t>
      </w:r>
    </w:p>
    <w:p w14:paraId="6E2B3D48" w14:textId="77777777" w:rsidR="00BB5059" w:rsidRPr="00CD11F7" w:rsidRDefault="00BB5059" w:rsidP="00BB5059">
      <w:pPr>
        <w:pStyle w:val="Title2"/>
        <w:rPr>
          <w:rFonts w:ascii="Book Antiqua" w:hAnsi="Book Antiqua"/>
          <w:color w:val="000000"/>
          <w:sz w:val="24"/>
          <w:lang w:val="es-ES"/>
        </w:rPr>
      </w:pPr>
    </w:p>
    <w:p w14:paraId="0BDAF6E2" w14:textId="77777777" w:rsidR="00BB5059" w:rsidRPr="00CD11F7" w:rsidRDefault="00BB5059" w:rsidP="00BB5059">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ab/>
        <w:t xml:space="preserve">              2</w:t>
      </w:r>
      <w:r>
        <w:rPr>
          <w:rFonts w:ascii="Book Antiqua" w:hAnsi="Book Antiqua"/>
          <w:color w:val="000000"/>
          <w:position w:val="10"/>
          <w:sz w:val="24"/>
          <w:vertAlign w:val="superscript"/>
          <w:lang w:val="es-ES"/>
        </w:rPr>
        <w:t>d</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6A3DFC2A" w14:textId="77777777" w:rsidR="00BB5059" w:rsidRPr="00CD11F7" w:rsidRDefault="00BB5059" w:rsidP="00BB5059">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Pr>
          <w:rFonts w:ascii="Book Antiqua" w:hAnsi="Book Antiqua"/>
          <w:color w:val="000000"/>
          <w:sz w:val="24"/>
          <w:lang w:val="es-ES"/>
        </w:rPr>
        <w:tab/>
        <w:t xml:space="preserve">        </w:t>
      </w:r>
      <w:r w:rsidRPr="00CD11F7">
        <w:rPr>
          <w:rFonts w:ascii="Book Antiqua" w:hAnsi="Book Antiqua"/>
          <w:color w:val="000000"/>
          <w:sz w:val="24"/>
          <w:lang w:val="es-ES"/>
        </w:rPr>
        <w:t xml:space="preserve">Ordinaria </w:t>
      </w:r>
    </w:p>
    <w:p w14:paraId="52350DFC" w14:textId="77777777" w:rsidR="00A019C9" w:rsidRPr="00CD11F7" w:rsidRDefault="00A019C9" w:rsidP="00A019C9">
      <w:pPr>
        <w:jc w:val="center"/>
        <w:rPr>
          <w:rFonts w:ascii="Book Antiqua" w:hAnsi="Book Antiqua"/>
          <w:b/>
          <w:bCs/>
          <w:color w:val="000000"/>
          <w:sz w:val="28"/>
          <w:szCs w:val="28"/>
        </w:rPr>
      </w:pPr>
    </w:p>
    <w:p w14:paraId="586661C6" w14:textId="77777777" w:rsidR="00A019C9" w:rsidRPr="00CD11F7" w:rsidRDefault="00A019C9" w:rsidP="00A019C9">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6AC1D1FA" w14:textId="77777777" w:rsidR="00A019C9" w:rsidRPr="00CD11F7" w:rsidRDefault="00A019C9" w:rsidP="00A019C9">
      <w:pPr>
        <w:jc w:val="center"/>
        <w:rPr>
          <w:rFonts w:ascii="Book Antiqua" w:hAnsi="Book Antiqua"/>
        </w:rPr>
      </w:pPr>
    </w:p>
    <w:p w14:paraId="28A156FD" w14:textId="26D56FCD" w:rsidR="00A019C9" w:rsidRDefault="00A019C9" w:rsidP="00A019C9">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170</w:t>
      </w:r>
      <w:r w:rsidRPr="00CD11F7">
        <w:rPr>
          <w:rFonts w:ascii="Book Antiqua" w:hAnsi="Book Antiqua"/>
          <w:b/>
          <w:sz w:val="52"/>
          <w:szCs w:val="52"/>
        </w:rPr>
        <w:t xml:space="preserve"> </w:t>
      </w:r>
    </w:p>
    <w:p w14:paraId="5B0EF7E4" w14:textId="77777777" w:rsidR="00BB5059" w:rsidRPr="00856EFB" w:rsidRDefault="00BB5059" w:rsidP="00A019C9">
      <w:pPr>
        <w:jc w:val="center"/>
        <w:rPr>
          <w:rFonts w:ascii="Book Antiqua" w:hAnsi="Book Antiqua"/>
          <w:b/>
        </w:rPr>
      </w:pPr>
    </w:p>
    <w:p w14:paraId="5092E25B" w14:textId="77777777" w:rsidR="00A019C9" w:rsidRPr="00DA55FB" w:rsidRDefault="00A019C9" w:rsidP="00BB5059">
      <w:pPr>
        <w:pStyle w:val="Heading1"/>
        <w:spacing w:before="0" w:after="0"/>
        <w:jc w:val="center"/>
        <w:rPr>
          <w:rFonts w:ascii="Book Antiqua" w:hAnsi="Book Antiqua"/>
          <w:color w:val="auto"/>
          <w:sz w:val="28"/>
          <w:szCs w:val="28"/>
        </w:rPr>
      </w:pPr>
      <w:r w:rsidRPr="00DA55FB">
        <w:rPr>
          <w:rFonts w:ascii="Book Antiqua" w:hAnsi="Book Antiqua"/>
          <w:color w:val="auto"/>
          <w:sz w:val="28"/>
          <w:szCs w:val="28"/>
        </w:rPr>
        <w:t>INFORME POSITIVO</w:t>
      </w:r>
    </w:p>
    <w:p w14:paraId="2E028A9C" w14:textId="77777777" w:rsidR="00A019C9" w:rsidRPr="00CD11F7" w:rsidRDefault="00A019C9" w:rsidP="00BB5059">
      <w:pPr>
        <w:contextualSpacing/>
        <w:rPr>
          <w:rFonts w:ascii="Book Antiqua" w:hAnsi="Book Antiqua"/>
          <w:bCs/>
          <w:color w:val="000000"/>
        </w:rPr>
      </w:pPr>
    </w:p>
    <w:p w14:paraId="328C5C70" w14:textId="0FC46879" w:rsidR="00A019C9" w:rsidRPr="00CD11F7" w:rsidRDefault="00E37019" w:rsidP="00BB5059">
      <w:pPr>
        <w:contextualSpacing/>
        <w:jc w:val="center"/>
        <w:rPr>
          <w:rFonts w:ascii="Book Antiqua" w:hAnsi="Book Antiqua"/>
          <w:color w:val="000000"/>
        </w:rPr>
      </w:pPr>
      <w:r>
        <w:rPr>
          <w:rFonts w:ascii="Book Antiqua" w:hAnsi="Book Antiqua"/>
          <w:bCs/>
          <w:color w:val="000000"/>
        </w:rPr>
        <w:t>15</w:t>
      </w:r>
      <w:r w:rsidR="00A019C9" w:rsidRPr="00CD11F7">
        <w:rPr>
          <w:rFonts w:ascii="Book Antiqua" w:hAnsi="Book Antiqua"/>
          <w:bCs/>
          <w:color w:val="000000"/>
        </w:rPr>
        <w:t xml:space="preserve"> </w:t>
      </w:r>
      <w:r w:rsidR="00A019C9">
        <w:rPr>
          <w:rFonts w:ascii="Book Antiqua" w:hAnsi="Book Antiqua"/>
          <w:bCs/>
          <w:color w:val="000000"/>
        </w:rPr>
        <w:t>de septiembre de 2025</w:t>
      </w:r>
    </w:p>
    <w:p w14:paraId="4DC2FF64" w14:textId="77777777" w:rsidR="00A019C9" w:rsidRDefault="00A019C9" w:rsidP="00BB5059">
      <w:pPr>
        <w:contextualSpacing/>
        <w:rPr>
          <w:rFonts w:ascii="Book Antiqua" w:hAnsi="Book Antiqua"/>
          <w:color w:val="000000"/>
        </w:rPr>
      </w:pPr>
    </w:p>
    <w:p w14:paraId="4CCC7CD7" w14:textId="77777777" w:rsidR="00A019C9" w:rsidRPr="00CD11F7" w:rsidRDefault="00A019C9" w:rsidP="00BB5059">
      <w:pPr>
        <w:contextualSpacing/>
        <w:rPr>
          <w:rFonts w:ascii="Book Antiqua" w:hAnsi="Book Antiqua"/>
          <w:color w:val="000000"/>
        </w:rPr>
      </w:pPr>
    </w:p>
    <w:p w14:paraId="5BDE11F4" w14:textId="77777777" w:rsidR="00A019C9" w:rsidRPr="00FA737F" w:rsidRDefault="00A019C9" w:rsidP="00BB5059">
      <w:pPr>
        <w:contextualSpacing/>
        <w:rPr>
          <w:rFonts w:ascii="Book Antiqua" w:hAnsi="Book Antiqua"/>
          <w:b/>
          <w:bCs/>
        </w:rPr>
      </w:pPr>
      <w:r w:rsidRPr="00FA737F">
        <w:rPr>
          <w:rFonts w:ascii="Book Antiqua" w:hAnsi="Book Antiqua"/>
          <w:b/>
          <w:bCs/>
        </w:rPr>
        <w:t>A LA CÁMARA DE REPRESENTANTES DE PUERTO RICO:</w:t>
      </w:r>
    </w:p>
    <w:p w14:paraId="7163B346" w14:textId="77777777" w:rsidR="00A019C9" w:rsidRPr="00FA737F" w:rsidRDefault="00A019C9" w:rsidP="00BB5059">
      <w:pPr>
        <w:contextualSpacing/>
        <w:rPr>
          <w:rFonts w:ascii="Book Antiqua" w:hAnsi="Book Antiqua"/>
          <w:b/>
          <w:bCs/>
        </w:rPr>
      </w:pPr>
    </w:p>
    <w:p w14:paraId="6FA351B9" w14:textId="77777777" w:rsidR="00A450D5" w:rsidRDefault="00A450D5" w:rsidP="00BB5059">
      <w:pPr>
        <w:ind w:firstLine="720"/>
        <w:contextualSpacing/>
        <w:jc w:val="both"/>
        <w:rPr>
          <w:rFonts w:ascii="Book Antiqua" w:hAnsi="Book Antiqua"/>
        </w:rPr>
      </w:pPr>
      <w:r w:rsidRPr="00A450D5">
        <w:rPr>
          <w:rFonts w:ascii="Book Antiqua" w:hAnsi="Book Antiqua"/>
        </w:rPr>
        <w:t>La Comisión de Gobierno de la Cámara de Representantes, tras un estudio y análisis del Proyecto de la Cámara 170, recomienda a este Honorable Cuerpo la aprobación de esta pieza legislativa, con las enmiendas contenidas en el entirillado que se acompaña.</w:t>
      </w:r>
      <w:r>
        <w:rPr>
          <w:rFonts w:ascii="Book Antiqua" w:hAnsi="Book Antiqua"/>
        </w:rPr>
        <w:t xml:space="preserve"> </w:t>
      </w:r>
    </w:p>
    <w:p w14:paraId="1FACC0F6" w14:textId="77777777" w:rsidR="00A019C9" w:rsidRPr="00FA737F" w:rsidRDefault="00A019C9" w:rsidP="00BB5059">
      <w:pPr>
        <w:contextualSpacing/>
        <w:jc w:val="both"/>
        <w:rPr>
          <w:rFonts w:ascii="Book Antiqua" w:hAnsi="Book Antiqua"/>
        </w:rPr>
      </w:pPr>
    </w:p>
    <w:p w14:paraId="4173641A" w14:textId="77777777" w:rsidR="00A019C9" w:rsidRPr="00FA737F" w:rsidRDefault="00A019C9" w:rsidP="00BB5059">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02D3FEE8" w14:textId="77777777" w:rsidR="00A019C9" w:rsidRPr="00FA737F" w:rsidRDefault="00A019C9" w:rsidP="00BB5059">
      <w:pPr>
        <w:contextualSpacing/>
        <w:jc w:val="both"/>
        <w:rPr>
          <w:rFonts w:ascii="Book Antiqua" w:hAnsi="Book Antiqua"/>
          <w:b/>
          <w:bCs/>
          <w:lang w:eastAsia="x-none"/>
        </w:rPr>
      </w:pPr>
    </w:p>
    <w:p w14:paraId="19E6CC5F" w14:textId="45857E4B" w:rsidR="00A019C9" w:rsidRPr="00AE57F6" w:rsidRDefault="00A019C9" w:rsidP="00BB5059">
      <w:pPr>
        <w:ind w:firstLine="720"/>
        <w:contextualSpacing/>
        <w:jc w:val="both"/>
        <w:rPr>
          <w:rFonts w:ascii="Book Antiqua" w:hAnsi="Book Antiqua"/>
          <w:lang w:eastAsia="x-none"/>
        </w:rPr>
      </w:pPr>
      <w:r w:rsidRPr="00FA737F">
        <w:rPr>
          <w:rFonts w:ascii="Book Antiqua" w:hAnsi="Book Antiqua"/>
          <w:lang w:eastAsia="x-none"/>
        </w:rPr>
        <w:t xml:space="preserve">El Proyecto de la Cámara </w:t>
      </w:r>
      <w:r>
        <w:rPr>
          <w:rFonts w:ascii="Book Antiqua" w:hAnsi="Book Antiqua"/>
          <w:lang w:eastAsia="x-none"/>
        </w:rPr>
        <w:t>170</w:t>
      </w:r>
      <w:r w:rsidRPr="00FA737F">
        <w:rPr>
          <w:rFonts w:ascii="Book Antiqua" w:hAnsi="Book Antiqua"/>
          <w:lang w:eastAsia="x-none"/>
        </w:rPr>
        <w:t xml:space="preserve"> tiene como propósito</w:t>
      </w:r>
      <w:r>
        <w:rPr>
          <w:rFonts w:ascii="Book Antiqua" w:hAnsi="Book Antiqua"/>
          <w:lang w:eastAsia="x-none"/>
        </w:rPr>
        <w:t xml:space="preserve"> </w:t>
      </w:r>
      <w:r w:rsidR="00AE57F6" w:rsidRPr="00AE57F6">
        <w:rPr>
          <w:rFonts w:ascii="Book Antiqua" w:hAnsi="Book Antiqua"/>
          <w:lang w:eastAsia="x-none"/>
        </w:rPr>
        <w:t xml:space="preserve">declarar el 24 de junio de cada año </w:t>
      </w:r>
      <w:r w:rsidR="000E02B7">
        <w:rPr>
          <w:rFonts w:ascii="Book Antiqua" w:hAnsi="Book Antiqua"/>
          <w:lang w:eastAsia="x-none"/>
        </w:rPr>
        <w:t>como “</w:t>
      </w:r>
      <w:r w:rsidR="00AE57F6" w:rsidRPr="00AE57F6">
        <w:rPr>
          <w:rFonts w:ascii="Book Antiqua" w:hAnsi="Book Antiqua"/>
          <w:lang w:eastAsia="x-none"/>
        </w:rPr>
        <w:t>Día de la Dignidad de la Vida Humana</w:t>
      </w:r>
      <w:r w:rsidR="000E02B7">
        <w:rPr>
          <w:rFonts w:ascii="Book Antiqua" w:hAnsi="Book Antiqua"/>
          <w:lang w:eastAsia="x-none"/>
        </w:rPr>
        <w:t>”</w:t>
      </w:r>
      <w:r w:rsidR="00AE57F6" w:rsidRPr="00AE57F6">
        <w:rPr>
          <w:rFonts w:ascii="Book Antiqua" w:hAnsi="Book Antiqua"/>
          <w:lang w:eastAsia="x-none"/>
        </w:rPr>
        <w:t xml:space="preserve"> en el Gobierno de Puerto Rico</w:t>
      </w:r>
      <w:r w:rsidR="00AE57F6">
        <w:rPr>
          <w:rFonts w:ascii="Book Antiqua" w:hAnsi="Book Antiqua"/>
          <w:lang w:eastAsia="x-none"/>
        </w:rPr>
        <w:t>.</w:t>
      </w:r>
    </w:p>
    <w:p w14:paraId="463B13EF" w14:textId="77777777" w:rsidR="00A019C9" w:rsidRDefault="00A019C9" w:rsidP="00BB5059">
      <w:pPr>
        <w:contextualSpacing/>
        <w:jc w:val="center"/>
        <w:rPr>
          <w:rFonts w:ascii="Book Antiqua" w:hAnsi="Book Antiqua"/>
          <w:b/>
          <w:bCs/>
        </w:rPr>
      </w:pPr>
    </w:p>
    <w:p w14:paraId="637883E0" w14:textId="77777777" w:rsidR="00A019C9" w:rsidRPr="00FB12B3" w:rsidRDefault="00A019C9" w:rsidP="00BB5059">
      <w:pPr>
        <w:contextualSpacing/>
        <w:jc w:val="center"/>
        <w:rPr>
          <w:rFonts w:ascii="Book Antiqua" w:hAnsi="Book Antiqua"/>
          <w:b/>
          <w:bCs/>
        </w:rPr>
      </w:pPr>
      <w:r w:rsidRPr="00FB12B3">
        <w:rPr>
          <w:rFonts w:ascii="Book Antiqua" w:hAnsi="Book Antiqua"/>
          <w:b/>
          <w:bCs/>
        </w:rPr>
        <w:t>INTRODUCCIÓN</w:t>
      </w:r>
    </w:p>
    <w:p w14:paraId="6107A3D2" w14:textId="77777777" w:rsidR="006D57D4" w:rsidRPr="007842EE" w:rsidRDefault="006D57D4" w:rsidP="00BB5059">
      <w:pPr>
        <w:contextualSpacing/>
        <w:jc w:val="both"/>
        <w:rPr>
          <w:rFonts w:ascii="Book Antiqua" w:hAnsi="Book Antiqua"/>
        </w:rPr>
      </w:pPr>
    </w:p>
    <w:p w14:paraId="3382BDE4" w14:textId="77777777" w:rsidR="00FB12B3" w:rsidRPr="00FB12B3" w:rsidRDefault="00FB12B3" w:rsidP="00BB5059">
      <w:pPr>
        <w:ind w:firstLine="708"/>
        <w:contextualSpacing/>
        <w:jc w:val="both"/>
        <w:rPr>
          <w:rFonts w:ascii="Book Antiqua" w:hAnsi="Book Antiqua"/>
        </w:rPr>
      </w:pPr>
      <w:r w:rsidRPr="00FB12B3">
        <w:rPr>
          <w:rFonts w:ascii="Book Antiqua" w:hAnsi="Book Antiqua"/>
        </w:rPr>
        <w:t>La Comisión de Gobierno, tras un detenido análisis del Proyecto de la Cámara 170, reconoce la pertinencia y el valor de la medida propuesta. La misma persigue instituir en el ordenamiento jurídico de Puerto Rico un marco legislativo que reafirma que la vida constituye el derecho fundamental del cual emanan todos los demás derechos. Esta legislación, sustentada en los principios consagrados en la Carta de Derechos de nuestra Constitución, tiene como objetivo fortalecer una cultura de respeto y protección a la vida humana desde la fecundación hasta la vejez, como expresión de los valores esenciales de nuestro pueblo.</w:t>
      </w:r>
    </w:p>
    <w:p w14:paraId="49DA3D5A" w14:textId="77777777" w:rsidR="00C61D60" w:rsidRDefault="00C61D60" w:rsidP="00BB5059">
      <w:pPr>
        <w:ind w:firstLine="708"/>
        <w:contextualSpacing/>
        <w:jc w:val="both"/>
        <w:rPr>
          <w:rFonts w:ascii="Book Antiqua" w:hAnsi="Book Antiqua"/>
        </w:rPr>
      </w:pPr>
    </w:p>
    <w:p w14:paraId="39BB9BE9" w14:textId="14FD05F5" w:rsidR="00FB12B3" w:rsidRPr="00FB12B3" w:rsidRDefault="00FB12B3" w:rsidP="00BB5059">
      <w:pPr>
        <w:ind w:firstLine="708"/>
        <w:contextualSpacing/>
        <w:jc w:val="both"/>
        <w:rPr>
          <w:rFonts w:ascii="Book Antiqua" w:hAnsi="Book Antiqua"/>
        </w:rPr>
      </w:pPr>
      <w:r w:rsidRPr="00FB12B3">
        <w:rPr>
          <w:rFonts w:ascii="Book Antiqua" w:hAnsi="Book Antiqua"/>
        </w:rPr>
        <w:t xml:space="preserve">Asimismo, la medida fomenta la coordinación entre las agencias gubernamentales, el sector privado y la sociedad civil para educar y concienciar sobre la importancia de salvaguardar la vida frente a los distintos retos sociales, tales como la violencia, la drogodependencia y los problemas de salud mental. De este modo, se busca que cada 24 </w:t>
      </w:r>
      <w:r w:rsidRPr="00FB12B3">
        <w:rPr>
          <w:rFonts w:ascii="Book Antiqua" w:hAnsi="Book Antiqua"/>
        </w:rPr>
        <w:lastRenderedPageBreak/>
        <w:t>de junio sirva como recordatorio colectivo de la dignidad inherente de todo ser humano y de la obligación del Estado y de la ciudadanía de velar por su protección.</w:t>
      </w:r>
    </w:p>
    <w:p w14:paraId="0F1E1639" w14:textId="77777777" w:rsidR="00A019C9" w:rsidRDefault="00A019C9" w:rsidP="00BB5059">
      <w:pPr>
        <w:contextualSpacing/>
        <w:rPr>
          <w:rFonts w:ascii="Book Antiqua" w:hAnsi="Book Antiqua"/>
          <w:b/>
        </w:rPr>
      </w:pPr>
    </w:p>
    <w:p w14:paraId="1047300C" w14:textId="77777777" w:rsidR="00A019C9" w:rsidRDefault="00A019C9" w:rsidP="00BB5059">
      <w:pPr>
        <w:contextualSpacing/>
        <w:jc w:val="center"/>
        <w:rPr>
          <w:rFonts w:ascii="Book Antiqua" w:hAnsi="Book Antiqua"/>
          <w:b/>
        </w:rPr>
      </w:pPr>
      <w:r w:rsidRPr="000601A8">
        <w:rPr>
          <w:rFonts w:ascii="Book Antiqua" w:hAnsi="Book Antiqua"/>
          <w:b/>
        </w:rPr>
        <w:t>ANÁLISIS DE LA MEDIDA</w:t>
      </w:r>
    </w:p>
    <w:p w14:paraId="45C7B13F" w14:textId="77777777" w:rsidR="00075F16" w:rsidRDefault="00075F16" w:rsidP="00BB5059">
      <w:pPr>
        <w:contextualSpacing/>
        <w:jc w:val="center"/>
        <w:rPr>
          <w:rFonts w:ascii="Book Antiqua" w:hAnsi="Book Antiqua"/>
          <w:b/>
        </w:rPr>
      </w:pPr>
    </w:p>
    <w:p w14:paraId="0A1BB092" w14:textId="7492B2CB" w:rsidR="00075F16" w:rsidRPr="00075F16" w:rsidRDefault="00075F16" w:rsidP="00BB5059">
      <w:pPr>
        <w:ind w:firstLine="708"/>
        <w:contextualSpacing/>
        <w:jc w:val="both"/>
        <w:rPr>
          <w:rFonts w:ascii="Book Antiqua" w:hAnsi="Book Antiqua"/>
          <w:bCs/>
        </w:rPr>
      </w:pPr>
      <w:r w:rsidRPr="00075F16">
        <w:rPr>
          <w:rFonts w:ascii="Book Antiqua" w:hAnsi="Book Antiqua"/>
          <w:bCs/>
        </w:rPr>
        <w:t>Como parte del análisis de esta medida, se consideraron los memoriales explicativos presentados por las agencias concernidas, las cuales, en su mayoría, avalaron la aprobación del Proyecto de la Cámara 170.</w:t>
      </w:r>
      <w:r>
        <w:rPr>
          <w:rFonts w:ascii="Book Antiqua" w:hAnsi="Book Antiqua"/>
          <w:bCs/>
        </w:rPr>
        <w:t xml:space="preserve">  </w:t>
      </w:r>
      <w:r w:rsidRPr="00075F16">
        <w:rPr>
          <w:rFonts w:ascii="Book Antiqua" w:hAnsi="Book Antiqua"/>
          <w:bCs/>
        </w:rPr>
        <w:t>A continuación, se detallan sus respectivas posturas:</w:t>
      </w:r>
    </w:p>
    <w:p w14:paraId="160AFDB3" w14:textId="77777777" w:rsidR="00A019C9" w:rsidRDefault="00A019C9" w:rsidP="00BB5059">
      <w:pPr>
        <w:ind w:firstLine="720"/>
        <w:contextualSpacing/>
        <w:jc w:val="both"/>
        <w:rPr>
          <w:rFonts w:ascii="Book Antiqua" w:hAnsi="Book Antiqua"/>
        </w:rPr>
      </w:pPr>
    </w:p>
    <w:p w14:paraId="000B863A" w14:textId="6A5EB076" w:rsid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t>Departamento de Estado</w:t>
      </w:r>
    </w:p>
    <w:p w14:paraId="7CBC66B6" w14:textId="77777777" w:rsidR="00C61D60" w:rsidRDefault="00C61D60" w:rsidP="00BB5059">
      <w:pPr>
        <w:ind w:firstLine="708"/>
        <w:contextualSpacing/>
        <w:jc w:val="both"/>
        <w:rPr>
          <w:rFonts w:ascii="Book Antiqua" w:eastAsiaTheme="majorEastAsia" w:hAnsi="Book Antiqua"/>
        </w:rPr>
      </w:pPr>
    </w:p>
    <w:p w14:paraId="79D3FCD0" w14:textId="54708C1F" w:rsidR="008462BA" w:rsidRPr="008462BA" w:rsidRDefault="008462BA" w:rsidP="00BB5059">
      <w:pPr>
        <w:ind w:firstLine="708"/>
        <w:contextualSpacing/>
        <w:jc w:val="both"/>
        <w:rPr>
          <w:rFonts w:ascii="Book Antiqua" w:eastAsiaTheme="majorEastAsia" w:hAnsi="Book Antiqua"/>
          <w:b/>
          <w:bCs/>
        </w:rPr>
      </w:pPr>
      <w:r w:rsidRPr="008462BA">
        <w:rPr>
          <w:rFonts w:ascii="Book Antiqua" w:eastAsiaTheme="majorEastAsia" w:hAnsi="Book Antiqua"/>
        </w:rPr>
        <w:t>El Departamento de Estado expresó que, de convertirse en ley la medida, conmemorará el día conforme lo dispuesto.</w:t>
      </w:r>
    </w:p>
    <w:p w14:paraId="1402636B" w14:textId="77777777" w:rsidR="00C61D60" w:rsidRDefault="00C61D60" w:rsidP="00BB5059">
      <w:pPr>
        <w:contextualSpacing/>
        <w:jc w:val="center"/>
        <w:rPr>
          <w:rFonts w:ascii="Book Antiqua" w:eastAsiaTheme="majorEastAsia" w:hAnsi="Book Antiqua"/>
          <w:b/>
          <w:bCs/>
        </w:rPr>
      </w:pPr>
    </w:p>
    <w:p w14:paraId="207D7BC8" w14:textId="62BD5212" w:rsidR="008462BA" w:rsidRP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t>Oficina del Procurador de las Personas de Edad Avanzad</w:t>
      </w:r>
      <w:r>
        <w:rPr>
          <w:rFonts w:ascii="Book Antiqua" w:eastAsiaTheme="majorEastAsia" w:hAnsi="Book Antiqua"/>
          <w:b/>
          <w:bCs/>
        </w:rPr>
        <w:t>a</w:t>
      </w:r>
    </w:p>
    <w:p w14:paraId="10AAF503" w14:textId="77777777" w:rsidR="00C61D60" w:rsidRDefault="00C61D60" w:rsidP="00BB5059">
      <w:pPr>
        <w:ind w:firstLine="708"/>
        <w:contextualSpacing/>
        <w:jc w:val="both"/>
        <w:rPr>
          <w:rFonts w:ascii="Book Antiqua" w:eastAsiaTheme="majorEastAsia" w:hAnsi="Book Antiqua"/>
        </w:rPr>
      </w:pPr>
    </w:p>
    <w:p w14:paraId="5496BD62" w14:textId="3AACC268" w:rsidR="008462BA" w:rsidRPr="008462BA" w:rsidRDefault="008462BA" w:rsidP="00BB5059">
      <w:pPr>
        <w:ind w:firstLine="708"/>
        <w:contextualSpacing/>
        <w:jc w:val="both"/>
        <w:rPr>
          <w:rFonts w:ascii="Book Antiqua" w:eastAsiaTheme="majorEastAsia" w:hAnsi="Book Antiqua"/>
        </w:rPr>
      </w:pPr>
      <w:r w:rsidRPr="008462BA">
        <w:rPr>
          <w:rFonts w:ascii="Book Antiqua" w:eastAsiaTheme="majorEastAsia" w:hAnsi="Book Antiqua"/>
        </w:rPr>
        <w:t>La Oficina avaló el Proyecto de la Cámara 170 al considerar que su propósito es concientizar sobre la importancia de valorar la vida en todas sus etapas. Resaltó, además, la conveniencia de establecer un día específico para reconocer que la vida es garante de todos los demás derechos y fomentar esfuerzos públicos y privados en torno a este principio.</w:t>
      </w:r>
    </w:p>
    <w:p w14:paraId="50208380" w14:textId="77777777" w:rsid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t>Oficina de la Procuradora de las Mujeres</w:t>
      </w:r>
    </w:p>
    <w:p w14:paraId="627E3B8B" w14:textId="77777777" w:rsidR="00CD03C0" w:rsidRDefault="00CD03C0" w:rsidP="00BB5059">
      <w:pPr>
        <w:ind w:firstLine="708"/>
        <w:contextualSpacing/>
        <w:jc w:val="both"/>
        <w:rPr>
          <w:rFonts w:ascii="Book Antiqua" w:eastAsiaTheme="majorEastAsia" w:hAnsi="Book Antiqua"/>
        </w:rPr>
      </w:pPr>
    </w:p>
    <w:p w14:paraId="35EC4254" w14:textId="1C256AC8" w:rsidR="008462BA" w:rsidRDefault="008462BA" w:rsidP="00BB5059">
      <w:pPr>
        <w:ind w:firstLine="708"/>
        <w:contextualSpacing/>
        <w:jc w:val="both"/>
        <w:rPr>
          <w:rFonts w:ascii="Book Antiqua" w:eastAsiaTheme="majorEastAsia" w:hAnsi="Book Antiqua"/>
        </w:rPr>
      </w:pPr>
      <w:r w:rsidRPr="008462BA">
        <w:rPr>
          <w:rFonts w:ascii="Book Antiqua" w:eastAsiaTheme="majorEastAsia" w:hAnsi="Book Antiqua"/>
        </w:rPr>
        <w:t>La Procuradora de las Mujeres expresó que, de aprobarse el proyecto de ley, acatará el mandato legislativo. Destacó que la medida es cónsona con sus deberes y facultades de concientizar sobre asuntos que atañen a la vida de las mujeres.</w:t>
      </w:r>
    </w:p>
    <w:p w14:paraId="038FEA00" w14:textId="77777777" w:rsidR="00CD03C0" w:rsidRPr="008462BA" w:rsidRDefault="00CD03C0" w:rsidP="00BB5059">
      <w:pPr>
        <w:ind w:firstLine="708"/>
        <w:contextualSpacing/>
        <w:jc w:val="both"/>
        <w:rPr>
          <w:rFonts w:ascii="Book Antiqua" w:eastAsiaTheme="majorEastAsia" w:hAnsi="Book Antiqua"/>
        </w:rPr>
      </w:pPr>
    </w:p>
    <w:p w14:paraId="76BE7122" w14:textId="77777777" w:rsid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t>Defensoría de las Personas con Impedimentos</w:t>
      </w:r>
      <w:r w:rsidRPr="008462BA">
        <w:rPr>
          <w:rFonts w:ascii="Book Antiqua" w:eastAsiaTheme="majorEastAsia" w:hAnsi="Book Antiqua"/>
          <w:b/>
          <w:bCs/>
        </w:rPr>
        <w:br/>
      </w:r>
    </w:p>
    <w:p w14:paraId="43B94F4E" w14:textId="59F06779" w:rsidR="008462BA" w:rsidRPr="008462BA" w:rsidRDefault="008462BA" w:rsidP="00BB5059">
      <w:pPr>
        <w:ind w:firstLine="708"/>
        <w:contextualSpacing/>
        <w:jc w:val="both"/>
        <w:rPr>
          <w:rFonts w:ascii="Book Antiqua" w:eastAsiaTheme="majorEastAsia" w:hAnsi="Book Antiqua"/>
          <w:b/>
          <w:bCs/>
        </w:rPr>
      </w:pPr>
      <w:r w:rsidRPr="008462BA">
        <w:rPr>
          <w:rFonts w:ascii="Book Antiqua" w:eastAsiaTheme="majorEastAsia" w:hAnsi="Book Antiqua"/>
        </w:rPr>
        <w:t>La Defensoría agradeció la oportunidad de comparecer al proceso legislativo, pero indicó que, por falta de peritaje en la materia, se ve limitada en su aportación.</w:t>
      </w:r>
    </w:p>
    <w:p w14:paraId="078D63EB" w14:textId="77777777" w:rsidR="008462BA" w:rsidRDefault="008462BA" w:rsidP="00BB5059">
      <w:pPr>
        <w:contextualSpacing/>
        <w:jc w:val="center"/>
        <w:rPr>
          <w:rFonts w:ascii="Book Antiqua" w:eastAsiaTheme="majorEastAsia" w:hAnsi="Book Antiqua"/>
          <w:b/>
          <w:bCs/>
        </w:rPr>
      </w:pPr>
    </w:p>
    <w:p w14:paraId="4360F3F5" w14:textId="54597940" w:rsidR="008462BA" w:rsidRP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t>Departamento de la Familia</w:t>
      </w:r>
      <w:r w:rsidRPr="008462BA">
        <w:rPr>
          <w:rFonts w:ascii="Book Antiqua" w:eastAsiaTheme="majorEastAsia" w:hAnsi="Book Antiqua"/>
          <w:b/>
          <w:bCs/>
        </w:rPr>
        <w:br/>
      </w:r>
    </w:p>
    <w:p w14:paraId="3724456B" w14:textId="03071FF0" w:rsidR="008462BA" w:rsidRDefault="008462BA" w:rsidP="00BB5059">
      <w:pPr>
        <w:ind w:firstLine="708"/>
        <w:contextualSpacing/>
        <w:jc w:val="both"/>
        <w:rPr>
          <w:rFonts w:ascii="Book Antiqua" w:eastAsiaTheme="majorEastAsia" w:hAnsi="Book Antiqua"/>
        </w:rPr>
      </w:pPr>
      <w:r w:rsidRPr="008462BA">
        <w:rPr>
          <w:rFonts w:ascii="Book Antiqua" w:eastAsiaTheme="majorEastAsia" w:hAnsi="Book Antiqua"/>
        </w:rPr>
        <w:t>El Departamento de la Familia manifestó su apoyo a toda iniciativa que busque mejorar la calidad de vida de las familias en Puerto Rico, comprometiéndose a continuar su labor de facilitar servicios de excelencia en beneficio de la niñez, la juventud, los adultos y las comunidades del país.</w:t>
      </w:r>
    </w:p>
    <w:p w14:paraId="29E69067" w14:textId="77777777" w:rsidR="00CD03C0" w:rsidRDefault="00CD03C0" w:rsidP="00BB5059">
      <w:pPr>
        <w:ind w:firstLine="708"/>
        <w:contextualSpacing/>
        <w:jc w:val="both"/>
        <w:rPr>
          <w:rFonts w:ascii="Book Antiqua" w:eastAsiaTheme="majorEastAsia" w:hAnsi="Book Antiqua"/>
        </w:rPr>
      </w:pPr>
    </w:p>
    <w:p w14:paraId="67A4CBB4" w14:textId="77777777" w:rsidR="000C1007" w:rsidRDefault="000C1007" w:rsidP="00BB5059">
      <w:pPr>
        <w:ind w:firstLine="708"/>
        <w:contextualSpacing/>
        <w:jc w:val="both"/>
        <w:rPr>
          <w:rFonts w:ascii="Book Antiqua" w:eastAsiaTheme="majorEastAsia" w:hAnsi="Book Antiqua"/>
        </w:rPr>
      </w:pPr>
    </w:p>
    <w:p w14:paraId="664637DF" w14:textId="77777777" w:rsidR="000C1007" w:rsidRPr="008462BA" w:rsidRDefault="000C1007" w:rsidP="00BB5059">
      <w:pPr>
        <w:ind w:firstLine="708"/>
        <w:contextualSpacing/>
        <w:jc w:val="both"/>
        <w:rPr>
          <w:rFonts w:ascii="Book Antiqua" w:eastAsiaTheme="majorEastAsia" w:hAnsi="Book Antiqua"/>
        </w:rPr>
      </w:pPr>
    </w:p>
    <w:p w14:paraId="54C40F86" w14:textId="77777777" w:rsidR="008462BA" w:rsidRDefault="008462BA" w:rsidP="00BB5059">
      <w:pPr>
        <w:contextualSpacing/>
        <w:jc w:val="center"/>
        <w:rPr>
          <w:rFonts w:ascii="Book Antiqua" w:eastAsiaTheme="majorEastAsia" w:hAnsi="Book Antiqua"/>
          <w:b/>
          <w:bCs/>
        </w:rPr>
      </w:pPr>
      <w:r w:rsidRPr="008462BA">
        <w:rPr>
          <w:rFonts w:ascii="Book Antiqua" w:eastAsiaTheme="majorEastAsia" w:hAnsi="Book Antiqua"/>
          <w:b/>
          <w:bCs/>
        </w:rPr>
        <w:lastRenderedPageBreak/>
        <w:t>Administración de Seguros de Salud (ASES)</w:t>
      </w:r>
      <w:r w:rsidRPr="008462BA">
        <w:rPr>
          <w:rFonts w:ascii="Book Antiqua" w:eastAsiaTheme="majorEastAsia" w:hAnsi="Book Antiqua"/>
          <w:b/>
          <w:bCs/>
        </w:rPr>
        <w:br/>
      </w:r>
    </w:p>
    <w:p w14:paraId="15D137E0" w14:textId="27C5BB30" w:rsidR="008462BA" w:rsidRDefault="008462BA" w:rsidP="00BB5059">
      <w:pPr>
        <w:ind w:firstLine="708"/>
        <w:contextualSpacing/>
        <w:jc w:val="both"/>
        <w:rPr>
          <w:rFonts w:ascii="Book Antiqua" w:eastAsiaTheme="majorEastAsia" w:hAnsi="Book Antiqua"/>
          <w:b/>
          <w:bCs/>
        </w:rPr>
      </w:pPr>
      <w:r w:rsidRPr="008462BA">
        <w:rPr>
          <w:rFonts w:ascii="Book Antiqua" w:eastAsiaTheme="majorEastAsia" w:hAnsi="Book Antiqua"/>
        </w:rPr>
        <w:t>ASES indicó que el contenido del Proyecto de la Cámara 170 no guarda relación directa con las facultades conferidas por su ley habilitadora, por lo cual no se expresó sobre la medida.</w:t>
      </w:r>
    </w:p>
    <w:p w14:paraId="322BF173" w14:textId="77777777" w:rsidR="00CD03C0" w:rsidRDefault="00CD03C0" w:rsidP="00BB5059">
      <w:pPr>
        <w:contextualSpacing/>
        <w:jc w:val="center"/>
        <w:rPr>
          <w:rFonts w:ascii="Book Antiqua" w:eastAsiaTheme="majorEastAsia" w:hAnsi="Book Antiqua"/>
          <w:b/>
          <w:bCs/>
        </w:rPr>
      </w:pPr>
    </w:p>
    <w:p w14:paraId="648DA536" w14:textId="0D3E82C8" w:rsidR="00AE6839" w:rsidRPr="00FE2312" w:rsidRDefault="00AE6839" w:rsidP="00BB5059">
      <w:pPr>
        <w:contextualSpacing/>
        <w:jc w:val="center"/>
        <w:rPr>
          <w:rFonts w:ascii="Book Antiqua" w:hAnsi="Book Antiqua"/>
        </w:rPr>
      </w:pPr>
      <w:r w:rsidRPr="00FE2312">
        <w:rPr>
          <w:rFonts w:ascii="Book Antiqua" w:eastAsiaTheme="majorEastAsia" w:hAnsi="Book Antiqua"/>
          <w:b/>
          <w:bCs/>
        </w:rPr>
        <w:t>CONCLUSIÓN</w:t>
      </w:r>
    </w:p>
    <w:p w14:paraId="0C19CD10" w14:textId="77777777" w:rsidR="00CD03C0" w:rsidRDefault="00CD03C0" w:rsidP="00BB5059">
      <w:pPr>
        <w:ind w:firstLine="708"/>
        <w:contextualSpacing/>
        <w:jc w:val="both"/>
        <w:rPr>
          <w:rFonts w:ascii="Book Antiqua" w:hAnsi="Book Antiqua"/>
        </w:rPr>
      </w:pPr>
    </w:p>
    <w:p w14:paraId="4216C675" w14:textId="5ADA847E" w:rsidR="008714A1" w:rsidRPr="008714A1" w:rsidRDefault="008714A1" w:rsidP="00BB5059">
      <w:pPr>
        <w:ind w:firstLine="708"/>
        <w:contextualSpacing/>
        <w:jc w:val="both"/>
        <w:rPr>
          <w:rFonts w:ascii="Book Antiqua" w:hAnsi="Book Antiqua"/>
        </w:rPr>
      </w:pPr>
      <w:r w:rsidRPr="008714A1">
        <w:rPr>
          <w:rFonts w:ascii="Book Antiqua" w:hAnsi="Book Antiqua"/>
        </w:rPr>
        <w:t>Luego de examinar las ponencias y recomendaciones de las agencias concernidas, y considerando los fundamentos constitucionales, jurídicos y sociales que sustentan esta medida, la Comisión de Gobierno entiende que el Proyecto de la Cámara 170 constituye un instrumento legislativo válido y necesario para fortalecer la protección y el reconocimiento de la vida humana en todas sus etapas.</w:t>
      </w:r>
    </w:p>
    <w:p w14:paraId="2DE1E72D" w14:textId="77777777" w:rsidR="00CD03C0" w:rsidRDefault="00CD03C0" w:rsidP="00BB5059">
      <w:pPr>
        <w:ind w:firstLine="708"/>
        <w:contextualSpacing/>
        <w:jc w:val="both"/>
        <w:rPr>
          <w:rFonts w:ascii="Book Antiqua" w:hAnsi="Book Antiqua"/>
        </w:rPr>
      </w:pPr>
    </w:p>
    <w:p w14:paraId="7EC85057" w14:textId="54DC98E2" w:rsidR="008714A1" w:rsidRPr="008714A1" w:rsidRDefault="008714A1" w:rsidP="00BB5059">
      <w:pPr>
        <w:ind w:firstLine="708"/>
        <w:contextualSpacing/>
        <w:jc w:val="both"/>
        <w:rPr>
          <w:rFonts w:ascii="Book Antiqua" w:hAnsi="Book Antiqua"/>
        </w:rPr>
      </w:pPr>
      <w:r w:rsidRPr="008714A1">
        <w:rPr>
          <w:rFonts w:ascii="Book Antiqua" w:hAnsi="Book Antiqua"/>
        </w:rPr>
        <w:t>Asimismo, se reconoce que la institucionalización del “Día de la Dignidad de la Vida Humana” y la obligación de las agencias de coordinar actividades y campañas educativas contribuirá significativamente a promover una cultura de respeto y valoración de la vida, fomentando la conciencia sobre el derecho a la dignidad de todo ser humano y la importancia de protegerlo desde la fecundación hasta la vejez. Estas campañas educativas permitirán sensibilizar a la ciudadanía sobre los valores esenciales de nuestra sociedad y reforzar el compromiso del Estado y de la comunidad con la vida humana.</w:t>
      </w:r>
    </w:p>
    <w:p w14:paraId="7DFF78E3" w14:textId="77777777" w:rsidR="00CD03C0" w:rsidRDefault="00CD03C0" w:rsidP="00BB5059">
      <w:pPr>
        <w:ind w:firstLine="708"/>
        <w:contextualSpacing/>
        <w:jc w:val="both"/>
        <w:rPr>
          <w:rFonts w:ascii="Book Antiqua" w:hAnsi="Book Antiqua"/>
        </w:rPr>
      </w:pPr>
    </w:p>
    <w:p w14:paraId="65BF11A3" w14:textId="5CFBD8DB" w:rsidR="008714A1" w:rsidRPr="008714A1" w:rsidRDefault="008714A1" w:rsidP="00BB5059">
      <w:pPr>
        <w:ind w:firstLine="708"/>
        <w:contextualSpacing/>
        <w:jc w:val="both"/>
        <w:rPr>
          <w:rFonts w:ascii="Book Antiqua" w:hAnsi="Book Antiqua"/>
        </w:rPr>
      </w:pPr>
      <w:r w:rsidRPr="008714A1">
        <w:rPr>
          <w:rFonts w:ascii="Book Antiqua" w:hAnsi="Book Antiqua"/>
        </w:rPr>
        <w:t>Por lo tanto, esta Comisión recomienda la aprobación del Proyecto de la Cámara 170,</w:t>
      </w:r>
      <w:r w:rsidR="00CD03C0">
        <w:rPr>
          <w:rFonts w:ascii="Book Antiqua" w:hAnsi="Book Antiqua"/>
        </w:rPr>
        <w:t xml:space="preserve"> </w:t>
      </w:r>
      <w:r w:rsidRPr="008714A1">
        <w:rPr>
          <w:rFonts w:ascii="Book Antiqua" w:hAnsi="Book Antiqua"/>
        </w:rPr>
        <w:t>con las enmiendas contenidas en el entirillado que acompaña este Informe</w:t>
      </w:r>
      <w:r w:rsidR="00CD03C0">
        <w:rPr>
          <w:rFonts w:ascii="Book Antiqua" w:hAnsi="Book Antiqua"/>
        </w:rPr>
        <w:t xml:space="preserve"> Positivo</w:t>
      </w:r>
      <w:r w:rsidRPr="008714A1">
        <w:rPr>
          <w:rFonts w:ascii="Book Antiqua" w:hAnsi="Book Antiqua"/>
        </w:rPr>
        <w:t>, convencida de que la medida es cónsona con los principios y valores que distinguen al Pueblo de Puerto Rico y con los objetivos de educación y concienciación que promueve.</w:t>
      </w:r>
    </w:p>
    <w:p w14:paraId="6CDBAC25" w14:textId="77777777" w:rsidR="000C1007" w:rsidRDefault="000C1007" w:rsidP="00BB5059">
      <w:pPr>
        <w:contextualSpacing/>
        <w:jc w:val="both"/>
        <w:rPr>
          <w:rFonts w:ascii="Book Antiqua" w:hAnsi="Book Antiqua"/>
        </w:rPr>
      </w:pPr>
    </w:p>
    <w:p w14:paraId="0A59ABA0" w14:textId="77777777" w:rsidR="000C1007" w:rsidRDefault="000C1007" w:rsidP="00BB5059">
      <w:pPr>
        <w:contextualSpacing/>
        <w:jc w:val="both"/>
        <w:rPr>
          <w:rFonts w:ascii="Book Antiqua" w:hAnsi="Book Antiqua"/>
        </w:rPr>
      </w:pPr>
    </w:p>
    <w:p w14:paraId="52AD7E10" w14:textId="04AFF1CB" w:rsidR="00AE6839" w:rsidRPr="00FE2312" w:rsidRDefault="00AE6839" w:rsidP="00BB5059">
      <w:pPr>
        <w:contextualSpacing/>
        <w:jc w:val="both"/>
        <w:rPr>
          <w:rFonts w:ascii="Book Antiqua" w:hAnsi="Book Antiqua"/>
        </w:rPr>
      </w:pPr>
      <w:r w:rsidRPr="00FE2312">
        <w:rPr>
          <w:rFonts w:ascii="Book Antiqua" w:hAnsi="Book Antiqua"/>
        </w:rPr>
        <w:t>Respetuosamente sometido,</w:t>
      </w:r>
    </w:p>
    <w:p w14:paraId="340254D5" w14:textId="77777777" w:rsidR="00646D25" w:rsidRDefault="00646D25" w:rsidP="00BB5059">
      <w:pPr>
        <w:pStyle w:val="BodyText"/>
        <w:contextualSpacing/>
        <w:jc w:val="left"/>
        <w:rPr>
          <w:rFonts w:ascii="Book Antiqua" w:hAnsi="Book Antiqua"/>
        </w:rPr>
      </w:pPr>
    </w:p>
    <w:p w14:paraId="29B570D0" w14:textId="77777777" w:rsidR="000C1007" w:rsidRDefault="000C1007" w:rsidP="00BB5059">
      <w:pPr>
        <w:pStyle w:val="BodyText"/>
        <w:contextualSpacing/>
        <w:jc w:val="left"/>
        <w:rPr>
          <w:rFonts w:ascii="Book Antiqua" w:hAnsi="Book Antiqua"/>
        </w:rPr>
      </w:pPr>
    </w:p>
    <w:p w14:paraId="453C6AC1" w14:textId="77777777" w:rsidR="000C1007" w:rsidRPr="0058116F" w:rsidRDefault="000C1007" w:rsidP="00BB5059">
      <w:pPr>
        <w:pStyle w:val="BodyText"/>
        <w:contextualSpacing/>
        <w:jc w:val="left"/>
        <w:rPr>
          <w:rFonts w:ascii="Book Antiqua" w:hAnsi="Book Antiqua"/>
        </w:rPr>
      </w:pPr>
    </w:p>
    <w:p w14:paraId="357E0B59" w14:textId="77777777" w:rsidR="00A019C9" w:rsidRPr="0058116F" w:rsidRDefault="00A019C9" w:rsidP="00BB5059">
      <w:pPr>
        <w:pStyle w:val="BodyText"/>
        <w:contextualSpacing/>
        <w:jc w:val="left"/>
        <w:rPr>
          <w:rFonts w:ascii="Book Antiqua" w:hAnsi="Book Antiqua"/>
        </w:rPr>
      </w:pPr>
    </w:p>
    <w:p w14:paraId="3F8620EF" w14:textId="77777777" w:rsidR="00A019C9" w:rsidRPr="0058116F" w:rsidRDefault="00A019C9" w:rsidP="00BB5059">
      <w:pPr>
        <w:pStyle w:val="BodyText"/>
        <w:contextualSpacing/>
        <w:jc w:val="left"/>
        <w:rPr>
          <w:rFonts w:ascii="Book Antiqua" w:hAnsi="Book Antiqua"/>
          <w:b/>
          <w:bCs/>
        </w:rPr>
      </w:pPr>
      <w:proofErr w:type="spellStart"/>
      <w:r w:rsidRPr="0058116F">
        <w:rPr>
          <w:rFonts w:ascii="Book Antiqua" w:hAnsi="Book Antiqua"/>
          <w:b/>
          <w:bCs/>
        </w:rPr>
        <w:t>Hon</w:t>
      </w:r>
      <w:proofErr w:type="spellEnd"/>
      <w:r w:rsidRPr="0058116F">
        <w:rPr>
          <w:rFonts w:ascii="Book Antiqua" w:hAnsi="Book Antiqua"/>
          <w:b/>
          <w:bCs/>
        </w:rPr>
        <w:t>. Víctor L. Parés-Otero</w:t>
      </w:r>
    </w:p>
    <w:p w14:paraId="17AA553B" w14:textId="77777777" w:rsidR="00A019C9" w:rsidRPr="0058116F" w:rsidRDefault="00A019C9" w:rsidP="00BB5059">
      <w:pPr>
        <w:pStyle w:val="BodyText"/>
        <w:contextualSpacing/>
        <w:jc w:val="left"/>
        <w:rPr>
          <w:rFonts w:ascii="Book Antiqua" w:hAnsi="Book Antiqua"/>
        </w:rPr>
      </w:pPr>
      <w:r w:rsidRPr="0058116F">
        <w:rPr>
          <w:rFonts w:ascii="Book Antiqua" w:hAnsi="Book Antiqua"/>
        </w:rPr>
        <w:t>Presidente</w:t>
      </w:r>
    </w:p>
    <w:p w14:paraId="495CC9E7" w14:textId="46415A4D" w:rsidR="00A019C9" w:rsidRPr="008714A1" w:rsidRDefault="00A019C9" w:rsidP="00BB5059">
      <w:pPr>
        <w:pStyle w:val="BodyText"/>
        <w:contextualSpacing/>
        <w:jc w:val="left"/>
        <w:rPr>
          <w:rFonts w:ascii="Book Antiqua" w:hAnsi="Book Antiqua"/>
        </w:rPr>
      </w:pPr>
      <w:r w:rsidRPr="0058116F">
        <w:rPr>
          <w:rFonts w:ascii="Book Antiqua" w:hAnsi="Book Antiqua"/>
        </w:rPr>
        <w:t>Comisión de Gobierno</w:t>
      </w:r>
    </w:p>
    <w:sectPr w:rsidR="00A019C9" w:rsidRPr="008714A1" w:rsidSect="00A019C9">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1E927" w14:textId="77777777" w:rsidR="001D6DED" w:rsidRDefault="001D6DED" w:rsidP="00A019C9">
      <w:r>
        <w:separator/>
      </w:r>
    </w:p>
  </w:endnote>
  <w:endnote w:type="continuationSeparator" w:id="0">
    <w:p w14:paraId="73A685BD" w14:textId="77777777" w:rsidR="001D6DED" w:rsidRDefault="001D6DED" w:rsidP="00A01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383448"/>
      <w:docPartObj>
        <w:docPartGallery w:val="Page Numbers (Bottom of Page)"/>
        <w:docPartUnique/>
      </w:docPartObj>
    </w:sdtPr>
    <w:sdtEndPr>
      <w:rPr>
        <w:rFonts w:ascii="Book Antiqua" w:hAnsi="Book Antiqua"/>
        <w:sz w:val="20"/>
        <w:szCs w:val="20"/>
      </w:rPr>
    </w:sdtEndPr>
    <w:sdtContent>
      <w:p w14:paraId="6A3AC174" w14:textId="77777777" w:rsidR="00A019C9" w:rsidRPr="00D83BD0" w:rsidRDefault="00A019C9">
        <w:pPr>
          <w:pStyle w:val="Footer"/>
          <w:jc w:val="center"/>
          <w:rPr>
            <w:rFonts w:ascii="Book Antiqua" w:hAnsi="Book Antiqua"/>
            <w:sz w:val="20"/>
            <w:szCs w:val="20"/>
          </w:rPr>
        </w:pPr>
        <w:r w:rsidRPr="00D83BD0">
          <w:rPr>
            <w:rFonts w:ascii="Book Antiqua" w:hAnsi="Book Antiqua"/>
            <w:sz w:val="20"/>
            <w:szCs w:val="20"/>
          </w:rPr>
          <w:fldChar w:fldCharType="begin"/>
        </w:r>
        <w:r w:rsidRPr="00D83BD0">
          <w:rPr>
            <w:rFonts w:ascii="Book Antiqua" w:hAnsi="Book Antiqua"/>
            <w:sz w:val="20"/>
            <w:szCs w:val="20"/>
          </w:rPr>
          <w:instrText>PAGE   \* MERGEFORMAT</w:instrText>
        </w:r>
        <w:r w:rsidRPr="00D83BD0">
          <w:rPr>
            <w:rFonts w:ascii="Book Antiqua" w:hAnsi="Book Antiqua"/>
            <w:sz w:val="20"/>
            <w:szCs w:val="20"/>
          </w:rPr>
          <w:fldChar w:fldCharType="separate"/>
        </w:r>
        <w:r w:rsidRPr="00D83BD0">
          <w:rPr>
            <w:rFonts w:ascii="Book Antiqua" w:hAnsi="Book Antiqua"/>
            <w:sz w:val="20"/>
            <w:szCs w:val="20"/>
            <w:lang w:val="es-ES"/>
          </w:rPr>
          <w:t>2</w:t>
        </w:r>
        <w:r w:rsidRPr="00D83BD0">
          <w:rPr>
            <w:rFonts w:ascii="Book Antiqua" w:hAnsi="Book Antiqua"/>
            <w:sz w:val="20"/>
            <w:szCs w:val="20"/>
          </w:rPr>
          <w:fldChar w:fldCharType="end"/>
        </w:r>
      </w:p>
    </w:sdtContent>
  </w:sdt>
  <w:p w14:paraId="6B1C6411" w14:textId="77777777" w:rsidR="00A019C9" w:rsidRDefault="00A01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8E78" w14:textId="77777777" w:rsidR="001D6DED" w:rsidRDefault="001D6DED" w:rsidP="00A019C9">
      <w:r>
        <w:separator/>
      </w:r>
    </w:p>
  </w:footnote>
  <w:footnote w:type="continuationSeparator" w:id="0">
    <w:p w14:paraId="38EBC0E4" w14:textId="77777777" w:rsidR="001D6DED" w:rsidRDefault="001D6DED" w:rsidP="00A01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6B03F" w14:textId="0E8FFA48" w:rsidR="00A019C9" w:rsidRDefault="00A019C9">
    <w:pPr>
      <w:pStyle w:val="Header"/>
      <w:rPr>
        <w:rFonts w:ascii="Book Antiqua" w:hAnsi="Book Antiqua"/>
        <w:sz w:val="20"/>
        <w:szCs w:val="20"/>
      </w:rPr>
    </w:pPr>
    <w:r>
      <w:rPr>
        <w:rFonts w:ascii="Book Antiqua" w:hAnsi="Book Antiqua"/>
        <w:sz w:val="20"/>
        <w:szCs w:val="20"/>
      </w:rPr>
      <w:t xml:space="preserve">Informe Positivo </w:t>
    </w:r>
    <w:r w:rsidR="000C1007">
      <w:rPr>
        <w:rFonts w:ascii="Book Antiqua" w:hAnsi="Book Antiqua"/>
        <w:sz w:val="20"/>
        <w:szCs w:val="20"/>
      </w:rPr>
      <w:t xml:space="preserve">en torno al </w:t>
    </w:r>
    <w:r>
      <w:rPr>
        <w:rFonts w:ascii="Book Antiqua" w:hAnsi="Book Antiqua"/>
        <w:sz w:val="20"/>
        <w:szCs w:val="20"/>
      </w:rPr>
      <w:t>P. de la C. 170</w:t>
    </w:r>
  </w:p>
  <w:p w14:paraId="063440B9" w14:textId="77777777" w:rsidR="00A019C9" w:rsidRPr="00B87811" w:rsidRDefault="00A019C9">
    <w:pPr>
      <w:pStyle w:val="Header"/>
      <w:rPr>
        <w:rFonts w:ascii="Book Antiqua" w:hAnsi="Book Antiqua"/>
        <w:sz w:val="20"/>
        <w:szCs w:val="20"/>
      </w:rPr>
    </w:pPr>
    <w:r>
      <w:rPr>
        <w:rFonts w:ascii="Book Antiqua" w:hAnsi="Book Antiqua"/>
        <w:sz w:val="20"/>
        <w:szCs w:val="20"/>
      </w:rPr>
      <w:t>Comisión de Gobierno</w:t>
    </w:r>
  </w:p>
  <w:p w14:paraId="1DA3B8E6" w14:textId="77777777" w:rsidR="00A019C9" w:rsidRDefault="00A019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9C9"/>
    <w:rsid w:val="0000524B"/>
    <w:rsid w:val="00062A8B"/>
    <w:rsid w:val="00075F16"/>
    <w:rsid w:val="00086352"/>
    <w:rsid w:val="000C1007"/>
    <w:rsid w:val="000E02B7"/>
    <w:rsid w:val="00142408"/>
    <w:rsid w:val="001D6DED"/>
    <w:rsid w:val="001E34BB"/>
    <w:rsid w:val="00280A7A"/>
    <w:rsid w:val="002F161A"/>
    <w:rsid w:val="0034293C"/>
    <w:rsid w:val="00361CF0"/>
    <w:rsid w:val="00391B31"/>
    <w:rsid w:val="00412CEF"/>
    <w:rsid w:val="00432AFB"/>
    <w:rsid w:val="004B4599"/>
    <w:rsid w:val="00506BF9"/>
    <w:rsid w:val="00646D25"/>
    <w:rsid w:val="00680F92"/>
    <w:rsid w:val="006D57D4"/>
    <w:rsid w:val="00745168"/>
    <w:rsid w:val="007842EE"/>
    <w:rsid w:val="00790CB9"/>
    <w:rsid w:val="00796BD4"/>
    <w:rsid w:val="007B1607"/>
    <w:rsid w:val="007E50FD"/>
    <w:rsid w:val="008462BA"/>
    <w:rsid w:val="00856EFB"/>
    <w:rsid w:val="008714A1"/>
    <w:rsid w:val="009669D6"/>
    <w:rsid w:val="009E1286"/>
    <w:rsid w:val="00A019C9"/>
    <w:rsid w:val="00A450D5"/>
    <w:rsid w:val="00A52CC4"/>
    <w:rsid w:val="00A93E8D"/>
    <w:rsid w:val="00AC034D"/>
    <w:rsid w:val="00AE57F6"/>
    <w:rsid w:val="00AE6839"/>
    <w:rsid w:val="00B821B8"/>
    <w:rsid w:val="00BB5059"/>
    <w:rsid w:val="00C226C7"/>
    <w:rsid w:val="00C2564E"/>
    <w:rsid w:val="00C61D60"/>
    <w:rsid w:val="00CD03C0"/>
    <w:rsid w:val="00D50417"/>
    <w:rsid w:val="00E37019"/>
    <w:rsid w:val="00E86CCE"/>
    <w:rsid w:val="00EB71C3"/>
    <w:rsid w:val="00EE3F6B"/>
    <w:rsid w:val="00F96EF8"/>
    <w:rsid w:val="00FB12B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05F8"/>
  <w15:chartTrackingRefBased/>
  <w15:docId w15:val="{D0E60C7A-F4F1-43B2-9E6F-038DFEA3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9C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0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9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9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9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9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1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9C9"/>
    <w:rPr>
      <w:rFonts w:eastAsiaTheme="majorEastAsia" w:cstheme="majorBidi"/>
      <w:color w:val="272727" w:themeColor="text1" w:themeTint="D8"/>
    </w:rPr>
  </w:style>
  <w:style w:type="paragraph" w:styleId="Title">
    <w:name w:val="Title"/>
    <w:basedOn w:val="Normal"/>
    <w:next w:val="Normal"/>
    <w:link w:val="TitleChar"/>
    <w:uiPriority w:val="10"/>
    <w:qFormat/>
    <w:rsid w:val="00A019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9C9"/>
    <w:pPr>
      <w:spacing w:before="160"/>
      <w:jc w:val="center"/>
    </w:pPr>
    <w:rPr>
      <w:i/>
      <w:iCs/>
      <w:color w:val="404040" w:themeColor="text1" w:themeTint="BF"/>
    </w:rPr>
  </w:style>
  <w:style w:type="character" w:customStyle="1" w:styleId="QuoteChar">
    <w:name w:val="Quote Char"/>
    <w:basedOn w:val="DefaultParagraphFont"/>
    <w:link w:val="Quote"/>
    <w:uiPriority w:val="29"/>
    <w:rsid w:val="00A019C9"/>
    <w:rPr>
      <w:i/>
      <w:iCs/>
      <w:color w:val="404040" w:themeColor="text1" w:themeTint="BF"/>
    </w:rPr>
  </w:style>
  <w:style w:type="paragraph" w:styleId="ListParagraph">
    <w:name w:val="List Paragraph"/>
    <w:basedOn w:val="Normal"/>
    <w:uiPriority w:val="34"/>
    <w:qFormat/>
    <w:rsid w:val="00A019C9"/>
    <w:pPr>
      <w:ind w:left="720"/>
      <w:contextualSpacing/>
    </w:pPr>
  </w:style>
  <w:style w:type="character" w:styleId="IntenseEmphasis">
    <w:name w:val="Intense Emphasis"/>
    <w:basedOn w:val="DefaultParagraphFont"/>
    <w:uiPriority w:val="21"/>
    <w:qFormat/>
    <w:rsid w:val="00A019C9"/>
    <w:rPr>
      <w:i/>
      <w:iCs/>
      <w:color w:val="0F4761" w:themeColor="accent1" w:themeShade="BF"/>
    </w:rPr>
  </w:style>
  <w:style w:type="paragraph" w:styleId="IntenseQuote">
    <w:name w:val="Intense Quote"/>
    <w:basedOn w:val="Normal"/>
    <w:next w:val="Normal"/>
    <w:link w:val="IntenseQuoteChar"/>
    <w:uiPriority w:val="30"/>
    <w:qFormat/>
    <w:rsid w:val="00A0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9C9"/>
    <w:rPr>
      <w:i/>
      <w:iCs/>
      <w:color w:val="0F4761" w:themeColor="accent1" w:themeShade="BF"/>
    </w:rPr>
  </w:style>
  <w:style w:type="character" w:styleId="IntenseReference">
    <w:name w:val="Intense Reference"/>
    <w:basedOn w:val="DefaultParagraphFont"/>
    <w:uiPriority w:val="32"/>
    <w:qFormat/>
    <w:rsid w:val="00A019C9"/>
    <w:rPr>
      <w:b/>
      <w:bCs/>
      <w:smallCaps/>
      <w:color w:val="0F4761" w:themeColor="accent1" w:themeShade="BF"/>
      <w:spacing w:val="5"/>
    </w:rPr>
  </w:style>
  <w:style w:type="paragraph" w:customStyle="1" w:styleId="Title2">
    <w:name w:val="Title2"/>
    <w:basedOn w:val="Normal"/>
    <w:next w:val="Normal"/>
    <w:rsid w:val="00A019C9"/>
    <w:pPr>
      <w:autoSpaceDE w:val="0"/>
      <w:autoSpaceDN w:val="0"/>
      <w:adjustRightInd w:val="0"/>
    </w:pPr>
    <w:rPr>
      <w:sz w:val="20"/>
      <w:lang w:val="en-US"/>
    </w:rPr>
  </w:style>
  <w:style w:type="paragraph" w:styleId="BodyText">
    <w:name w:val="Body Text"/>
    <w:basedOn w:val="Normal"/>
    <w:link w:val="BodyTextChar"/>
    <w:uiPriority w:val="99"/>
    <w:rsid w:val="00A019C9"/>
    <w:pPr>
      <w:jc w:val="both"/>
    </w:pPr>
    <w:rPr>
      <w:lang w:eastAsia="x-none"/>
    </w:rPr>
  </w:style>
  <w:style w:type="character" w:customStyle="1" w:styleId="BodyTextChar">
    <w:name w:val="Body Text Char"/>
    <w:basedOn w:val="DefaultParagraphFont"/>
    <w:link w:val="BodyText"/>
    <w:uiPriority w:val="99"/>
    <w:rsid w:val="00A019C9"/>
    <w:rPr>
      <w:rFonts w:ascii="Times New Roman" w:eastAsia="Times New Roman" w:hAnsi="Times New Roman" w:cs="Times New Roman"/>
      <w:kern w:val="0"/>
      <w:lang w:eastAsia="x-none"/>
      <w14:ligatures w14:val="none"/>
    </w:rPr>
  </w:style>
  <w:style w:type="paragraph" w:styleId="NoSpacing">
    <w:name w:val="No Spacing"/>
    <w:uiPriority w:val="1"/>
    <w:qFormat/>
    <w:rsid w:val="00A019C9"/>
    <w:pPr>
      <w:spacing w:after="0" w:line="240" w:lineRule="auto"/>
    </w:pPr>
    <w:rPr>
      <w:rFonts w:ascii="Calibri" w:eastAsia="Calibri" w:hAnsi="Calibri" w:cs="Times New Roman"/>
      <w:kern w:val="0"/>
      <w:sz w:val="22"/>
      <w:szCs w:val="22"/>
      <w14:ligatures w14:val="none"/>
    </w:rPr>
  </w:style>
  <w:style w:type="paragraph" w:styleId="Header">
    <w:name w:val="header"/>
    <w:basedOn w:val="Normal"/>
    <w:link w:val="HeaderChar"/>
    <w:uiPriority w:val="99"/>
    <w:unhideWhenUsed/>
    <w:rsid w:val="00A019C9"/>
    <w:pPr>
      <w:tabs>
        <w:tab w:val="center" w:pos="4680"/>
        <w:tab w:val="right" w:pos="9360"/>
      </w:tabs>
    </w:pPr>
  </w:style>
  <w:style w:type="character" w:customStyle="1" w:styleId="HeaderChar">
    <w:name w:val="Header Char"/>
    <w:basedOn w:val="DefaultParagraphFont"/>
    <w:link w:val="Header"/>
    <w:uiPriority w:val="99"/>
    <w:rsid w:val="00A019C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019C9"/>
    <w:pPr>
      <w:tabs>
        <w:tab w:val="center" w:pos="4680"/>
        <w:tab w:val="right" w:pos="9360"/>
      </w:tabs>
    </w:pPr>
  </w:style>
  <w:style w:type="character" w:customStyle="1" w:styleId="FooterChar">
    <w:name w:val="Footer Char"/>
    <w:basedOn w:val="DefaultParagraphFont"/>
    <w:link w:val="Footer"/>
    <w:uiPriority w:val="99"/>
    <w:rsid w:val="00A019C9"/>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A019C9"/>
    <w:rPr>
      <w:sz w:val="20"/>
      <w:szCs w:val="20"/>
    </w:rPr>
  </w:style>
  <w:style w:type="character" w:customStyle="1" w:styleId="FootnoteTextChar">
    <w:name w:val="Footnote Text Char"/>
    <w:basedOn w:val="DefaultParagraphFont"/>
    <w:link w:val="FootnoteText"/>
    <w:uiPriority w:val="99"/>
    <w:semiHidden/>
    <w:rsid w:val="00A019C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019C9"/>
    <w:rPr>
      <w:vertAlign w:val="superscript"/>
    </w:rPr>
  </w:style>
  <w:style w:type="paragraph" w:styleId="NormalWeb">
    <w:name w:val="Normal (Web)"/>
    <w:basedOn w:val="Normal"/>
    <w:uiPriority w:val="99"/>
    <w:semiHidden/>
    <w:unhideWhenUsed/>
    <w:rsid w:val="00A01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769</Words>
  <Characters>4388</Characters>
  <Application>Microsoft Office Word</Application>
  <DocSecurity>4</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2025-09-15T19:30:00Z</dcterms:created>
  <dcterms:modified xsi:type="dcterms:W3CDTF">2025-09-15T19:30:00Z</dcterms:modified>
</cp:coreProperties>
</file>