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794EF0AA" w:rsidR="007535BB" w:rsidRPr="00B35ECA" w:rsidRDefault="00F60859" w:rsidP="0027212A">
      <w:pPr>
        <w:spacing w:line="360" w:lineRule="auto"/>
        <w:jc w:val="center"/>
        <w:rPr>
          <w:rFonts w:ascii="Book Antiqua" w:hAnsi="Book Antiqua"/>
          <w:b/>
          <w:sz w:val="52"/>
          <w:lang w:val="es-ES_tradnl"/>
        </w:rPr>
      </w:pPr>
      <w:r>
        <w:rPr>
          <w:rFonts w:ascii="Book Antiqua" w:hAnsi="Book Antiqua"/>
          <w:b/>
          <w:sz w:val="52"/>
          <w:lang w:val="es-ES_tradnl"/>
        </w:rPr>
        <w:t>P. de la C.</w:t>
      </w:r>
      <w:r w:rsidR="00993059">
        <w:rPr>
          <w:rFonts w:ascii="Book Antiqua" w:hAnsi="Book Antiqua"/>
          <w:b/>
          <w:sz w:val="52"/>
          <w:lang w:val="es-ES_tradnl"/>
        </w:rPr>
        <w:t xml:space="preserve"> 171</w:t>
      </w:r>
    </w:p>
    <w:p w14:paraId="1443CA0F" w14:textId="77777777"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POSITIVO </w:t>
      </w:r>
    </w:p>
    <w:p w14:paraId="07AB4BDD" w14:textId="6B331144" w:rsidR="001B5218" w:rsidRPr="005E150B" w:rsidRDefault="005D4CED" w:rsidP="0027212A">
      <w:pPr>
        <w:spacing w:line="360" w:lineRule="auto"/>
        <w:jc w:val="center"/>
        <w:rPr>
          <w:rFonts w:ascii="Book Antiqua" w:hAnsi="Book Antiqua"/>
          <w:lang w:val="es-ES_tradnl"/>
        </w:rPr>
      </w:pPr>
      <w:r>
        <w:rPr>
          <w:rFonts w:ascii="Book Antiqua" w:hAnsi="Book Antiqua"/>
          <w:lang w:val="es-ES_tradnl"/>
        </w:rPr>
        <w:t xml:space="preserve">26 </w:t>
      </w:r>
      <w:r w:rsidR="006239E8">
        <w:rPr>
          <w:rFonts w:ascii="Book Antiqua" w:hAnsi="Book Antiqua"/>
          <w:lang w:val="es-ES_tradnl"/>
        </w:rPr>
        <w:t xml:space="preserve">de agosto </w:t>
      </w:r>
      <w:r w:rsidR="00D13D23" w:rsidRPr="005E150B">
        <w:rPr>
          <w:rFonts w:ascii="Book Antiqua" w:hAnsi="Book Antiqua"/>
          <w:lang w:val="es-ES_tradnl"/>
        </w:rPr>
        <w:t>de 2025</w:t>
      </w:r>
    </w:p>
    <w:bookmarkEnd w:id="2"/>
    <w:bookmarkEnd w:id="3"/>
    <w:p w14:paraId="518A096B" w14:textId="07DCC0DC" w:rsidR="005B2884" w:rsidRPr="00E14B9C" w:rsidRDefault="001B5218" w:rsidP="00411030">
      <w:pPr>
        <w:tabs>
          <w:tab w:val="left" w:pos="-720"/>
        </w:tabs>
        <w:suppressAutoHyphens/>
        <w:rPr>
          <w:rFonts w:ascii="Book Antiqua" w:hAnsi="Book Antiqua"/>
          <w:szCs w:val="24"/>
          <w:lang w:val="es-ES_tradnl"/>
        </w:rPr>
      </w:pPr>
      <w:r>
        <w:rPr>
          <w:rFonts w:ascii="Book Antiqua" w:hAnsi="Book Antiqua"/>
          <w:b/>
          <w:szCs w:val="24"/>
          <w:lang w:val="es-ES_tradnl"/>
        </w:rPr>
        <w:t xml:space="preserve">AL SENADO DE PUERTO RICO: </w:t>
      </w:r>
    </w:p>
    <w:p w14:paraId="0E97197E" w14:textId="77777777" w:rsidR="00411030" w:rsidRDefault="00A52CD9" w:rsidP="00411030">
      <w:pPr>
        <w:suppressAutoHyphens/>
        <w:jc w:val="both"/>
        <w:rPr>
          <w:rFonts w:ascii="Book Antiqua" w:hAnsi="Book Antiqua"/>
          <w:spacing w:val="-3"/>
          <w:lang w:val="es-ES_tradnl"/>
        </w:rPr>
      </w:pPr>
      <w:r w:rsidRPr="00A11ED0">
        <w:rPr>
          <w:rFonts w:ascii="Book Antiqua" w:hAnsi="Book Antiqua"/>
          <w:spacing w:val="-3"/>
          <w:lang w:val="es-ES_tradnl"/>
        </w:rPr>
        <w:t xml:space="preserve">      </w:t>
      </w:r>
      <w:r w:rsidR="009F427F" w:rsidRPr="00A11ED0">
        <w:rPr>
          <w:rFonts w:ascii="Book Antiqua" w:hAnsi="Book Antiqua"/>
          <w:spacing w:val="-3"/>
          <w:lang w:val="es-ES_tradnl"/>
        </w:rPr>
        <w:tab/>
      </w:r>
    </w:p>
    <w:p w14:paraId="37982730" w14:textId="6E3F546F" w:rsidR="005B2884" w:rsidRPr="00A11ED0" w:rsidRDefault="001B5218" w:rsidP="00411030">
      <w:pPr>
        <w:suppressAutoHyphens/>
        <w:ind w:firstLine="720"/>
        <w:jc w:val="both"/>
        <w:rPr>
          <w:rFonts w:ascii="Book Antiqua" w:hAnsi="Book Antiqua"/>
          <w:spacing w:val="-3"/>
          <w:lang w:val="es-ES_tradnl"/>
        </w:rPr>
      </w:pPr>
      <w:r w:rsidRPr="00A11ED0">
        <w:rPr>
          <w:rFonts w:ascii="Book Antiqua" w:hAnsi="Book Antiqua"/>
          <w:spacing w:val="-3"/>
          <w:lang w:val="es-ES_tradnl"/>
        </w:rPr>
        <w:t xml:space="preserve">La </w:t>
      </w:r>
      <w:r w:rsidR="00E17E3B">
        <w:rPr>
          <w:rFonts w:ascii="Book Antiqua" w:hAnsi="Book Antiqua"/>
          <w:spacing w:val="-3"/>
          <w:lang w:val="es-ES_tradnl"/>
        </w:rPr>
        <w:t>Comisión de lo Jurídico del Senado de Puerto Rico</w:t>
      </w:r>
      <w:r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993059">
        <w:rPr>
          <w:rFonts w:ascii="Book Antiqua" w:hAnsi="Book Antiqua"/>
          <w:spacing w:val="-3"/>
          <w:lang w:val="es-ES_tradnl"/>
        </w:rPr>
        <w:t>Proyecto de la Cámara 171,</w:t>
      </w:r>
      <w:r w:rsidRPr="00A11ED0">
        <w:rPr>
          <w:rFonts w:ascii="Book Antiqua" w:hAnsi="Book Antiqua"/>
          <w:spacing w:val="-3"/>
          <w:lang w:val="es-ES_tradnl"/>
        </w:rPr>
        <w:t xml:space="preserve"> </w:t>
      </w:r>
      <w:r w:rsidR="009F427F" w:rsidRPr="00337BB7">
        <w:rPr>
          <w:rFonts w:ascii="Book Antiqua" w:hAnsi="Book Antiqua"/>
          <w:spacing w:val="-3"/>
          <w:lang w:val="es-ES_tradnl"/>
        </w:rPr>
        <w:t>recomienda a este Alto Cuerpo su</w:t>
      </w:r>
      <w:r w:rsidR="008E051A" w:rsidRPr="00B8540B">
        <w:rPr>
          <w:rFonts w:ascii="Book Antiqua" w:hAnsi="Book Antiqua"/>
          <w:spacing w:val="-3"/>
          <w:lang w:val="es-ES_tradnl"/>
        </w:rPr>
        <w:t xml:space="preserve"> </w:t>
      </w:r>
      <w:r w:rsidRPr="00337BB7">
        <w:rPr>
          <w:rFonts w:ascii="Book Antiqua" w:hAnsi="Book Antiqua"/>
          <w:spacing w:val="-3"/>
          <w:lang w:val="es-ES_tradnl"/>
        </w:rPr>
        <w:t>aprobación</w:t>
      </w:r>
      <w:r w:rsidRPr="00A11ED0">
        <w:rPr>
          <w:rFonts w:ascii="Book Antiqua" w:hAnsi="Book Antiqua"/>
          <w:spacing w:val="-3"/>
          <w:lang w:val="es-ES_tradnl"/>
        </w:rPr>
        <w:t xml:space="preserve">, </w:t>
      </w:r>
      <w:r w:rsidRPr="00993059">
        <w:rPr>
          <w:rFonts w:ascii="Book Antiqua" w:hAnsi="Book Antiqua"/>
          <w:spacing w:val="-3"/>
          <w:lang w:val="es-ES_tradnl"/>
        </w:rPr>
        <w:t>con las enmiendas contenidas en el entirillado electrónico que se acompaña</w:t>
      </w:r>
      <w:r w:rsidR="00993059" w:rsidRPr="00993059">
        <w:rPr>
          <w:rFonts w:ascii="Book Antiqua" w:hAnsi="Book Antiqua"/>
          <w:spacing w:val="-3"/>
          <w:lang w:val="es-ES_tradnl"/>
        </w:rPr>
        <w:t>.</w:t>
      </w:r>
    </w:p>
    <w:p w14:paraId="1C36686D" w14:textId="77777777" w:rsidR="000C52A1" w:rsidRPr="00A11ED0" w:rsidRDefault="000C52A1" w:rsidP="00411030">
      <w:pPr>
        <w:suppressAutoHyphens/>
        <w:jc w:val="both"/>
        <w:rPr>
          <w:rFonts w:ascii="Book Antiqua" w:hAnsi="Book Antiqua"/>
          <w:spacing w:val="-3"/>
          <w:lang w:val="es-ES_tradnl"/>
        </w:rPr>
      </w:pPr>
    </w:p>
    <w:p w14:paraId="632423B1" w14:textId="77777777" w:rsidR="0024131E" w:rsidRPr="00A11ED0" w:rsidRDefault="001B5218" w:rsidP="00411030">
      <w:pPr>
        <w:tabs>
          <w:tab w:val="left" w:pos="-720"/>
        </w:tabs>
        <w:suppressAutoHyphens/>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411030">
      <w:pPr>
        <w:tabs>
          <w:tab w:val="left" w:pos="-720"/>
        </w:tabs>
        <w:suppressAutoHyphens/>
        <w:rPr>
          <w:rFonts w:ascii="Book Antiqua" w:hAnsi="Book Antiqua"/>
          <w:b/>
          <w:bCs/>
          <w:szCs w:val="24"/>
          <w:lang w:val="es-ES_tradnl"/>
        </w:rPr>
      </w:pPr>
    </w:p>
    <w:p w14:paraId="7C7A3389" w14:textId="5B790EB4" w:rsidR="006F51A8" w:rsidRPr="00A11ED0" w:rsidRDefault="00B177DD" w:rsidP="00411030">
      <w:pPr>
        <w:tabs>
          <w:tab w:val="left" w:pos="-720"/>
        </w:tabs>
        <w:suppressAutoHyphens/>
        <w:ind w:firstLine="360"/>
        <w:jc w:val="both"/>
        <w:rPr>
          <w:rFonts w:ascii="Book Antiqua" w:hAnsi="Book Antiqua"/>
          <w:lang w:val="es-PR"/>
        </w:rPr>
      </w:pPr>
      <w:r>
        <w:rPr>
          <w:rFonts w:ascii="Book Antiqua" w:hAnsi="Book Antiqua"/>
          <w:lang w:val="es-PR"/>
        </w:rPr>
        <w:tab/>
      </w:r>
      <w:r w:rsidR="001B5218" w:rsidRPr="00A11ED0">
        <w:rPr>
          <w:rFonts w:ascii="Book Antiqua" w:hAnsi="Book Antiqua"/>
          <w:lang w:val="es-PR"/>
        </w:rPr>
        <w:t xml:space="preserve">El Proyecto </w:t>
      </w:r>
      <w:r w:rsidR="00993059">
        <w:rPr>
          <w:rFonts w:ascii="Book Antiqua" w:hAnsi="Book Antiqua"/>
          <w:lang w:val="es-PR"/>
        </w:rPr>
        <w:t>de la Cámara 171</w:t>
      </w:r>
      <w:r w:rsidR="009F427F" w:rsidRPr="00A11ED0">
        <w:rPr>
          <w:rFonts w:ascii="Book Antiqua" w:hAnsi="Book Antiqua"/>
          <w:lang w:val="es-PR"/>
        </w:rPr>
        <w:t xml:space="preserve"> </w:t>
      </w:r>
      <w:r w:rsidR="009F427F" w:rsidRPr="00337BB7">
        <w:rPr>
          <w:rFonts w:ascii="Book Antiqua" w:hAnsi="Book Antiqua"/>
          <w:lang w:val="es-PR"/>
        </w:rPr>
        <w:t xml:space="preserve">(en adelante, P. </w:t>
      </w:r>
      <w:r w:rsidR="00993059">
        <w:rPr>
          <w:rFonts w:ascii="Book Antiqua" w:hAnsi="Book Antiqua"/>
          <w:lang w:val="es-PR"/>
        </w:rPr>
        <w:t>de la C. 171)</w:t>
      </w:r>
      <w:r w:rsidR="00411030">
        <w:rPr>
          <w:rFonts w:ascii="Book Antiqua" w:hAnsi="Book Antiqua"/>
          <w:lang w:val="es-PR"/>
        </w:rPr>
        <w:t xml:space="preserve"> </w:t>
      </w:r>
      <w:r w:rsidR="001B5218" w:rsidRPr="00A11ED0">
        <w:rPr>
          <w:rFonts w:ascii="Book Antiqua" w:hAnsi="Book Antiqua"/>
          <w:lang w:val="es-PR"/>
        </w:rPr>
        <w:t>tiene como propósito</w:t>
      </w:r>
      <w:bookmarkStart w:id="4" w:name="_Hlk194438498"/>
      <w:r w:rsidR="00D06E91">
        <w:rPr>
          <w:rFonts w:ascii="Book Antiqua" w:hAnsi="Book Antiqua"/>
          <w:lang w:val="es-PR"/>
        </w:rPr>
        <w:t xml:space="preserve"> </w:t>
      </w:r>
      <w:r w:rsidR="00D06E91">
        <w:rPr>
          <w:rFonts w:ascii="Book Antiqua" w:hAnsi="Book Antiqua"/>
          <w:szCs w:val="24"/>
          <w:lang w:val="es-ES_tradnl"/>
        </w:rPr>
        <w:t xml:space="preserve">enmendar la Regla 9.3 </w:t>
      </w:r>
      <w:r w:rsidR="00D06E91" w:rsidRPr="00102F37">
        <w:rPr>
          <w:rFonts w:ascii="Book Antiqua" w:hAnsi="Book Antiqua"/>
          <w:szCs w:val="24"/>
          <w:lang w:val="es-ES_tradnl"/>
        </w:rPr>
        <w:t xml:space="preserve">de las </w:t>
      </w:r>
      <w:r w:rsidR="00D06E91">
        <w:rPr>
          <w:rFonts w:ascii="Book Antiqua" w:hAnsi="Book Antiqua"/>
          <w:szCs w:val="24"/>
          <w:lang w:val="es-ES_tradnl"/>
        </w:rPr>
        <w:t xml:space="preserve">Reglas </w:t>
      </w:r>
      <w:r w:rsidR="00D06E91" w:rsidRPr="00102F37">
        <w:rPr>
          <w:rFonts w:ascii="Book Antiqua" w:hAnsi="Book Antiqua"/>
          <w:szCs w:val="24"/>
          <w:lang w:val="es-ES_tradnl"/>
        </w:rPr>
        <w:t>de Procedimiento Civil</w:t>
      </w:r>
      <w:r w:rsidR="00D06E91">
        <w:rPr>
          <w:rFonts w:ascii="Book Antiqua" w:hAnsi="Book Antiqua"/>
          <w:szCs w:val="24"/>
          <w:lang w:val="es-ES_tradnl"/>
        </w:rPr>
        <w:t xml:space="preserve"> de Puerto Rico</w:t>
      </w:r>
      <w:r w:rsidR="00D06E91" w:rsidRPr="00102F37">
        <w:rPr>
          <w:rFonts w:ascii="Book Antiqua" w:hAnsi="Book Antiqua"/>
          <w:szCs w:val="24"/>
          <w:lang w:val="es-ES_tradnl"/>
        </w:rPr>
        <w:t>, según enmendada</w:t>
      </w:r>
      <w:r w:rsidR="00D06E91">
        <w:rPr>
          <w:rFonts w:ascii="Book Antiqua" w:hAnsi="Book Antiqua"/>
          <w:szCs w:val="24"/>
          <w:lang w:val="es-ES_tradnl"/>
        </w:rPr>
        <w:t>s</w:t>
      </w:r>
      <w:r w:rsidR="00D06E91" w:rsidRPr="00102F37">
        <w:rPr>
          <w:rFonts w:ascii="Book Antiqua" w:hAnsi="Book Antiqua"/>
          <w:szCs w:val="24"/>
          <w:lang w:val="es-ES_tradnl"/>
        </w:rPr>
        <w:t xml:space="preserve">, a </w:t>
      </w:r>
      <w:r w:rsidR="00D06E91" w:rsidRPr="006A3F83">
        <w:rPr>
          <w:rFonts w:ascii="Book Antiqua" w:hAnsi="Book Antiqua"/>
          <w:szCs w:val="24"/>
          <w:lang w:val="es-ES_tradnl"/>
        </w:rPr>
        <w:t xml:space="preserve">los fines de </w:t>
      </w:r>
      <w:r w:rsidR="00D06E91">
        <w:rPr>
          <w:rFonts w:ascii="Book Antiqua" w:hAnsi="Book Antiqua"/>
          <w:szCs w:val="24"/>
          <w:lang w:val="es-ES_tradnl"/>
        </w:rPr>
        <w:t>añadir los factores a ser considerados por el tribunal cuando una parte solicite la descalificación de un abogado</w:t>
      </w:r>
      <w:r w:rsidR="00D06E91" w:rsidRPr="006A3F83">
        <w:rPr>
          <w:rFonts w:ascii="Book Antiqua" w:hAnsi="Book Antiqua" w:cs="Verdana"/>
          <w:color w:val="000000"/>
          <w:szCs w:val="24"/>
          <w:lang w:val="es-ES_tradnl"/>
        </w:rPr>
        <w:t xml:space="preserve"> y para otros fines relacionados</w:t>
      </w:r>
      <w:r w:rsidR="00D06E91">
        <w:rPr>
          <w:rFonts w:ascii="Book Antiqua" w:hAnsi="Book Antiqua" w:cs="Verdana"/>
          <w:color w:val="000000"/>
          <w:szCs w:val="24"/>
          <w:lang w:val="es-ES_tradnl"/>
        </w:rPr>
        <w:t>.</w:t>
      </w:r>
    </w:p>
    <w:bookmarkEnd w:id="4"/>
    <w:p w14:paraId="771800BC" w14:textId="77777777" w:rsidR="00A06A16" w:rsidRPr="00A11ED0" w:rsidRDefault="00A06A16" w:rsidP="00411030">
      <w:pPr>
        <w:tabs>
          <w:tab w:val="left" w:pos="-720"/>
        </w:tabs>
        <w:suppressAutoHyphens/>
        <w:ind w:firstLine="360"/>
        <w:jc w:val="center"/>
        <w:rPr>
          <w:rFonts w:ascii="Book Antiqua" w:hAnsi="Book Antiqua"/>
          <w:b/>
          <w:bCs/>
          <w:lang w:val="es-PR"/>
        </w:rPr>
      </w:pPr>
    </w:p>
    <w:p w14:paraId="6EE110C6" w14:textId="695AAC9E" w:rsidR="006F51A8" w:rsidRPr="00337BB7" w:rsidRDefault="009F427F" w:rsidP="00411030">
      <w:pPr>
        <w:tabs>
          <w:tab w:val="left" w:pos="-720"/>
        </w:tabs>
        <w:suppressAutoHyphens/>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Pr="00A11ED0" w:rsidRDefault="000C52A1" w:rsidP="00411030">
      <w:pPr>
        <w:tabs>
          <w:tab w:val="left" w:pos="-720"/>
        </w:tabs>
        <w:suppressAutoHyphens/>
        <w:ind w:firstLine="360"/>
        <w:jc w:val="center"/>
        <w:rPr>
          <w:rFonts w:ascii="Book Antiqua" w:hAnsi="Book Antiqua"/>
          <w:b/>
          <w:bCs/>
          <w:lang w:val="es-PR"/>
        </w:rPr>
      </w:pPr>
    </w:p>
    <w:p w14:paraId="04DE3DDD" w14:textId="28B549D1" w:rsidR="007A09DE" w:rsidRPr="007A09DE" w:rsidRDefault="009F524F" w:rsidP="00411030">
      <w:pPr>
        <w:tabs>
          <w:tab w:val="left" w:pos="-720"/>
        </w:tabs>
        <w:suppressAutoHyphens/>
        <w:ind w:firstLine="360"/>
        <w:jc w:val="both"/>
        <w:rPr>
          <w:rFonts w:ascii="Book Antiqua" w:hAnsi="Book Antiqua"/>
          <w:lang w:val="es-PR"/>
        </w:rPr>
      </w:pPr>
      <w:r>
        <w:rPr>
          <w:rFonts w:ascii="Book Antiqua" w:hAnsi="Book Antiqua"/>
          <w:lang w:val="es-PR"/>
        </w:rPr>
        <w:tab/>
      </w:r>
      <w:r w:rsidR="007A09DE" w:rsidRPr="007A09DE">
        <w:rPr>
          <w:rFonts w:ascii="Book Antiqua" w:hAnsi="Book Antiqua"/>
          <w:lang w:val="es-PR"/>
        </w:rPr>
        <w:t xml:space="preserve">El </w:t>
      </w:r>
      <w:r w:rsidR="007A09DE">
        <w:rPr>
          <w:rFonts w:ascii="Book Antiqua" w:hAnsi="Book Antiqua"/>
          <w:lang w:val="es-PR"/>
        </w:rPr>
        <w:t>P. de la C.</w:t>
      </w:r>
      <w:r w:rsidR="007A09DE" w:rsidRPr="007A09DE">
        <w:rPr>
          <w:rFonts w:ascii="Book Antiqua" w:hAnsi="Book Antiqua"/>
          <w:lang w:val="es-PR"/>
        </w:rPr>
        <w:t xml:space="preserve"> 171 tiene como propósito central </w:t>
      </w:r>
      <w:r w:rsidR="00440253">
        <w:rPr>
          <w:rFonts w:ascii="Book Antiqua" w:hAnsi="Book Antiqua"/>
          <w:lang w:val="es-PR"/>
        </w:rPr>
        <w:t>uniformar</w:t>
      </w:r>
      <w:r w:rsidR="007A09DE" w:rsidRPr="007A09DE">
        <w:rPr>
          <w:rFonts w:ascii="Book Antiqua" w:hAnsi="Book Antiqua"/>
          <w:lang w:val="es-PR"/>
        </w:rPr>
        <w:t xml:space="preserve"> el marco normativo que regula la descalificación de abogados en los procesos judiciales de Puerto Rico. Actualmente, la Regla 9.3 de Procedimiento Civil faculta a los tribunales a sancionar o descalificar a un abogado por conducta </w:t>
      </w:r>
      <w:r w:rsidR="006C0F4B">
        <w:rPr>
          <w:rFonts w:ascii="Book Antiqua" w:hAnsi="Book Antiqua"/>
          <w:lang w:val="es-PR"/>
        </w:rPr>
        <w:t>constitut</w:t>
      </w:r>
      <w:r w:rsidR="008B5F4D">
        <w:rPr>
          <w:rFonts w:ascii="Book Antiqua" w:hAnsi="Book Antiqua"/>
          <w:lang w:val="es-PR"/>
        </w:rPr>
        <w:t>iva de obstáculo</w:t>
      </w:r>
      <w:r w:rsidR="007A09DE" w:rsidRPr="007A09DE">
        <w:rPr>
          <w:rFonts w:ascii="Book Antiqua" w:hAnsi="Book Antiqua"/>
          <w:lang w:val="es-PR"/>
        </w:rPr>
        <w:t xml:space="preserve"> o por incumplir con sus deberes hacia el tribunal, sus clientes o sus colegas.</w:t>
      </w:r>
      <w:r w:rsidR="00170E89">
        <w:rPr>
          <w:rStyle w:val="FootnoteReference"/>
          <w:rFonts w:ascii="Book Antiqua" w:hAnsi="Book Antiqua"/>
          <w:lang w:val="es-PR"/>
        </w:rPr>
        <w:footnoteReference w:id="1"/>
      </w:r>
      <w:r w:rsidR="007A09DE" w:rsidRPr="007A09DE">
        <w:rPr>
          <w:rFonts w:ascii="Book Antiqua" w:hAnsi="Book Antiqua"/>
          <w:lang w:val="es-PR"/>
        </w:rPr>
        <w:t xml:space="preserve"> Sin embargo, la jurisprudencia </w:t>
      </w:r>
      <w:r w:rsidR="007A09DE" w:rsidRPr="007A09DE">
        <w:rPr>
          <w:rFonts w:ascii="Book Antiqua" w:hAnsi="Book Antiqua"/>
          <w:lang w:val="es-PR"/>
        </w:rPr>
        <w:lastRenderedPageBreak/>
        <w:t xml:space="preserve">ha sido clara en que esta facultad debe ejercerse restrictivamente, pues una descalificación puede afectar </w:t>
      </w:r>
      <w:r w:rsidR="00124221">
        <w:rPr>
          <w:rFonts w:ascii="Book Antiqua" w:hAnsi="Book Antiqua"/>
          <w:lang w:val="es-PR"/>
        </w:rPr>
        <w:t>el derecho constitucional del ciudadano que desea libremente escoger a su abogado</w:t>
      </w:r>
      <w:r w:rsidR="007A09DE" w:rsidRPr="007A09DE">
        <w:rPr>
          <w:rFonts w:ascii="Book Antiqua" w:hAnsi="Book Antiqua"/>
          <w:lang w:val="es-PR"/>
        </w:rPr>
        <w:t xml:space="preserve">, dilatar </w:t>
      </w:r>
      <w:r w:rsidR="00C06631">
        <w:rPr>
          <w:rFonts w:ascii="Book Antiqua" w:hAnsi="Book Antiqua"/>
          <w:lang w:val="es-PR"/>
        </w:rPr>
        <w:t xml:space="preserve">los </w:t>
      </w:r>
      <w:r w:rsidR="007A09DE" w:rsidRPr="007A09DE">
        <w:rPr>
          <w:rFonts w:ascii="Book Antiqua" w:hAnsi="Book Antiqua"/>
          <w:lang w:val="es-PR"/>
        </w:rPr>
        <w:t xml:space="preserve">procedimientos </w:t>
      </w:r>
      <w:r w:rsidR="00C06631">
        <w:rPr>
          <w:rFonts w:ascii="Book Antiqua" w:hAnsi="Book Antiqua"/>
          <w:lang w:val="es-PR"/>
        </w:rPr>
        <w:t xml:space="preserve">en curso </w:t>
      </w:r>
      <w:r w:rsidR="007A09DE" w:rsidRPr="007A09DE">
        <w:rPr>
          <w:rFonts w:ascii="Book Antiqua" w:hAnsi="Book Antiqua"/>
          <w:lang w:val="es-PR"/>
        </w:rPr>
        <w:t>y generar cargas económicas adicionales.</w:t>
      </w:r>
    </w:p>
    <w:p w14:paraId="5CF80027" w14:textId="40826A0D" w:rsidR="007A09DE" w:rsidRPr="007A09DE" w:rsidRDefault="00124221" w:rsidP="00411030">
      <w:pPr>
        <w:tabs>
          <w:tab w:val="left" w:pos="-720"/>
        </w:tabs>
        <w:suppressAutoHyphens/>
        <w:ind w:firstLine="360"/>
        <w:jc w:val="both"/>
        <w:rPr>
          <w:rFonts w:ascii="Book Antiqua" w:hAnsi="Book Antiqua"/>
          <w:lang w:val="es-PR"/>
        </w:rPr>
      </w:pPr>
      <w:r>
        <w:rPr>
          <w:rFonts w:ascii="Book Antiqua" w:hAnsi="Book Antiqua"/>
          <w:lang w:val="es-PR"/>
        </w:rPr>
        <w:tab/>
      </w:r>
      <w:r w:rsidR="007A09DE" w:rsidRPr="007A09DE">
        <w:rPr>
          <w:rFonts w:ascii="Book Antiqua" w:hAnsi="Book Antiqua"/>
          <w:lang w:val="es-PR"/>
        </w:rPr>
        <w:t xml:space="preserve">Consciente de esas implicaciones, </w:t>
      </w:r>
      <w:r>
        <w:rPr>
          <w:rFonts w:ascii="Book Antiqua" w:hAnsi="Book Antiqua"/>
          <w:lang w:val="es-PR"/>
        </w:rPr>
        <w:t>el proyecto</w:t>
      </w:r>
      <w:r w:rsidR="007A09DE" w:rsidRPr="007A09DE">
        <w:rPr>
          <w:rFonts w:ascii="Book Antiqua" w:hAnsi="Book Antiqua"/>
          <w:lang w:val="es-PR"/>
        </w:rPr>
        <w:t xml:space="preserve"> entiende necesario proveer criterios objetivos que guíen a los jueces al evaluar mociones de descalificación</w:t>
      </w:r>
      <w:r w:rsidR="00C33BD9">
        <w:rPr>
          <w:rFonts w:ascii="Book Antiqua" w:hAnsi="Book Antiqua"/>
          <w:lang w:val="es-PR"/>
        </w:rPr>
        <w:t xml:space="preserve"> de abogados</w:t>
      </w:r>
      <w:r w:rsidR="007A09DE" w:rsidRPr="007A09DE">
        <w:rPr>
          <w:rFonts w:ascii="Book Antiqua" w:hAnsi="Book Antiqua"/>
          <w:lang w:val="es-PR"/>
        </w:rPr>
        <w:t>. El proyecto busca, así, garantizar que tales solicitudes no se utilicen como tácticas dilatorias o para obtener ventajas indebidas, sino que respondan a situaciones de verdadero peso ético o procesal.</w:t>
      </w:r>
    </w:p>
    <w:p w14:paraId="060931BA" w14:textId="08284E45" w:rsidR="00181300" w:rsidRDefault="00124221" w:rsidP="009A4BCD">
      <w:pPr>
        <w:tabs>
          <w:tab w:val="left" w:pos="-720"/>
        </w:tabs>
        <w:suppressAutoHyphens/>
        <w:ind w:firstLine="360"/>
        <w:jc w:val="both"/>
        <w:rPr>
          <w:rFonts w:ascii="Book Antiqua" w:hAnsi="Book Antiqua"/>
          <w:lang w:val="es-PR"/>
        </w:rPr>
      </w:pPr>
      <w:r>
        <w:rPr>
          <w:rFonts w:ascii="Book Antiqua" w:hAnsi="Book Antiqua"/>
          <w:lang w:val="es-PR"/>
        </w:rPr>
        <w:tab/>
      </w:r>
      <w:r w:rsidR="007A09DE" w:rsidRPr="007A09DE">
        <w:rPr>
          <w:rFonts w:ascii="Book Antiqua" w:hAnsi="Book Antiqua"/>
          <w:lang w:val="es-PR"/>
        </w:rPr>
        <w:t>Por ello, la medida enmienda la Regla 9.3</w:t>
      </w:r>
      <w:r w:rsidR="00F17951">
        <w:rPr>
          <w:rFonts w:ascii="Book Antiqua" w:hAnsi="Book Antiqua"/>
          <w:lang w:val="es-PR"/>
        </w:rPr>
        <w:t xml:space="preserve">, </w:t>
      </w:r>
      <w:r w:rsidR="00F17951" w:rsidRPr="00F17951">
        <w:rPr>
          <w:rFonts w:ascii="Book Antiqua" w:hAnsi="Book Antiqua"/>
          <w:i/>
          <w:iCs/>
          <w:lang w:val="es-PR"/>
        </w:rPr>
        <w:t>supra</w:t>
      </w:r>
      <w:r w:rsidR="00F17951">
        <w:rPr>
          <w:rFonts w:ascii="Book Antiqua" w:hAnsi="Book Antiqua"/>
          <w:lang w:val="es-PR"/>
        </w:rPr>
        <w:t>,</w:t>
      </w:r>
      <w:r w:rsidR="007A09DE" w:rsidRPr="007A09DE">
        <w:rPr>
          <w:rFonts w:ascii="Book Antiqua" w:hAnsi="Book Antiqua"/>
          <w:lang w:val="es-PR"/>
        </w:rPr>
        <w:t xml:space="preserve"> para </w:t>
      </w:r>
      <w:r w:rsidR="00F17951">
        <w:rPr>
          <w:rFonts w:ascii="Book Antiqua" w:hAnsi="Book Antiqua"/>
          <w:lang w:val="es-PR"/>
        </w:rPr>
        <w:t>acoger</w:t>
      </w:r>
      <w:r w:rsidR="007A09DE" w:rsidRPr="007A09DE">
        <w:rPr>
          <w:rFonts w:ascii="Book Antiqua" w:hAnsi="Book Antiqua"/>
          <w:lang w:val="es-PR"/>
        </w:rPr>
        <w:t xml:space="preserve"> los factores que </w:t>
      </w:r>
      <w:r>
        <w:rPr>
          <w:rFonts w:ascii="Book Antiqua" w:hAnsi="Book Antiqua"/>
          <w:lang w:val="es-PR"/>
        </w:rPr>
        <w:t>ha reconocido la jurisprudencia del Tribunal Supremo</w:t>
      </w:r>
      <w:r w:rsidR="00F17951">
        <w:rPr>
          <w:rFonts w:ascii="Book Antiqua" w:hAnsi="Book Antiqua"/>
          <w:lang w:val="es-PR"/>
        </w:rPr>
        <w:t xml:space="preserve"> de Puerto Rico</w:t>
      </w:r>
      <w:r>
        <w:rPr>
          <w:rFonts w:ascii="Book Antiqua" w:hAnsi="Book Antiqua"/>
          <w:lang w:val="es-PR"/>
        </w:rPr>
        <w:t xml:space="preserve"> y que </w:t>
      </w:r>
      <w:r w:rsidR="007A09DE" w:rsidRPr="007A09DE">
        <w:rPr>
          <w:rFonts w:ascii="Book Antiqua" w:hAnsi="Book Antiqua"/>
          <w:lang w:val="es-PR"/>
        </w:rPr>
        <w:t xml:space="preserve">deberá considerar </w:t>
      </w:r>
      <w:r>
        <w:rPr>
          <w:rFonts w:ascii="Book Antiqua" w:hAnsi="Book Antiqua"/>
          <w:lang w:val="es-PR"/>
        </w:rPr>
        <w:t>los tribunales inferiores</w:t>
      </w:r>
      <w:r w:rsidR="007A09DE" w:rsidRPr="007A09DE">
        <w:rPr>
          <w:rFonts w:ascii="Book Antiqua" w:hAnsi="Book Antiqua"/>
          <w:lang w:val="es-PR"/>
        </w:rPr>
        <w:t>, tales como</w:t>
      </w:r>
      <w:r w:rsidR="009C41AD">
        <w:rPr>
          <w:rFonts w:ascii="Book Antiqua" w:hAnsi="Book Antiqua"/>
          <w:lang w:val="es-PR"/>
        </w:rPr>
        <w:t>:</w:t>
      </w:r>
      <w:r w:rsidR="007A09DE" w:rsidRPr="007A09DE">
        <w:rPr>
          <w:rFonts w:ascii="Book Antiqua" w:hAnsi="Book Antiqua"/>
          <w:lang w:val="es-PR"/>
        </w:rPr>
        <w:t xml:space="preserve"> </w:t>
      </w:r>
    </w:p>
    <w:p w14:paraId="12F01616" w14:textId="1F8C117A" w:rsidR="009C41AD" w:rsidRPr="009C41AD" w:rsidRDefault="009C41AD" w:rsidP="00411030">
      <w:pPr>
        <w:pStyle w:val="ListParagraph"/>
        <w:numPr>
          <w:ilvl w:val="0"/>
          <w:numId w:val="7"/>
        </w:numPr>
        <w:tabs>
          <w:tab w:val="left" w:pos="-720"/>
        </w:tabs>
        <w:suppressAutoHyphens/>
        <w:ind w:left="1440"/>
        <w:jc w:val="both"/>
        <w:rPr>
          <w:rFonts w:ascii="Book Antiqua" w:hAnsi="Book Antiqua"/>
          <w:lang w:val="es-PR"/>
        </w:rPr>
      </w:pPr>
      <w:r w:rsidRPr="009C41AD">
        <w:rPr>
          <w:rFonts w:ascii="Book Antiqua" w:hAnsi="Book Antiqua"/>
          <w:lang w:val="es-PR"/>
        </w:rPr>
        <w:t xml:space="preserve">si quien solicita la descalificación tiene legitimación activa para invocarla; </w:t>
      </w:r>
    </w:p>
    <w:p w14:paraId="628C8789" w14:textId="77777777" w:rsidR="009C41AD" w:rsidRDefault="009C41AD" w:rsidP="00411030">
      <w:pPr>
        <w:pStyle w:val="ListParagraph"/>
        <w:numPr>
          <w:ilvl w:val="0"/>
          <w:numId w:val="7"/>
        </w:numPr>
        <w:tabs>
          <w:tab w:val="left" w:pos="-720"/>
        </w:tabs>
        <w:suppressAutoHyphens/>
        <w:ind w:left="1440"/>
        <w:jc w:val="both"/>
        <w:rPr>
          <w:rFonts w:ascii="Book Antiqua" w:hAnsi="Book Antiqua"/>
          <w:lang w:val="es-PR"/>
        </w:rPr>
      </w:pPr>
      <w:r w:rsidRPr="009C41AD">
        <w:rPr>
          <w:rFonts w:ascii="Book Antiqua" w:hAnsi="Book Antiqua"/>
          <w:lang w:val="es-PR"/>
        </w:rPr>
        <w:t xml:space="preserve">la gravedad de la posible violación ética involucrada; </w:t>
      </w:r>
    </w:p>
    <w:p w14:paraId="710DCEE9" w14:textId="6AF2BCA4" w:rsidR="00AB4DA7" w:rsidRDefault="009C41AD" w:rsidP="00411030">
      <w:pPr>
        <w:pStyle w:val="ListParagraph"/>
        <w:numPr>
          <w:ilvl w:val="0"/>
          <w:numId w:val="7"/>
        </w:numPr>
        <w:tabs>
          <w:tab w:val="left" w:pos="-720"/>
        </w:tabs>
        <w:suppressAutoHyphens/>
        <w:ind w:left="1440"/>
        <w:jc w:val="both"/>
        <w:rPr>
          <w:rFonts w:ascii="Book Antiqua" w:hAnsi="Book Antiqua"/>
          <w:lang w:val="es-PR"/>
        </w:rPr>
      </w:pPr>
      <w:r w:rsidRPr="009C41AD">
        <w:rPr>
          <w:rFonts w:ascii="Book Antiqua" w:hAnsi="Book Antiqua"/>
          <w:lang w:val="es-PR"/>
        </w:rPr>
        <w:t xml:space="preserve">la complejidad del derecho o los hechos pertinentes a la controversia y el </w:t>
      </w:r>
      <w:r w:rsidR="00FF2797" w:rsidRPr="00FF2797">
        <w:rPr>
          <w:rFonts w:ascii="Book Antiqua" w:hAnsi="Book Antiqua"/>
          <w:i/>
          <w:iCs/>
          <w:lang w:val="es-PR"/>
        </w:rPr>
        <w:t>expertise</w:t>
      </w:r>
      <w:r w:rsidRPr="009C41AD">
        <w:rPr>
          <w:rFonts w:ascii="Book Antiqua" w:hAnsi="Book Antiqua"/>
          <w:lang w:val="es-PR"/>
        </w:rPr>
        <w:t xml:space="preserve"> de los abogados implicados; </w:t>
      </w:r>
    </w:p>
    <w:p w14:paraId="3EBDD5A4" w14:textId="06F28329" w:rsidR="00AB4DA7" w:rsidRDefault="009C41AD" w:rsidP="00411030">
      <w:pPr>
        <w:pStyle w:val="ListParagraph"/>
        <w:numPr>
          <w:ilvl w:val="0"/>
          <w:numId w:val="7"/>
        </w:numPr>
        <w:tabs>
          <w:tab w:val="left" w:pos="-720"/>
        </w:tabs>
        <w:suppressAutoHyphens/>
        <w:ind w:left="1440"/>
        <w:jc w:val="both"/>
        <w:rPr>
          <w:rFonts w:ascii="Book Antiqua" w:hAnsi="Book Antiqua"/>
          <w:lang w:val="es-PR"/>
        </w:rPr>
      </w:pPr>
      <w:r w:rsidRPr="009C41AD">
        <w:rPr>
          <w:rFonts w:ascii="Book Antiqua" w:hAnsi="Book Antiqua"/>
          <w:lang w:val="es-PR"/>
        </w:rPr>
        <w:t>la etapa de los procedimientos en que surja la controversia sobre descalificación y su posible efecto en cuanto a la solución justa, rápida y económica</w:t>
      </w:r>
      <w:r w:rsidR="005A4A2C">
        <w:rPr>
          <w:rFonts w:ascii="Book Antiqua" w:hAnsi="Book Antiqua"/>
          <w:lang w:val="es-PR"/>
        </w:rPr>
        <w:t xml:space="preserve"> </w:t>
      </w:r>
      <w:r w:rsidRPr="009C41AD">
        <w:rPr>
          <w:rFonts w:ascii="Book Antiqua" w:hAnsi="Book Antiqua"/>
          <w:lang w:val="es-PR"/>
        </w:rPr>
        <w:t xml:space="preserve">del caso, y </w:t>
      </w:r>
    </w:p>
    <w:p w14:paraId="7E9924A5" w14:textId="78662B4D" w:rsidR="009C41AD" w:rsidRPr="009A4BCD" w:rsidRDefault="009C41AD" w:rsidP="009A4BCD">
      <w:pPr>
        <w:pStyle w:val="ListParagraph"/>
        <w:numPr>
          <w:ilvl w:val="0"/>
          <w:numId w:val="7"/>
        </w:numPr>
        <w:tabs>
          <w:tab w:val="left" w:pos="-720"/>
        </w:tabs>
        <w:suppressAutoHyphens/>
        <w:ind w:left="1440"/>
        <w:jc w:val="both"/>
        <w:rPr>
          <w:rFonts w:ascii="Book Antiqua" w:hAnsi="Book Antiqua"/>
          <w:lang w:val="es-PR"/>
        </w:rPr>
      </w:pPr>
      <w:r w:rsidRPr="009C41AD">
        <w:rPr>
          <w:rFonts w:ascii="Book Antiqua" w:hAnsi="Book Antiqua"/>
          <w:lang w:val="es-PR"/>
        </w:rPr>
        <w:t>el propósito detrás de la descalificación, es decir, si la moción está siendo utilizada como mecanismo para dilatar los procedimientos</w:t>
      </w:r>
      <w:r w:rsidR="00B31371">
        <w:rPr>
          <w:rFonts w:ascii="Book Antiqua" w:hAnsi="Book Antiqua"/>
          <w:lang w:val="es-PR"/>
        </w:rPr>
        <w:t>.</w:t>
      </w:r>
      <w:r w:rsidR="00B31371">
        <w:rPr>
          <w:rStyle w:val="FootnoteReference"/>
          <w:rFonts w:ascii="Book Antiqua" w:hAnsi="Book Antiqua"/>
          <w:lang w:val="es-PR"/>
        </w:rPr>
        <w:footnoteReference w:id="2"/>
      </w:r>
    </w:p>
    <w:p w14:paraId="35931FC5" w14:textId="69726516" w:rsidR="00940E84" w:rsidRDefault="004177EF" w:rsidP="009A4BCD">
      <w:pPr>
        <w:tabs>
          <w:tab w:val="left" w:pos="-720"/>
        </w:tabs>
        <w:suppressAutoHyphens/>
        <w:ind w:firstLine="360"/>
        <w:jc w:val="both"/>
        <w:rPr>
          <w:rFonts w:ascii="Book Antiqua" w:hAnsi="Book Antiqua"/>
          <w:lang w:val="es-PR"/>
        </w:rPr>
      </w:pPr>
      <w:r>
        <w:rPr>
          <w:rFonts w:ascii="Book Antiqua" w:hAnsi="Book Antiqua"/>
          <w:lang w:val="es-PR"/>
        </w:rPr>
        <w:tab/>
      </w:r>
      <w:r w:rsidRPr="004177EF">
        <w:rPr>
          <w:rFonts w:ascii="Book Antiqua" w:hAnsi="Book Antiqua"/>
          <w:lang w:val="es-PR"/>
        </w:rPr>
        <w:t>Respecto a</w:t>
      </w:r>
      <w:r>
        <w:rPr>
          <w:rFonts w:ascii="Book Antiqua" w:hAnsi="Book Antiqua"/>
          <w:lang w:val="es-PR"/>
        </w:rPr>
        <w:t xml:space="preserve">l </w:t>
      </w:r>
      <w:r w:rsidRPr="004177EF">
        <w:rPr>
          <w:rFonts w:ascii="Book Antiqua" w:hAnsi="Book Antiqua"/>
          <w:lang w:val="es-PR"/>
        </w:rPr>
        <w:t xml:space="preserve">último requisito, </w:t>
      </w:r>
      <w:r>
        <w:rPr>
          <w:rFonts w:ascii="Book Antiqua" w:hAnsi="Book Antiqua"/>
          <w:lang w:val="es-PR"/>
        </w:rPr>
        <w:t>el</w:t>
      </w:r>
      <w:r w:rsidRPr="004177EF">
        <w:rPr>
          <w:rFonts w:ascii="Book Antiqua" w:hAnsi="Book Antiqua"/>
          <w:lang w:val="es-PR"/>
        </w:rPr>
        <w:t xml:space="preserve"> Tribunal </w:t>
      </w:r>
      <w:r>
        <w:rPr>
          <w:rFonts w:ascii="Book Antiqua" w:hAnsi="Book Antiqua"/>
          <w:lang w:val="es-PR"/>
        </w:rPr>
        <w:t xml:space="preserve">Supremo de Puerto Rico </w:t>
      </w:r>
      <w:r w:rsidRPr="004177EF">
        <w:rPr>
          <w:rFonts w:ascii="Book Antiqua" w:hAnsi="Book Antiqua"/>
          <w:lang w:val="es-PR"/>
        </w:rPr>
        <w:t xml:space="preserve">ha expresado que </w:t>
      </w:r>
      <w:r>
        <w:rPr>
          <w:rFonts w:ascii="Book Antiqua" w:hAnsi="Book Antiqua"/>
          <w:lang w:val="es-PR"/>
        </w:rPr>
        <w:t>“</w:t>
      </w:r>
      <w:r w:rsidRPr="004177EF">
        <w:rPr>
          <w:rFonts w:ascii="Book Antiqua" w:hAnsi="Book Antiqua"/>
          <w:lang w:val="es-PR"/>
        </w:rPr>
        <w:t xml:space="preserve">un juez puede denegar una solicitud de descalificación presentada por una parte adversa cuando entienda que </w:t>
      </w:r>
      <w:r w:rsidR="001842DE">
        <w:rPr>
          <w:rFonts w:ascii="Book Antiqua" w:hAnsi="Book Antiqua"/>
          <w:lang w:val="es-PR"/>
        </w:rPr>
        <w:t>[e]</w:t>
      </w:r>
      <w:r w:rsidRPr="004177EF">
        <w:rPr>
          <w:rFonts w:ascii="Book Antiqua" w:hAnsi="Book Antiqua"/>
          <w:lang w:val="es-PR"/>
        </w:rPr>
        <w:t>sta se ha interpuesto como una táctica dilatoria del procedimiento</w:t>
      </w:r>
      <w:r>
        <w:rPr>
          <w:rFonts w:ascii="Book Antiqua" w:hAnsi="Book Antiqua"/>
          <w:lang w:val="es-PR"/>
        </w:rPr>
        <w:t>”</w:t>
      </w:r>
      <w:r w:rsidRPr="004177EF">
        <w:rPr>
          <w:rFonts w:ascii="Book Antiqua" w:hAnsi="Book Antiqua"/>
          <w:lang w:val="es-PR"/>
        </w:rPr>
        <w:t>.</w:t>
      </w:r>
      <w:r>
        <w:rPr>
          <w:rStyle w:val="FootnoteReference"/>
          <w:rFonts w:ascii="Book Antiqua" w:hAnsi="Book Antiqua"/>
          <w:lang w:val="es-PR"/>
        </w:rPr>
        <w:footnoteReference w:id="3"/>
      </w:r>
      <w:r w:rsidRPr="004177EF">
        <w:rPr>
          <w:rFonts w:ascii="Book Antiqua" w:hAnsi="Book Antiqua"/>
          <w:lang w:val="es-PR"/>
        </w:rPr>
        <w:t>. Otra situación en la cual la solicitud</w:t>
      </w:r>
      <w:r w:rsidR="001842DE">
        <w:rPr>
          <w:rFonts w:ascii="Book Antiqua" w:hAnsi="Book Antiqua"/>
          <w:lang w:val="es-PR"/>
        </w:rPr>
        <w:t xml:space="preserve"> de descalificación</w:t>
      </w:r>
      <w:r w:rsidRPr="004177EF">
        <w:rPr>
          <w:rFonts w:ascii="Book Antiqua" w:hAnsi="Book Antiqua"/>
          <w:lang w:val="es-PR"/>
        </w:rPr>
        <w:t xml:space="preserve"> es considerada frívola y debe ser denegada es cuando se presenta a los únicos fines de intimidar al adversario.</w:t>
      </w:r>
      <w:r w:rsidR="006952DA">
        <w:rPr>
          <w:rStyle w:val="FootnoteReference"/>
          <w:rFonts w:ascii="Book Antiqua" w:hAnsi="Book Antiqua"/>
          <w:lang w:val="es-PR"/>
        </w:rPr>
        <w:footnoteReference w:id="4"/>
      </w:r>
      <w:r w:rsidR="004A23CC">
        <w:rPr>
          <w:rFonts w:ascii="Book Antiqua" w:hAnsi="Book Antiqua"/>
          <w:lang w:val="es-PR"/>
        </w:rPr>
        <w:t xml:space="preserve"> </w:t>
      </w:r>
      <w:r w:rsidR="006952DA">
        <w:rPr>
          <w:rFonts w:ascii="Book Antiqua" w:hAnsi="Book Antiqua"/>
          <w:lang w:val="es-PR"/>
        </w:rPr>
        <w:t xml:space="preserve">Asimismo, el Tribunal ha dictaminado que el </w:t>
      </w:r>
      <w:r w:rsidRPr="004177EF">
        <w:rPr>
          <w:rFonts w:ascii="Book Antiqua" w:hAnsi="Book Antiqua"/>
          <w:lang w:val="es-PR"/>
        </w:rPr>
        <w:t>juez que atiende una moción de descalificación debe analizar si la continuación de la representación legal le causaría un perjuicio o desventaja indebida en el caso a quien la solicita.</w:t>
      </w:r>
      <w:r w:rsidR="00762892">
        <w:rPr>
          <w:rStyle w:val="FootnoteReference"/>
          <w:rFonts w:ascii="Book Antiqua" w:hAnsi="Book Antiqua"/>
          <w:lang w:val="es-PR"/>
        </w:rPr>
        <w:footnoteReference w:id="5"/>
      </w:r>
      <w:r w:rsidRPr="004177EF">
        <w:rPr>
          <w:rFonts w:ascii="Book Antiqua" w:hAnsi="Book Antiqua"/>
          <w:lang w:val="es-PR"/>
        </w:rPr>
        <w:t xml:space="preserve"> Antes de determinar si procede la descalificación requerida, el tribunal le deberá brindar la oportunidad al representante legal, cuya descalificación está siendo solicitada, para que se exprese</w:t>
      </w:r>
      <w:r w:rsidR="00762892">
        <w:rPr>
          <w:rFonts w:ascii="Book Antiqua" w:hAnsi="Book Antiqua"/>
          <w:lang w:val="es-PR"/>
        </w:rPr>
        <w:t>.</w:t>
      </w:r>
      <w:r w:rsidR="00762892">
        <w:rPr>
          <w:rStyle w:val="FootnoteReference"/>
          <w:rFonts w:ascii="Book Antiqua" w:hAnsi="Book Antiqua"/>
          <w:lang w:val="es-PR"/>
        </w:rPr>
        <w:footnoteReference w:id="6"/>
      </w:r>
    </w:p>
    <w:p w14:paraId="454729DA" w14:textId="77777777" w:rsidR="00AC0B9B" w:rsidRDefault="00AC0B9B" w:rsidP="00411030">
      <w:pPr>
        <w:tabs>
          <w:tab w:val="left" w:pos="-720"/>
        </w:tabs>
        <w:suppressAutoHyphens/>
        <w:ind w:firstLine="360"/>
        <w:jc w:val="center"/>
        <w:rPr>
          <w:rFonts w:ascii="Book Antiqua" w:hAnsi="Book Antiqua"/>
          <w:b/>
          <w:bCs/>
          <w:lang w:val="es-PR"/>
        </w:rPr>
      </w:pPr>
    </w:p>
    <w:p w14:paraId="302CAC3A" w14:textId="71C247BE" w:rsidR="00D13D23" w:rsidRDefault="0096171F" w:rsidP="00411030">
      <w:pPr>
        <w:tabs>
          <w:tab w:val="left" w:pos="-720"/>
        </w:tabs>
        <w:suppressAutoHyphens/>
        <w:ind w:firstLine="360"/>
        <w:jc w:val="center"/>
        <w:rPr>
          <w:rFonts w:ascii="Book Antiqua" w:hAnsi="Book Antiqua"/>
          <w:b/>
          <w:bCs/>
          <w:lang w:val="es-PR"/>
        </w:rPr>
      </w:pPr>
      <w:r w:rsidRPr="00D13D23">
        <w:rPr>
          <w:rFonts w:ascii="Book Antiqua" w:hAnsi="Book Antiqua"/>
          <w:b/>
          <w:bCs/>
          <w:lang w:val="es-PR"/>
        </w:rPr>
        <w:lastRenderedPageBreak/>
        <w:t>I</w:t>
      </w:r>
      <w:r w:rsidR="002C402D" w:rsidRPr="00D13D23">
        <w:rPr>
          <w:rFonts w:ascii="Book Antiqua" w:hAnsi="Book Antiqua"/>
          <w:b/>
          <w:bCs/>
          <w:lang w:val="es-PR"/>
        </w:rPr>
        <w:t>MPACTO FISCAL</w:t>
      </w:r>
      <w:r w:rsidR="00D13D23">
        <w:rPr>
          <w:rFonts w:ascii="Book Antiqua" w:hAnsi="Book Antiqua"/>
          <w:b/>
          <w:bCs/>
          <w:lang w:val="es-PR"/>
        </w:rPr>
        <w:t xml:space="preserve"> MUNICIPAL </w:t>
      </w:r>
    </w:p>
    <w:p w14:paraId="144378DC" w14:textId="77777777" w:rsidR="000C52A1" w:rsidRDefault="000C52A1" w:rsidP="00411030">
      <w:pPr>
        <w:tabs>
          <w:tab w:val="left" w:pos="-720"/>
        </w:tabs>
        <w:suppressAutoHyphens/>
        <w:ind w:firstLine="360"/>
        <w:jc w:val="center"/>
        <w:rPr>
          <w:rFonts w:ascii="Book Antiqua" w:hAnsi="Book Antiqua"/>
          <w:b/>
          <w:bCs/>
          <w:lang w:val="es-PR"/>
        </w:rPr>
      </w:pPr>
    </w:p>
    <w:p w14:paraId="3CD7EB56" w14:textId="13D91860" w:rsidR="002C402D" w:rsidRPr="00DF45DC" w:rsidRDefault="004F6E72" w:rsidP="00411030">
      <w:pPr>
        <w:tabs>
          <w:tab w:val="left" w:pos="-720"/>
        </w:tabs>
        <w:suppressAutoHyphens/>
        <w:ind w:firstLine="360"/>
        <w:jc w:val="both"/>
        <w:rPr>
          <w:rFonts w:ascii="Book Antiqua" w:hAnsi="Book Antiqua"/>
          <w:lang w:val="es-PR"/>
        </w:rPr>
      </w:pPr>
      <w:r>
        <w:rPr>
          <w:rFonts w:ascii="Book Antiqua" w:hAnsi="Book Antiqua"/>
          <w:lang w:val="es-PR"/>
        </w:rPr>
        <w:tab/>
      </w:r>
      <w:r w:rsidR="00D13D23" w:rsidRPr="00DF45DC">
        <w:rPr>
          <w:rFonts w:ascii="Book Antiqua" w:hAnsi="Book Antiqua"/>
          <w:lang w:val="es-PR"/>
        </w:rPr>
        <w:t xml:space="preserve">En cumplimiento con el Artículo 1.007 de la Ley Núm. 107–2020, según enmendada, conocida como “Código Municipal de Puerto Rico”, la </w:t>
      </w:r>
      <w:r w:rsidR="00BE6740">
        <w:rPr>
          <w:rFonts w:ascii="Book Antiqua" w:hAnsi="Book Antiqua"/>
          <w:spacing w:val="-3"/>
          <w:lang w:val="es-ES_tradnl"/>
        </w:rPr>
        <w:t>Comisión de lo Jurídico del Senado de Puerto Rico</w:t>
      </w:r>
      <w:r w:rsidR="00BE6740" w:rsidRPr="00337BB7">
        <w:rPr>
          <w:rFonts w:ascii="Book Antiqua" w:hAnsi="Book Antiqua"/>
          <w:lang w:val="es-PR"/>
        </w:rPr>
        <w:t xml:space="preserve"> </w:t>
      </w:r>
      <w:r w:rsidRPr="00337BB7">
        <w:rPr>
          <w:rFonts w:ascii="Book Antiqua" w:hAnsi="Book Antiqua"/>
          <w:lang w:val="es-PR"/>
        </w:rPr>
        <w:t xml:space="preserve">certifica que el </w:t>
      </w:r>
      <w:r w:rsidR="00201567" w:rsidRPr="00337BB7">
        <w:rPr>
          <w:rFonts w:ascii="Book Antiqua" w:hAnsi="Book Antiqua"/>
          <w:lang w:val="es-PR"/>
        </w:rPr>
        <w:t xml:space="preserve">P. </w:t>
      </w:r>
      <w:r w:rsidR="00D61B26">
        <w:rPr>
          <w:rFonts w:ascii="Book Antiqua" w:hAnsi="Book Antiqua"/>
          <w:lang w:val="es-PR"/>
        </w:rPr>
        <w:t>de la C. 171</w:t>
      </w:r>
      <w:r w:rsidR="00201567">
        <w:rPr>
          <w:rFonts w:ascii="Book Antiqua" w:hAnsi="Book Antiqua"/>
          <w:lang w:val="es-PR"/>
        </w:rPr>
        <w:t xml:space="preserve"> </w:t>
      </w:r>
      <w:r w:rsidR="00D13D23" w:rsidRPr="00DF45DC">
        <w:rPr>
          <w:rFonts w:ascii="Book Antiqua" w:hAnsi="Book Antiqua"/>
          <w:lang w:val="es-PR"/>
        </w:rPr>
        <w:t>no impone una obligación económica en el presupuesto</w:t>
      </w:r>
      <w:r w:rsidR="00946BB4" w:rsidRPr="00DF45DC">
        <w:rPr>
          <w:rFonts w:ascii="Book Antiqua" w:hAnsi="Book Antiqua"/>
          <w:lang w:val="es-PR"/>
        </w:rPr>
        <w:t xml:space="preserve"> de los gobiernos municipales. </w:t>
      </w:r>
    </w:p>
    <w:p w14:paraId="426C19E9" w14:textId="77777777" w:rsidR="00946BB4" w:rsidRPr="00946BB4" w:rsidRDefault="00946BB4" w:rsidP="00411030">
      <w:pPr>
        <w:tabs>
          <w:tab w:val="left" w:pos="-720"/>
        </w:tabs>
        <w:suppressAutoHyphens/>
        <w:ind w:firstLine="360"/>
        <w:jc w:val="both"/>
        <w:rPr>
          <w:rFonts w:ascii="Book Antiqua" w:hAnsi="Book Antiqua"/>
          <w:lang w:val="es-PR"/>
        </w:rPr>
      </w:pPr>
    </w:p>
    <w:p w14:paraId="482AC70D" w14:textId="77777777" w:rsidR="0096171F" w:rsidRDefault="0096171F" w:rsidP="00411030">
      <w:pPr>
        <w:tabs>
          <w:tab w:val="left" w:pos="-720"/>
        </w:tabs>
        <w:suppressAutoHyphens/>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040801D3" w14:textId="77777777" w:rsidR="000C52A1" w:rsidRPr="002C402D" w:rsidRDefault="000C52A1" w:rsidP="00411030">
      <w:pPr>
        <w:tabs>
          <w:tab w:val="left" w:pos="-720"/>
        </w:tabs>
        <w:suppressAutoHyphens/>
        <w:ind w:firstLine="360"/>
        <w:jc w:val="center"/>
        <w:rPr>
          <w:rFonts w:ascii="Book Antiqua" w:hAnsi="Book Antiqua"/>
          <w:b/>
          <w:bCs/>
          <w:lang w:val="es-PR"/>
        </w:rPr>
      </w:pPr>
    </w:p>
    <w:p w14:paraId="2D81B2DA" w14:textId="18542130" w:rsidR="000B071A" w:rsidRDefault="00006DDC" w:rsidP="00411030">
      <w:pPr>
        <w:tabs>
          <w:tab w:val="left" w:pos="-720"/>
        </w:tabs>
        <w:suppressAutoHyphens/>
        <w:ind w:firstLine="360"/>
        <w:jc w:val="both"/>
        <w:rPr>
          <w:rFonts w:ascii="Book Antiqua" w:hAnsi="Book Antiqua"/>
          <w:lang w:val="es-PR"/>
        </w:rPr>
      </w:pPr>
      <w:r>
        <w:rPr>
          <w:rFonts w:ascii="Book Antiqua" w:hAnsi="Book Antiqua"/>
          <w:lang w:val="es-PR"/>
        </w:rPr>
        <w:tab/>
      </w:r>
      <w:r w:rsidRPr="00DF45DC">
        <w:rPr>
          <w:rFonts w:ascii="Book Antiqua" w:hAnsi="Book Antiqua"/>
          <w:lang w:val="es-PR"/>
        </w:rPr>
        <w:t xml:space="preserve">La </w:t>
      </w:r>
      <w:r w:rsidR="00F86C0C">
        <w:rPr>
          <w:rFonts w:ascii="Book Antiqua" w:hAnsi="Book Antiqua"/>
          <w:spacing w:val="-3"/>
          <w:lang w:val="es-ES_tradnl"/>
        </w:rPr>
        <w:t>Comisión de lo Jurídico del Senado de Puerto Rico</w:t>
      </w:r>
      <w:r w:rsidR="006C283C">
        <w:rPr>
          <w:rFonts w:ascii="Book Antiqua" w:hAnsi="Book Antiqua"/>
          <w:lang w:val="es-PR"/>
        </w:rPr>
        <w:t xml:space="preserve"> </w:t>
      </w:r>
      <w:r w:rsidR="004F6E72" w:rsidRPr="00337BB7">
        <w:rPr>
          <w:rFonts w:ascii="Book Antiqua" w:hAnsi="Book Antiqua"/>
          <w:lang w:val="es-PR"/>
        </w:rPr>
        <w:t xml:space="preserve">efectuó un análisis minucioso </w:t>
      </w:r>
      <w:r w:rsidR="00201567">
        <w:rPr>
          <w:rFonts w:ascii="Book Antiqua" w:hAnsi="Book Antiqua"/>
          <w:lang w:val="es-PR"/>
        </w:rPr>
        <w:t xml:space="preserve">del </w:t>
      </w:r>
      <w:r w:rsidR="00201567" w:rsidRPr="00337BB7">
        <w:rPr>
          <w:rFonts w:ascii="Book Antiqua" w:hAnsi="Book Antiqua"/>
          <w:lang w:val="es-PR"/>
        </w:rPr>
        <w:t xml:space="preserve">P. </w:t>
      </w:r>
      <w:r w:rsidR="00762892">
        <w:rPr>
          <w:rFonts w:ascii="Book Antiqua" w:hAnsi="Book Antiqua"/>
          <w:lang w:val="es-PR"/>
        </w:rPr>
        <w:t>de la C. 171,</w:t>
      </w:r>
      <w:r w:rsidR="00B702A0">
        <w:rPr>
          <w:rFonts w:ascii="Book Antiqua" w:hAnsi="Book Antiqua"/>
          <w:lang w:val="es-PR"/>
        </w:rPr>
        <w:t xml:space="preserve"> según fue referid</w:t>
      </w:r>
      <w:r w:rsidR="00201567">
        <w:rPr>
          <w:rFonts w:ascii="Book Antiqua" w:hAnsi="Book Antiqua"/>
          <w:lang w:val="es-PR"/>
        </w:rPr>
        <w:t>o</w:t>
      </w:r>
      <w:r w:rsidR="001D12A7">
        <w:rPr>
          <w:rFonts w:ascii="Book Antiqua" w:hAnsi="Book Antiqua"/>
          <w:lang w:val="es-PR"/>
        </w:rPr>
        <w:t>,</w:t>
      </w:r>
      <w:r w:rsidR="00B702A0">
        <w:rPr>
          <w:rFonts w:ascii="Book Antiqua" w:hAnsi="Book Antiqua"/>
          <w:lang w:val="es-PR"/>
        </w:rPr>
        <w:t xml:space="preserve"> también analiz</w:t>
      </w:r>
      <w:r w:rsidR="005354C6">
        <w:rPr>
          <w:rFonts w:ascii="Book Antiqua" w:hAnsi="Book Antiqua"/>
          <w:lang w:val="es-PR"/>
        </w:rPr>
        <w:t>ó</w:t>
      </w:r>
      <w:r w:rsidR="00B702A0">
        <w:rPr>
          <w:rFonts w:ascii="Book Antiqua" w:hAnsi="Book Antiqua"/>
          <w:lang w:val="es-PR"/>
        </w:rPr>
        <w:t xml:space="preserve"> </w:t>
      </w:r>
      <w:r w:rsidR="00762892">
        <w:rPr>
          <w:rFonts w:ascii="Book Antiqua" w:hAnsi="Book Antiqua"/>
          <w:lang w:val="es-PR"/>
        </w:rPr>
        <w:t xml:space="preserve">las Reglas de Procedimiento Civil de Puerto Rico y la jurisprudencia aplicable a </w:t>
      </w:r>
      <w:r w:rsidR="007928EC">
        <w:rPr>
          <w:rFonts w:ascii="Book Antiqua" w:hAnsi="Book Antiqua"/>
          <w:lang w:val="es-PR"/>
        </w:rPr>
        <w:t>las</w:t>
      </w:r>
      <w:r w:rsidR="00842BF1">
        <w:rPr>
          <w:rFonts w:ascii="Book Antiqua" w:hAnsi="Book Antiqua"/>
          <w:lang w:val="es-PR"/>
        </w:rPr>
        <w:t xml:space="preserve"> controversias sobre descalificación de abogados. La Comisión también estudió las nuevas Reglas de </w:t>
      </w:r>
      <w:r w:rsidR="008D6B89">
        <w:rPr>
          <w:rFonts w:ascii="Book Antiqua" w:hAnsi="Book Antiqua"/>
          <w:lang w:val="es-PR"/>
        </w:rPr>
        <w:t>Conducta</w:t>
      </w:r>
      <w:r w:rsidR="00842BF1">
        <w:rPr>
          <w:rFonts w:ascii="Book Antiqua" w:hAnsi="Book Antiqua"/>
          <w:lang w:val="es-PR"/>
        </w:rPr>
        <w:t xml:space="preserve"> Profesional que el Tribunal Supremo de Puerto Rico promulgó el </w:t>
      </w:r>
      <w:r w:rsidR="00BF3B64">
        <w:rPr>
          <w:rFonts w:ascii="Book Antiqua" w:hAnsi="Book Antiqua"/>
          <w:lang w:val="es-PR"/>
        </w:rPr>
        <w:t>17 de junio de 2025.</w:t>
      </w:r>
      <w:r w:rsidR="008B4E93">
        <w:rPr>
          <w:rStyle w:val="FootnoteReference"/>
          <w:rFonts w:ascii="Book Antiqua" w:hAnsi="Book Antiqua"/>
          <w:lang w:val="es-PR"/>
        </w:rPr>
        <w:footnoteReference w:id="7"/>
      </w:r>
      <w:r w:rsidR="005354C6">
        <w:rPr>
          <w:rFonts w:ascii="Book Antiqua" w:hAnsi="Book Antiqua"/>
          <w:lang w:val="es-PR"/>
        </w:rPr>
        <w:t xml:space="preserve"> </w:t>
      </w:r>
    </w:p>
    <w:p w14:paraId="12984714" w14:textId="561004A3" w:rsidR="000B071A" w:rsidRPr="00183113" w:rsidRDefault="00D16010" w:rsidP="00411030">
      <w:pPr>
        <w:tabs>
          <w:tab w:val="left" w:pos="-720"/>
        </w:tabs>
        <w:suppressAutoHyphens/>
        <w:ind w:firstLine="360"/>
        <w:jc w:val="both"/>
        <w:rPr>
          <w:rFonts w:ascii="Book Antiqua" w:hAnsi="Book Antiqua"/>
          <w:lang w:val="es-PR"/>
        </w:rPr>
      </w:pPr>
      <w:r>
        <w:rPr>
          <w:rFonts w:ascii="Book Antiqua" w:hAnsi="Book Antiqua"/>
          <w:lang w:val="es-PR"/>
        </w:rPr>
        <w:lastRenderedPageBreak/>
        <w:tab/>
      </w:r>
      <w:r w:rsidR="000B071A">
        <w:rPr>
          <w:rFonts w:ascii="Book Antiqua" w:hAnsi="Book Antiqua"/>
          <w:lang w:val="es-PR"/>
        </w:rPr>
        <w:t xml:space="preserve">La </w:t>
      </w:r>
      <w:r w:rsidR="008F717C">
        <w:rPr>
          <w:rFonts w:ascii="Book Antiqua" w:hAnsi="Book Antiqua"/>
          <w:lang w:val="es-PR"/>
        </w:rPr>
        <w:t>Comisión</w:t>
      </w:r>
      <w:r w:rsidR="008F717C" w:rsidRPr="00337BB7">
        <w:rPr>
          <w:rFonts w:ascii="Book Antiqua" w:hAnsi="Book Antiqua"/>
          <w:lang w:val="es-PR"/>
        </w:rPr>
        <w:t xml:space="preserve"> </w:t>
      </w:r>
      <w:r w:rsidR="000B071A">
        <w:rPr>
          <w:rFonts w:ascii="Book Antiqua" w:hAnsi="Book Antiqua"/>
          <w:spacing w:val="-3"/>
          <w:lang w:val="es-ES_tradnl"/>
        </w:rPr>
        <w:t xml:space="preserve">de lo Jurídico </w:t>
      </w:r>
      <w:r w:rsidR="00552B8A" w:rsidRPr="00337BB7">
        <w:rPr>
          <w:rFonts w:ascii="Book Antiqua" w:hAnsi="Book Antiqua"/>
          <w:lang w:val="es-PR"/>
        </w:rPr>
        <w:t>coincide en que</w:t>
      </w:r>
      <w:r w:rsidR="000B071A">
        <w:rPr>
          <w:rFonts w:ascii="Book Antiqua" w:hAnsi="Book Antiqua"/>
          <w:lang w:val="es-PR"/>
        </w:rPr>
        <w:t xml:space="preserve"> </w:t>
      </w:r>
      <w:r>
        <w:rPr>
          <w:rFonts w:ascii="Book Antiqua" w:hAnsi="Book Antiqua"/>
          <w:lang w:val="es-PR"/>
        </w:rPr>
        <w:t xml:space="preserve">la aprobación del P. de la C. 171 es necesaria y conveniente. </w:t>
      </w:r>
      <w:r w:rsidR="007D7749">
        <w:rPr>
          <w:rFonts w:ascii="Book Antiqua" w:hAnsi="Book Antiqua"/>
          <w:lang w:val="es-PR"/>
        </w:rPr>
        <w:t xml:space="preserve">El proyecto </w:t>
      </w:r>
      <w:r w:rsidR="007D7749" w:rsidRPr="007D7749">
        <w:rPr>
          <w:rFonts w:ascii="Book Antiqua" w:hAnsi="Book Antiqua"/>
          <w:lang w:val="es-PR"/>
        </w:rPr>
        <w:t xml:space="preserve">esponde a una necesidad de precisar los criterios que guíen a los tribunales en el ejercicio de la delicada facultad de descalificar a un abogado o abogada en el curso de un procedimiento judicial. La ausencia de parámetros </w:t>
      </w:r>
      <w:r w:rsidR="007D7749">
        <w:rPr>
          <w:rFonts w:ascii="Book Antiqua" w:hAnsi="Book Antiqua"/>
          <w:lang w:val="es-PR"/>
        </w:rPr>
        <w:t>en la Regla</w:t>
      </w:r>
      <w:r w:rsidR="007D7749" w:rsidRPr="007D7749">
        <w:rPr>
          <w:rFonts w:ascii="Book Antiqua" w:hAnsi="Book Antiqua"/>
          <w:lang w:val="es-PR"/>
        </w:rPr>
        <w:t xml:space="preserve"> podría propiciar decisiones inconsistentes que afecten tanto la sana administración de la justicia como los derechos constitucionales de las partes. Enmendar la Regla 9.3 de las Reglas de Procedimiento Civil, conforme propone </w:t>
      </w:r>
      <w:r w:rsidR="00B57CEB">
        <w:rPr>
          <w:rFonts w:ascii="Book Antiqua" w:hAnsi="Book Antiqua"/>
          <w:lang w:val="es-PR"/>
        </w:rPr>
        <w:t>el P. de la C. 171</w:t>
      </w:r>
      <w:r w:rsidR="007D7749" w:rsidRPr="007D7749">
        <w:rPr>
          <w:rFonts w:ascii="Book Antiqua" w:hAnsi="Book Antiqua"/>
          <w:lang w:val="es-PR"/>
        </w:rPr>
        <w:t>, dota al foro judicial de un marco normativo que armoniza la discreción judicial con las salvaguardas del debido proceso de ley</w:t>
      </w:r>
      <w:r w:rsidR="007D7749">
        <w:rPr>
          <w:rFonts w:ascii="Book Antiqua" w:hAnsi="Book Antiqua"/>
          <w:lang w:val="es-PR"/>
        </w:rPr>
        <w:t xml:space="preserve">. </w:t>
      </w:r>
      <w:r w:rsidR="007D7749" w:rsidRPr="007D7749">
        <w:rPr>
          <w:rFonts w:ascii="Book Antiqua" w:hAnsi="Book Antiqua"/>
          <w:lang w:val="es-PR"/>
        </w:rPr>
        <w:t xml:space="preserve">Al recoger de manera expresa los factores delineados por la jurisprudencia del Tribunal Supremo </w:t>
      </w:r>
      <w:r w:rsidR="00E03B98">
        <w:rPr>
          <w:rFonts w:ascii="Book Antiqua" w:hAnsi="Book Antiqua"/>
          <w:lang w:val="es-PR"/>
        </w:rPr>
        <w:t xml:space="preserve">de Puerto Rico </w:t>
      </w:r>
      <w:r w:rsidR="007D7749" w:rsidRPr="007D7749">
        <w:rPr>
          <w:rFonts w:ascii="Book Antiqua" w:hAnsi="Book Antiqua"/>
          <w:lang w:val="es-PR"/>
        </w:rPr>
        <w:t>y al reconocer las normas de conducta profesional más recientes, el P. de la C. 171 fortalece la coherencia normativa</w:t>
      </w:r>
      <w:r w:rsidR="00183113">
        <w:rPr>
          <w:rFonts w:ascii="Book Antiqua" w:hAnsi="Book Antiqua"/>
          <w:lang w:val="es-PR"/>
        </w:rPr>
        <w:t xml:space="preserve"> y</w:t>
      </w:r>
      <w:r w:rsidR="007D7749" w:rsidRPr="007D7749">
        <w:rPr>
          <w:rFonts w:ascii="Book Antiqua" w:hAnsi="Book Antiqua"/>
          <w:lang w:val="es-PR"/>
        </w:rPr>
        <w:t xml:space="preserve"> ofrece uniformidad en la adjudicación de estas controversias</w:t>
      </w:r>
      <w:r w:rsidR="00183113">
        <w:rPr>
          <w:rFonts w:ascii="Book Antiqua" w:hAnsi="Book Antiqua"/>
          <w:lang w:val="es-PR"/>
        </w:rPr>
        <w:t>.</w:t>
      </w:r>
    </w:p>
    <w:p w14:paraId="7CBC931C" w14:textId="4617D4A5" w:rsidR="00E921BE" w:rsidRPr="00163D80" w:rsidRDefault="00183113" w:rsidP="00163D80">
      <w:pPr>
        <w:tabs>
          <w:tab w:val="left" w:pos="-720"/>
        </w:tabs>
        <w:suppressAutoHyphens/>
        <w:ind w:firstLine="360"/>
        <w:jc w:val="both"/>
        <w:rPr>
          <w:rFonts w:ascii="Book Antiqua" w:hAnsi="Book Antiqua"/>
          <w:lang w:val="es-PR"/>
        </w:rPr>
      </w:pPr>
      <w:r>
        <w:rPr>
          <w:rFonts w:ascii="Book Antiqua" w:hAnsi="Book Antiqua"/>
          <w:b/>
          <w:bCs/>
          <w:lang w:val="es-PR"/>
        </w:rPr>
        <w:tab/>
      </w:r>
      <w:r w:rsidR="0096171F" w:rsidRPr="00337BB7">
        <w:rPr>
          <w:rFonts w:ascii="Book Antiqua" w:hAnsi="Book Antiqua"/>
          <w:b/>
          <w:bCs/>
          <w:lang w:val="es-PR"/>
        </w:rPr>
        <w:t>POR TODO LO ANTES EXPUESTO</w:t>
      </w:r>
      <w:r w:rsidR="0096171F" w:rsidRPr="00DF45DC">
        <w:rPr>
          <w:rFonts w:ascii="Book Antiqua" w:hAnsi="Book Antiqua"/>
          <w:lang w:val="es-PR"/>
        </w:rPr>
        <w:t xml:space="preserve">, la </w:t>
      </w:r>
      <w:r w:rsidR="001D12A7">
        <w:rPr>
          <w:rFonts w:ascii="Book Antiqua" w:hAnsi="Book Antiqua"/>
          <w:spacing w:val="-3"/>
          <w:lang w:val="es-ES_tradnl"/>
        </w:rPr>
        <w:t>Comisión de lo Jurídico del Senado de Puerto Rico</w:t>
      </w:r>
      <w:r w:rsidR="001D12A7">
        <w:rPr>
          <w:rFonts w:ascii="Book Antiqua" w:hAnsi="Book Antiqua"/>
          <w:lang w:val="es-PR"/>
        </w:rPr>
        <w:t xml:space="preserve"> </w:t>
      </w:r>
      <w:r w:rsidR="00006DDC" w:rsidRPr="00DF45DC">
        <w:rPr>
          <w:rFonts w:ascii="Book Antiqua" w:hAnsi="Book Antiqua"/>
          <w:lang w:val="es-PR"/>
        </w:rPr>
        <w:t xml:space="preserve">tiene a bien presentar ante este Alto Cuerpo el Informe Positivo sobre el </w:t>
      </w:r>
      <w:r>
        <w:rPr>
          <w:rFonts w:ascii="Book Antiqua" w:hAnsi="Book Antiqua"/>
          <w:b/>
          <w:bCs/>
          <w:lang w:val="es-PR"/>
        </w:rPr>
        <w:t>Proyecto de la Cámara 171,</w:t>
      </w:r>
      <w:r w:rsidR="00006DDC" w:rsidRPr="00DF45DC">
        <w:rPr>
          <w:rFonts w:ascii="Book Antiqua" w:hAnsi="Book Antiqua"/>
          <w:lang w:val="es-PR"/>
        </w:rPr>
        <w:t xml:space="preserve"> recomendando su aprobación </w:t>
      </w:r>
      <w:r w:rsidR="00006DDC" w:rsidRPr="00183113">
        <w:rPr>
          <w:rFonts w:ascii="Book Antiqua" w:hAnsi="Book Antiqua"/>
          <w:lang w:val="es-PR"/>
        </w:rPr>
        <w:t>con las enmiendas contenidas en el entirillado electrónico que se acompaña</w:t>
      </w:r>
      <w:r w:rsidRPr="00183113">
        <w:rPr>
          <w:rFonts w:ascii="Book Antiqua" w:hAnsi="Book Antiqua"/>
          <w:lang w:val="es-PR"/>
        </w:rPr>
        <w:t>.</w:t>
      </w:r>
    </w:p>
    <w:p w14:paraId="7BC30784" w14:textId="77777777" w:rsidR="00163D80" w:rsidRDefault="00163D80" w:rsidP="00E921BE">
      <w:pPr>
        <w:tabs>
          <w:tab w:val="left" w:pos="-720"/>
        </w:tabs>
        <w:suppressAutoHyphens/>
        <w:spacing w:line="360" w:lineRule="auto"/>
        <w:rPr>
          <w:rFonts w:ascii="Book Antiqua" w:hAnsi="Book Antiqua"/>
          <w:b/>
          <w:bCs/>
          <w:lang w:val="es-PR"/>
        </w:rPr>
      </w:pPr>
    </w:p>
    <w:p w14:paraId="2444C5B2" w14:textId="746FB015" w:rsidR="00552B8A" w:rsidRPr="00E921BE" w:rsidRDefault="00E921BE" w:rsidP="00E921BE">
      <w:pPr>
        <w:tabs>
          <w:tab w:val="left" w:pos="-720"/>
        </w:tabs>
        <w:suppressAutoHyphens/>
        <w:spacing w:line="360" w:lineRule="auto"/>
        <w:rPr>
          <w:rFonts w:ascii="Book Antiqua" w:hAnsi="Book Antiqua"/>
          <w:b/>
          <w:bCs/>
          <w:lang w:val="es-PR"/>
        </w:rPr>
      </w:pPr>
      <w:r w:rsidRPr="00E921BE">
        <w:rPr>
          <w:rFonts w:ascii="Book Antiqua" w:hAnsi="Book Antiqua"/>
          <w:b/>
          <w:bCs/>
          <w:lang w:val="es-PR"/>
        </w:rPr>
        <w:t xml:space="preserve">RESPETUOSAMENTE SOMETIDO, </w:t>
      </w:r>
    </w:p>
    <w:p w14:paraId="5EDF170B" w14:textId="77777777" w:rsidR="0066391D" w:rsidRDefault="0066391D" w:rsidP="00EE4536">
      <w:pPr>
        <w:tabs>
          <w:tab w:val="left" w:pos="-720"/>
        </w:tabs>
        <w:suppressAutoHyphens/>
        <w:rPr>
          <w:rFonts w:ascii="Book Antiqua" w:hAnsi="Book Antiqua"/>
          <w:b/>
          <w:bCs/>
          <w:lang w:val="es-PR"/>
        </w:rPr>
      </w:pPr>
    </w:p>
    <w:p w14:paraId="6AE93B69" w14:textId="3C0675B9" w:rsidR="00AB2E69" w:rsidRPr="00D8699D" w:rsidRDefault="00D8699D" w:rsidP="00EE4536">
      <w:pPr>
        <w:tabs>
          <w:tab w:val="left" w:pos="-720"/>
        </w:tabs>
        <w:suppressAutoHyphens/>
        <w:rPr>
          <w:rFonts w:ascii="Book Antiqua" w:hAnsi="Book Antiqua"/>
          <w:b/>
          <w:bCs/>
          <w:lang w:val="es-PR"/>
        </w:rPr>
      </w:pPr>
      <w:r>
        <w:rPr>
          <w:rFonts w:ascii="Book Antiqua" w:hAnsi="Book Antiqua"/>
          <w:b/>
          <w:bCs/>
          <w:lang w:val="es-PR"/>
        </w:rPr>
        <w:t xml:space="preserve">Hon. </w:t>
      </w:r>
      <w:r w:rsidR="001D12A7">
        <w:rPr>
          <w:rFonts w:ascii="Book Antiqua" w:hAnsi="Book Antiqua"/>
          <w:b/>
          <w:bCs/>
          <w:lang w:val="es-PR"/>
        </w:rPr>
        <w:t>Ángel A. Toledo López</w:t>
      </w:r>
    </w:p>
    <w:p w14:paraId="1665555A" w14:textId="77777777" w:rsidR="004F6E72" w:rsidRDefault="00AB2E69" w:rsidP="00EE4536">
      <w:pPr>
        <w:tabs>
          <w:tab w:val="left" w:pos="-720"/>
        </w:tabs>
        <w:suppressAutoHyphens/>
        <w:rPr>
          <w:rFonts w:ascii="Book Antiqua" w:hAnsi="Book Antiqua"/>
          <w:lang w:val="es-PR"/>
        </w:rPr>
      </w:pPr>
      <w:r>
        <w:rPr>
          <w:rFonts w:ascii="Book Antiqua" w:hAnsi="Book Antiqua"/>
          <w:lang w:val="es-PR"/>
        </w:rPr>
        <w:t>Presidente</w:t>
      </w:r>
    </w:p>
    <w:p w14:paraId="13BD9EC9" w14:textId="2DA4FE86" w:rsidR="000B3411" w:rsidRPr="00183113" w:rsidRDefault="001D12A7" w:rsidP="00183113">
      <w:pPr>
        <w:tabs>
          <w:tab w:val="left" w:pos="-720"/>
        </w:tabs>
        <w:suppressAutoHyphens/>
        <w:rPr>
          <w:rFonts w:ascii="Book Antiqua" w:hAnsi="Book Antiqua"/>
          <w:spacing w:val="-3"/>
          <w:lang w:val="es-ES_tradnl"/>
        </w:rPr>
      </w:pPr>
      <w:r>
        <w:rPr>
          <w:rFonts w:ascii="Book Antiqua" w:hAnsi="Book Antiqua"/>
          <w:spacing w:val="-3"/>
          <w:lang w:val="es-ES_tradnl"/>
        </w:rPr>
        <w:t xml:space="preserve">Comisión de lo Jurídico </w:t>
      </w:r>
      <w:r w:rsidR="009A4BCD">
        <w:rPr>
          <w:rFonts w:ascii="Book Antiqua" w:hAnsi="Book Antiqua"/>
          <w:spacing w:val="-3"/>
          <w:lang w:val="es-ES_tradnl"/>
        </w:rPr>
        <w:t xml:space="preserve">del </w:t>
      </w:r>
      <w:r>
        <w:rPr>
          <w:rFonts w:ascii="Book Antiqua" w:hAnsi="Book Antiqua"/>
          <w:spacing w:val="-3"/>
          <w:lang w:val="es-ES_tradnl"/>
        </w:rPr>
        <w:t>Senado de Puerto Rico</w:t>
      </w:r>
    </w:p>
    <w:sectPr w:rsidR="000B3411" w:rsidRPr="00183113"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ADAD0" w14:textId="77777777" w:rsidR="00EB70E1" w:rsidRDefault="00EB70E1">
      <w:r>
        <w:separator/>
      </w:r>
    </w:p>
  </w:endnote>
  <w:endnote w:type="continuationSeparator" w:id="0">
    <w:p w14:paraId="47097819" w14:textId="77777777" w:rsidR="00EB70E1" w:rsidRDefault="00EB7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FAFCF" w14:textId="77777777" w:rsidR="00EB70E1" w:rsidRDefault="00EB70E1">
      <w:r>
        <w:separator/>
      </w:r>
    </w:p>
  </w:footnote>
  <w:footnote w:type="continuationSeparator" w:id="0">
    <w:p w14:paraId="12AA56BA" w14:textId="77777777" w:rsidR="00EB70E1" w:rsidRDefault="00EB70E1">
      <w:r>
        <w:continuationSeparator/>
      </w:r>
    </w:p>
  </w:footnote>
  <w:footnote w:id="1">
    <w:p w14:paraId="2F77D1FA" w14:textId="3AE9735B" w:rsidR="00170E89" w:rsidRPr="007D6510" w:rsidRDefault="00170E89" w:rsidP="007D6510">
      <w:pPr>
        <w:pStyle w:val="FootnoteText"/>
        <w:jc w:val="both"/>
        <w:rPr>
          <w:rFonts w:ascii="Book Antiqua" w:hAnsi="Book Antiqua"/>
          <w:lang w:val="es-ES"/>
        </w:rPr>
      </w:pPr>
      <w:r w:rsidRPr="007D6510">
        <w:rPr>
          <w:rStyle w:val="FootnoteReference"/>
          <w:rFonts w:ascii="Book Antiqua" w:hAnsi="Book Antiqua"/>
        </w:rPr>
        <w:footnoteRef/>
      </w:r>
      <w:r w:rsidRPr="007D6510">
        <w:rPr>
          <w:rFonts w:ascii="Book Antiqua" w:hAnsi="Book Antiqua"/>
          <w:lang w:val="es-ES"/>
        </w:rPr>
        <w:t xml:space="preserve"> La Regla 9.3 </w:t>
      </w:r>
      <w:r w:rsidR="00E815C4" w:rsidRPr="007D6510">
        <w:rPr>
          <w:rFonts w:ascii="Book Antiqua" w:hAnsi="Book Antiqua"/>
          <w:lang w:val="es-ES"/>
        </w:rPr>
        <w:t xml:space="preserve">vigente </w:t>
      </w:r>
      <w:r w:rsidRPr="007D6510">
        <w:rPr>
          <w:rFonts w:ascii="Book Antiqua" w:hAnsi="Book Antiqua"/>
          <w:lang w:val="es-ES"/>
        </w:rPr>
        <w:t xml:space="preserve">dicta lo siguiente: </w:t>
      </w:r>
    </w:p>
    <w:p w14:paraId="37D3762D" w14:textId="77777777" w:rsidR="008B5819" w:rsidRPr="007D6510" w:rsidRDefault="008B5819" w:rsidP="007D6510">
      <w:pPr>
        <w:pStyle w:val="FootnoteText"/>
        <w:ind w:right="720"/>
        <w:jc w:val="both"/>
        <w:rPr>
          <w:rFonts w:ascii="Book Antiqua" w:hAnsi="Book Antiqua"/>
          <w:lang w:val="es-ES"/>
        </w:rPr>
      </w:pPr>
    </w:p>
    <w:p w14:paraId="23E594CE" w14:textId="2DAF4414" w:rsidR="008B5819" w:rsidRPr="007D6510" w:rsidRDefault="008B5819" w:rsidP="007D6510">
      <w:pPr>
        <w:pStyle w:val="FootnoteText"/>
        <w:ind w:left="720" w:right="720"/>
        <w:jc w:val="both"/>
        <w:rPr>
          <w:rFonts w:ascii="Book Antiqua" w:hAnsi="Book Antiqua"/>
          <w:lang w:val="es-ES"/>
        </w:rPr>
      </w:pPr>
      <w:r w:rsidRPr="007D6510">
        <w:rPr>
          <w:rFonts w:ascii="Book Antiqua" w:hAnsi="Book Antiqua"/>
          <w:lang w:val="es-ES"/>
        </w:rPr>
        <w:t xml:space="preserve">La comparecencia de un abogado o abogada a cualquier vista, conferencia o procedimiento sin estar debidamente preparado(a) podrá ser considerada conducta constitutiva de obstáculo para la sana administración de la justicia. El Tribunal, en el ejercicio de su poder inherente de supervisar la conducta de </w:t>
      </w:r>
      <w:proofErr w:type="gramStart"/>
      <w:r w:rsidRPr="007D6510">
        <w:rPr>
          <w:rFonts w:ascii="Book Antiqua" w:hAnsi="Book Antiqua"/>
          <w:lang w:val="es-ES"/>
        </w:rPr>
        <w:t>los abogados y abogadas</w:t>
      </w:r>
      <w:proofErr w:type="gramEnd"/>
      <w:r w:rsidRPr="007D6510">
        <w:rPr>
          <w:rFonts w:ascii="Book Antiqua" w:hAnsi="Book Antiqua"/>
          <w:lang w:val="es-ES"/>
        </w:rPr>
        <w:t xml:space="preserve"> que postulan ante sí, podrá, a iniciativa propia o a solicitud de parte, imponer sanciones económicas o de otra naturaleza o descalificar a un abogado o abogada que incurra en conducta que constituya un obstáculo para la sana administración de la justicia o infrinja sus deberes hacia el Tribunal, sus representados(as) o sus compañeros(as) abogados(as).</w:t>
      </w:r>
    </w:p>
    <w:p w14:paraId="19617607" w14:textId="77777777" w:rsidR="00B31371" w:rsidRPr="007D6510" w:rsidRDefault="00B31371" w:rsidP="00A61CB8">
      <w:pPr>
        <w:pStyle w:val="FootnoteText"/>
        <w:ind w:right="720"/>
        <w:jc w:val="both"/>
        <w:rPr>
          <w:rFonts w:ascii="Book Antiqua" w:hAnsi="Book Antiqua"/>
          <w:lang w:val="es-ES"/>
        </w:rPr>
      </w:pPr>
    </w:p>
  </w:footnote>
  <w:footnote w:id="2">
    <w:p w14:paraId="0B69117A" w14:textId="60960E50" w:rsidR="00B31371" w:rsidRPr="007D6510" w:rsidRDefault="00B31371" w:rsidP="007D6510">
      <w:pPr>
        <w:pStyle w:val="FootnoteText"/>
        <w:jc w:val="both"/>
        <w:rPr>
          <w:rFonts w:ascii="Book Antiqua" w:hAnsi="Book Antiqua"/>
          <w:lang w:val="es-ES"/>
        </w:rPr>
      </w:pPr>
      <w:r w:rsidRPr="007D6510">
        <w:rPr>
          <w:rStyle w:val="FootnoteReference"/>
          <w:rFonts w:ascii="Book Antiqua" w:hAnsi="Book Antiqua"/>
        </w:rPr>
        <w:footnoteRef/>
      </w:r>
      <w:r w:rsidRPr="007D6510">
        <w:rPr>
          <w:rFonts w:ascii="Book Antiqua" w:hAnsi="Book Antiqua"/>
          <w:lang w:val="es-ES"/>
        </w:rPr>
        <w:t xml:space="preserve"> Job </w:t>
      </w:r>
      <w:proofErr w:type="spellStart"/>
      <w:r w:rsidRPr="007D6510">
        <w:rPr>
          <w:rFonts w:ascii="Book Antiqua" w:hAnsi="Book Antiqua"/>
          <w:lang w:val="es-ES"/>
        </w:rPr>
        <w:t>Connection</w:t>
      </w:r>
      <w:proofErr w:type="spellEnd"/>
      <w:r w:rsidRPr="007D6510">
        <w:rPr>
          <w:rFonts w:ascii="Book Antiqua" w:hAnsi="Book Antiqua"/>
          <w:lang w:val="es-ES"/>
        </w:rPr>
        <w:t xml:space="preserve"> v. Supermercados </w:t>
      </w:r>
      <w:proofErr w:type="spellStart"/>
      <w:r w:rsidRPr="007D6510">
        <w:rPr>
          <w:rFonts w:ascii="Book Antiqua" w:hAnsi="Book Antiqua"/>
          <w:lang w:val="es-ES"/>
        </w:rPr>
        <w:t>Econo</w:t>
      </w:r>
      <w:proofErr w:type="spellEnd"/>
      <w:r w:rsidRPr="007D6510">
        <w:rPr>
          <w:rFonts w:ascii="Book Antiqua" w:hAnsi="Book Antiqua"/>
          <w:lang w:val="es-ES"/>
        </w:rPr>
        <w:t>, 185 DPR 585, 597-598 (2012)</w:t>
      </w:r>
      <w:r w:rsidR="006952DA" w:rsidRPr="007D6510">
        <w:rPr>
          <w:rFonts w:ascii="Book Antiqua" w:hAnsi="Book Antiqua"/>
          <w:lang w:val="es-ES"/>
        </w:rPr>
        <w:t>.</w:t>
      </w:r>
    </w:p>
  </w:footnote>
  <w:footnote w:id="3">
    <w:p w14:paraId="4729DA9D" w14:textId="0E79A8A4" w:rsidR="004177EF" w:rsidRPr="00411030" w:rsidRDefault="004177EF" w:rsidP="007D6510">
      <w:pPr>
        <w:pStyle w:val="FootnoteText"/>
        <w:jc w:val="both"/>
        <w:rPr>
          <w:rFonts w:ascii="Book Antiqua" w:hAnsi="Book Antiqua"/>
          <w:lang w:val="es-ES"/>
        </w:rPr>
      </w:pPr>
      <w:r w:rsidRPr="007D6510">
        <w:rPr>
          <w:rStyle w:val="FootnoteReference"/>
          <w:rFonts w:ascii="Book Antiqua" w:hAnsi="Book Antiqua"/>
        </w:rPr>
        <w:footnoteRef/>
      </w:r>
      <w:r w:rsidRPr="007D6510">
        <w:rPr>
          <w:rFonts w:ascii="Book Antiqua" w:hAnsi="Book Antiqua"/>
          <w:lang w:val="es-ES"/>
        </w:rPr>
        <w:t xml:space="preserve"> </w:t>
      </w:r>
      <w:r w:rsidRPr="0027290D">
        <w:rPr>
          <w:rFonts w:ascii="Book Antiqua" w:hAnsi="Book Antiqua"/>
          <w:i/>
          <w:iCs/>
          <w:lang w:val="es-ES"/>
        </w:rPr>
        <w:t>Id</w:t>
      </w:r>
      <w:r w:rsidRPr="007D6510">
        <w:rPr>
          <w:rFonts w:ascii="Book Antiqua" w:hAnsi="Book Antiqua"/>
          <w:lang w:val="es-ES"/>
        </w:rPr>
        <w:t>. (</w:t>
      </w:r>
      <w:r w:rsidRPr="0027290D">
        <w:rPr>
          <w:rFonts w:ascii="Book Antiqua" w:hAnsi="Book Antiqua"/>
          <w:i/>
          <w:iCs/>
          <w:lang w:val="es-ES"/>
        </w:rPr>
        <w:t>citando a</w:t>
      </w:r>
      <w:r w:rsidRPr="007D6510">
        <w:rPr>
          <w:rFonts w:ascii="Book Antiqua" w:hAnsi="Book Antiqua"/>
          <w:lang w:val="es-ES"/>
        </w:rPr>
        <w:t xml:space="preserve"> </w:t>
      </w:r>
      <w:r w:rsidRPr="007D6510">
        <w:rPr>
          <w:rFonts w:ascii="Book Antiqua" w:hAnsi="Book Antiqua"/>
          <w:lang w:val="es-PR"/>
        </w:rPr>
        <w:t xml:space="preserve">Meléndez v. Caribbean Int'l. </w:t>
      </w:r>
      <w:r w:rsidRPr="00411030">
        <w:rPr>
          <w:rFonts w:ascii="Book Antiqua" w:hAnsi="Book Antiqua"/>
          <w:lang w:val="es-ES"/>
        </w:rPr>
        <w:t xml:space="preserve">News, </w:t>
      </w:r>
      <w:r w:rsidR="006952DA" w:rsidRPr="007D6510">
        <w:rPr>
          <w:rFonts w:ascii="Book Antiqua" w:hAnsi="Book Antiqua"/>
          <w:lang w:val="es-PR"/>
        </w:rPr>
        <w:t>151 DPR 649</w:t>
      </w:r>
      <w:r w:rsidRPr="00411030">
        <w:rPr>
          <w:rFonts w:ascii="Book Antiqua" w:hAnsi="Book Antiqua"/>
          <w:lang w:val="es-ES"/>
        </w:rPr>
        <w:t>, 661</w:t>
      </w:r>
      <w:r w:rsidR="006952DA" w:rsidRPr="00411030">
        <w:rPr>
          <w:rFonts w:ascii="Book Antiqua" w:hAnsi="Book Antiqua"/>
          <w:lang w:val="es-ES"/>
        </w:rPr>
        <w:t xml:space="preserve"> (2000)</w:t>
      </w:r>
      <w:r w:rsidR="0027290D" w:rsidRPr="00411030">
        <w:rPr>
          <w:rFonts w:ascii="Book Antiqua" w:hAnsi="Book Antiqua"/>
          <w:lang w:val="es-ES"/>
        </w:rPr>
        <w:t>)</w:t>
      </w:r>
      <w:r w:rsidR="006952DA" w:rsidRPr="00411030">
        <w:rPr>
          <w:rFonts w:ascii="Book Antiqua" w:hAnsi="Book Antiqua"/>
          <w:lang w:val="es-ES"/>
        </w:rPr>
        <w:t>.</w:t>
      </w:r>
    </w:p>
  </w:footnote>
  <w:footnote w:id="4">
    <w:p w14:paraId="4A555A2A" w14:textId="79079553" w:rsidR="006952DA" w:rsidRPr="00411030" w:rsidRDefault="006952DA" w:rsidP="007D6510">
      <w:pPr>
        <w:pStyle w:val="FootnoteText"/>
        <w:jc w:val="both"/>
        <w:rPr>
          <w:rFonts w:ascii="Book Antiqua" w:hAnsi="Book Antiqua"/>
          <w:lang w:val="es-ES"/>
        </w:rPr>
      </w:pPr>
      <w:r w:rsidRPr="007D6510">
        <w:rPr>
          <w:rStyle w:val="FootnoteReference"/>
          <w:rFonts w:ascii="Book Antiqua" w:hAnsi="Book Antiqua"/>
        </w:rPr>
        <w:footnoteRef/>
      </w:r>
      <w:r w:rsidRPr="00411030">
        <w:rPr>
          <w:rFonts w:ascii="Book Antiqua" w:hAnsi="Book Antiqua"/>
          <w:lang w:val="es-ES"/>
        </w:rPr>
        <w:t xml:space="preserve"> </w:t>
      </w:r>
      <w:r w:rsidRPr="00411030">
        <w:rPr>
          <w:rFonts w:ascii="Book Antiqua" w:hAnsi="Book Antiqua"/>
          <w:i/>
          <w:iCs/>
          <w:lang w:val="es-ES"/>
        </w:rPr>
        <w:t>Id</w:t>
      </w:r>
      <w:r w:rsidRPr="00411030">
        <w:rPr>
          <w:rFonts w:ascii="Book Antiqua" w:hAnsi="Book Antiqua"/>
          <w:lang w:val="es-ES"/>
        </w:rPr>
        <w:t xml:space="preserve">. </w:t>
      </w:r>
    </w:p>
  </w:footnote>
  <w:footnote w:id="5">
    <w:p w14:paraId="17775364" w14:textId="37B0D329" w:rsidR="00762892" w:rsidRPr="00411030" w:rsidRDefault="00762892" w:rsidP="007D6510">
      <w:pPr>
        <w:pStyle w:val="FootnoteText"/>
        <w:jc w:val="both"/>
        <w:rPr>
          <w:rFonts w:ascii="Book Antiqua" w:hAnsi="Book Antiqua"/>
          <w:lang w:val="es-ES"/>
        </w:rPr>
      </w:pPr>
      <w:r w:rsidRPr="007D6510">
        <w:rPr>
          <w:rStyle w:val="FootnoteReference"/>
          <w:rFonts w:ascii="Book Antiqua" w:hAnsi="Book Antiqua"/>
        </w:rPr>
        <w:footnoteRef/>
      </w:r>
      <w:r w:rsidRPr="00411030">
        <w:rPr>
          <w:rFonts w:ascii="Book Antiqua" w:hAnsi="Book Antiqua"/>
          <w:lang w:val="es-ES"/>
        </w:rPr>
        <w:t xml:space="preserve"> </w:t>
      </w:r>
      <w:r w:rsidRPr="00411030">
        <w:rPr>
          <w:rFonts w:ascii="Book Antiqua" w:hAnsi="Book Antiqua"/>
          <w:i/>
          <w:iCs/>
          <w:lang w:val="es-ES"/>
        </w:rPr>
        <w:t>Id</w:t>
      </w:r>
      <w:r w:rsidRPr="00411030">
        <w:rPr>
          <w:rFonts w:ascii="Book Antiqua" w:hAnsi="Book Antiqua"/>
          <w:lang w:val="es-ES"/>
        </w:rPr>
        <w:t xml:space="preserve">. </w:t>
      </w:r>
    </w:p>
  </w:footnote>
  <w:footnote w:id="6">
    <w:p w14:paraId="1D3C0FA6" w14:textId="1857E75D" w:rsidR="00762892" w:rsidRPr="00411030" w:rsidRDefault="00762892" w:rsidP="007D6510">
      <w:pPr>
        <w:pStyle w:val="FootnoteText"/>
        <w:jc w:val="both"/>
        <w:rPr>
          <w:rFonts w:ascii="Book Antiqua" w:hAnsi="Book Antiqua"/>
          <w:lang w:val="es-ES"/>
        </w:rPr>
      </w:pPr>
      <w:r w:rsidRPr="007D6510">
        <w:rPr>
          <w:rStyle w:val="FootnoteReference"/>
          <w:rFonts w:ascii="Book Antiqua" w:hAnsi="Book Antiqua"/>
        </w:rPr>
        <w:footnoteRef/>
      </w:r>
      <w:r w:rsidRPr="00411030">
        <w:rPr>
          <w:rFonts w:ascii="Book Antiqua" w:hAnsi="Book Antiqua"/>
          <w:lang w:val="es-ES"/>
        </w:rPr>
        <w:t xml:space="preserve"> </w:t>
      </w:r>
      <w:r w:rsidRPr="00411030">
        <w:rPr>
          <w:rFonts w:ascii="Book Antiqua" w:hAnsi="Book Antiqua"/>
          <w:i/>
          <w:iCs/>
          <w:lang w:val="es-ES"/>
        </w:rPr>
        <w:t>Id</w:t>
      </w:r>
      <w:r w:rsidRPr="00411030">
        <w:rPr>
          <w:rFonts w:ascii="Book Antiqua" w:hAnsi="Book Antiqua"/>
          <w:lang w:val="es-ES"/>
        </w:rPr>
        <w:t xml:space="preserve">. </w:t>
      </w:r>
    </w:p>
  </w:footnote>
  <w:footnote w:id="7">
    <w:p w14:paraId="556406FD" w14:textId="497F8462" w:rsidR="008B4E93" w:rsidRPr="007D6510" w:rsidRDefault="008B4E93" w:rsidP="007D6510">
      <w:pPr>
        <w:pStyle w:val="FootnoteText"/>
        <w:jc w:val="both"/>
        <w:rPr>
          <w:rFonts w:ascii="Book Antiqua" w:hAnsi="Book Antiqua"/>
          <w:lang w:val="es-ES"/>
        </w:rPr>
      </w:pPr>
      <w:r w:rsidRPr="007D6510">
        <w:rPr>
          <w:rStyle w:val="FootnoteReference"/>
          <w:rFonts w:ascii="Book Antiqua" w:hAnsi="Book Antiqua"/>
        </w:rPr>
        <w:footnoteRef/>
      </w:r>
      <w:r w:rsidRPr="007D6510">
        <w:rPr>
          <w:rFonts w:ascii="Book Antiqua" w:hAnsi="Book Antiqua"/>
          <w:lang w:val="es-ES"/>
        </w:rPr>
        <w:t xml:space="preserve"> Las nuevas Reglas de Conducta Profesional de Puerto Rico (2025) contemplan explícitamente diversas situaciones que pueden llevar a la descalificación de un abogado o abogada, así como a la descalificación imputada a toda su oficina legal. </w:t>
      </w:r>
    </w:p>
    <w:p w14:paraId="5E15D5A9" w14:textId="744EAA58" w:rsidR="008B4E93" w:rsidRPr="007D6510" w:rsidRDefault="008B4E93" w:rsidP="00E921BE">
      <w:pPr>
        <w:pStyle w:val="FootnoteText"/>
        <w:ind w:firstLine="360"/>
        <w:jc w:val="both"/>
        <w:rPr>
          <w:rFonts w:ascii="Book Antiqua" w:hAnsi="Book Antiqua"/>
          <w:lang w:val="es-ES"/>
        </w:rPr>
      </w:pPr>
      <w:r w:rsidRPr="007D6510">
        <w:rPr>
          <w:rFonts w:ascii="Book Antiqua" w:hAnsi="Book Antiqua"/>
          <w:lang w:val="es-ES"/>
        </w:rPr>
        <w:t>La Regla 1.10 establece el principio general de la descalificación imputada: si un abogado individual está impedido de representar a un cliente debido a un conflicto de intereses con un cliente actual (Regla 1.7) o un cliente anterior (Regla 1.9), toda la oficina legal a la que pertenece ese abogado también estará, por regla general, impedida de representar a dicho cliente. Esta norma solo opera entre los abogados asociados o abogadas asociadas en el presente en una oficina legal. No prohíbe la representación cuando no se plantean cuestiones relacionadas con la lealtad del cliente o la protección de información confidencial.</w:t>
      </w:r>
      <w:r w:rsidR="00E921BE">
        <w:rPr>
          <w:rFonts w:ascii="Book Antiqua" w:hAnsi="Book Antiqua"/>
          <w:lang w:val="es-ES"/>
        </w:rPr>
        <w:t xml:space="preserve"> </w:t>
      </w:r>
      <w:r w:rsidR="00534798">
        <w:rPr>
          <w:rFonts w:ascii="Book Antiqua" w:hAnsi="Book Antiqua"/>
          <w:lang w:val="es-ES"/>
        </w:rPr>
        <w:t>Las excepciones</w:t>
      </w:r>
      <w:r w:rsidR="00E921BE">
        <w:rPr>
          <w:rFonts w:ascii="Book Antiqua" w:hAnsi="Book Antiqua"/>
          <w:lang w:val="es-ES"/>
        </w:rPr>
        <w:t xml:space="preserve"> a esta regla son</w:t>
      </w:r>
      <w:r w:rsidRPr="007D6510">
        <w:rPr>
          <w:rFonts w:ascii="Book Antiqua" w:hAnsi="Book Antiqua"/>
          <w:lang w:val="es-ES"/>
        </w:rPr>
        <w:t>:</w:t>
      </w:r>
    </w:p>
    <w:p w14:paraId="06B292A8" w14:textId="3EA8A0D5" w:rsidR="008B4E93" w:rsidRPr="007D6510" w:rsidRDefault="008B4E93" w:rsidP="00957495">
      <w:pPr>
        <w:pStyle w:val="FootnoteText"/>
        <w:numPr>
          <w:ilvl w:val="0"/>
          <w:numId w:val="10"/>
        </w:numPr>
        <w:jc w:val="both"/>
        <w:rPr>
          <w:rFonts w:ascii="Book Antiqua" w:hAnsi="Book Antiqua"/>
          <w:lang w:val="es-ES"/>
        </w:rPr>
      </w:pPr>
      <w:r w:rsidRPr="007D6510">
        <w:rPr>
          <w:rFonts w:ascii="Book Antiqua" w:hAnsi="Book Antiqua"/>
          <w:lang w:val="es-ES"/>
        </w:rPr>
        <w:t>La prohibición no se imputa si se basa en un interés personal del abogado o abogada inhabilitado y no presenta un riesgo significativo de limitar sustancialmente la representación del cliente por los otros miembros de la oficina legal.</w:t>
      </w:r>
    </w:p>
    <w:p w14:paraId="44D35EBC" w14:textId="4164BA7E" w:rsidR="008B4E93" w:rsidRPr="002C79CB" w:rsidRDefault="00EB09E5" w:rsidP="007D6510">
      <w:pPr>
        <w:pStyle w:val="FootnoteText"/>
        <w:numPr>
          <w:ilvl w:val="0"/>
          <w:numId w:val="10"/>
        </w:numPr>
        <w:jc w:val="both"/>
        <w:rPr>
          <w:rFonts w:ascii="Book Antiqua" w:hAnsi="Book Antiqua"/>
          <w:lang w:val="es-ES"/>
        </w:rPr>
      </w:pPr>
      <w:r w:rsidRPr="00EB09E5">
        <w:rPr>
          <w:rFonts w:ascii="Book Antiqua" w:hAnsi="Book Antiqua"/>
          <w:lang w:val="es-ES"/>
        </w:rPr>
        <w:t>“Muralla china”</w:t>
      </w:r>
      <w:r w:rsidR="00957495" w:rsidRPr="00EB09E5">
        <w:rPr>
          <w:rFonts w:ascii="Book Antiqua" w:hAnsi="Book Antiqua"/>
          <w:lang w:val="es-ES"/>
        </w:rPr>
        <w:t>:</w:t>
      </w:r>
      <w:r w:rsidR="008B4E93" w:rsidRPr="00EB09E5">
        <w:rPr>
          <w:rFonts w:ascii="Book Antiqua" w:hAnsi="Book Antiqua"/>
          <w:lang w:val="es-ES"/>
        </w:rPr>
        <w:t xml:space="preserve"> Si la prohibición se basa en la Regla 1.9(a) o (b), que trata sobre deberes hacia clientes anteriores, y surge de la asociación del abogado inhabilitado con una oficina legal anterior, la descalificación de la firma puede evitarse si se cumplen ciertas condiciones. Estas incluyen que el abogado inhabilitado sea aislado oportunamente de cualquier participación en el asunto y no reciba parte alguna de los honorarios generados por el mismo. La descalificación impuesta por la Regla 1.10 puede ser renunciada por el cliente afectado mediante su consentimiento informado, ratificado por escrito, siempre y cuando se cumplan las condiciones establecidas en la Regla 1.7. El consentimiento informado requiere que el cliente esté adecuadamente informado sobre los riesgos y alternativas.</w:t>
      </w:r>
    </w:p>
    <w:p w14:paraId="4F6BACA2" w14:textId="77777777" w:rsidR="00532499" w:rsidRDefault="008B4E93" w:rsidP="00532499">
      <w:pPr>
        <w:pStyle w:val="FootnoteText"/>
        <w:ind w:firstLine="360"/>
        <w:jc w:val="both"/>
        <w:rPr>
          <w:rFonts w:ascii="Book Antiqua" w:hAnsi="Book Antiqua"/>
          <w:lang w:val="es-ES"/>
        </w:rPr>
      </w:pPr>
      <w:r w:rsidRPr="007D6510">
        <w:rPr>
          <w:rFonts w:ascii="Book Antiqua" w:hAnsi="Book Antiqua"/>
          <w:lang w:val="es-ES"/>
        </w:rPr>
        <w:t>Las reglas también abordan conflictos específicos que pueden llevar a la descalificación</w:t>
      </w:r>
      <w:r w:rsidR="00532499">
        <w:rPr>
          <w:rFonts w:ascii="Book Antiqua" w:hAnsi="Book Antiqua"/>
          <w:lang w:val="es-ES"/>
        </w:rPr>
        <w:t>. En el caso de e</w:t>
      </w:r>
      <w:r w:rsidRPr="007D6510">
        <w:rPr>
          <w:rFonts w:ascii="Book Antiqua" w:hAnsi="Book Antiqua"/>
          <w:lang w:val="es-ES"/>
        </w:rPr>
        <w:t>x-</w:t>
      </w:r>
      <w:proofErr w:type="gramStart"/>
      <w:r w:rsidRPr="007D6510">
        <w:rPr>
          <w:rFonts w:ascii="Book Antiqua" w:hAnsi="Book Antiqua"/>
          <w:lang w:val="es-ES"/>
        </w:rPr>
        <w:t>Funcionarios</w:t>
      </w:r>
      <w:proofErr w:type="gramEnd"/>
      <w:r w:rsidRPr="007D6510">
        <w:rPr>
          <w:rFonts w:ascii="Book Antiqua" w:hAnsi="Book Antiqua"/>
          <w:lang w:val="es-ES"/>
        </w:rPr>
        <w:t xml:space="preserve"> Públicos (Regla 1.11)</w:t>
      </w:r>
      <w:r w:rsidR="00532499">
        <w:rPr>
          <w:rFonts w:ascii="Book Antiqua" w:hAnsi="Book Antiqua"/>
          <w:lang w:val="es-ES"/>
        </w:rPr>
        <w:t>, u</w:t>
      </w:r>
      <w:r w:rsidRPr="007D6510">
        <w:rPr>
          <w:rFonts w:ascii="Book Antiqua" w:hAnsi="Book Antiqua"/>
          <w:lang w:val="es-ES"/>
        </w:rPr>
        <w:t>n abogado o abogada que se desempeñó como funcionario o empleado público no podrá representar a un cliente en un asunto en el que participó personal y sustancialmente durante su servicio público. Esta descalificación se imputa a su oficina legal actual a menos que el abogado sea aislado oportunamente y no reciba honorarios del asunto, y se notifique a la agencia gubernamental correspondiente. Si el ex-funcionario posee información gubernamental confidencial sobre una persona, no puede representar a un cliente privado con intereses adversos donde esa información pueda usarse en desventaja sustancial de la persona.</w:t>
      </w:r>
    </w:p>
    <w:p w14:paraId="79C7F54A" w14:textId="53A49254" w:rsidR="008B4E93" w:rsidRPr="007D6510" w:rsidRDefault="00532499" w:rsidP="00532499">
      <w:pPr>
        <w:pStyle w:val="FootnoteText"/>
        <w:ind w:firstLine="360"/>
        <w:jc w:val="both"/>
        <w:rPr>
          <w:rFonts w:ascii="Book Antiqua" w:hAnsi="Book Antiqua"/>
          <w:lang w:val="es-ES"/>
        </w:rPr>
      </w:pPr>
      <w:r>
        <w:rPr>
          <w:rFonts w:ascii="Book Antiqua" w:hAnsi="Book Antiqua"/>
          <w:lang w:val="es-ES"/>
        </w:rPr>
        <w:t>En el caso de e</w:t>
      </w:r>
      <w:r w:rsidR="008B4E93" w:rsidRPr="007D6510">
        <w:rPr>
          <w:rFonts w:ascii="Book Antiqua" w:hAnsi="Book Antiqua"/>
          <w:lang w:val="es-ES"/>
        </w:rPr>
        <w:t xml:space="preserve">x-Jueces, </w:t>
      </w:r>
      <w:r>
        <w:rPr>
          <w:rFonts w:ascii="Book Antiqua" w:hAnsi="Book Antiqua"/>
          <w:lang w:val="es-ES"/>
        </w:rPr>
        <w:t>á</w:t>
      </w:r>
      <w:r w:rsidR="008B4E93" w:rsidRPr="007D6510">
        <w:rPr>
          <w:rFonts w:ascii="Book Antiqua" w:hAnsi="Book Antiqua"/>
          <w:lang w:val="es-ES"/>
        </w:rPr>
        <w:t xml:space="preserve">rbitros, </w:t>
      </w:r>
      <w:r>
        <w:rPr>
          <w:rFonts w:ascii="Book Antiqua" w:hAnsi="Book Antiqua"/>
          <w:lang w:val="es-ES"/>
        </w:rPr>
        <w:t>m</w:t>
      </w:r>
      <w:r w:rsidR="008B4E93" w:rsidRPr="007D6510">
        <w:rPr>
          <w:rFonts w:ascii="Book Antiqua" w:hAnsi="Book Antiqua"/>
          <w:lang w:val="es-ES"/>
        </w:rPr>
        <w:t xml:space="preserve">ediadores o </w:t>
      </w:r>
      <w:r>
        <w:rPr>
          <w:rFonts w:ascii="Book Antiqua" w:hAnsi="Book Antiqua"/>
          <w:lang w:val="es-ES"/>
        </w:rPr>
        <w:t>e</w:t>
      </w:r>
      <w:r w:rsidR="008B4E93" w:rsidRPr="007D6510">
        <w:rPr>
          <w:rFonts w:ascii="Book Antiqua" w:hAnsi="Book Antiqua"/>
          <w:lang w:val="es-ES"/>
        </w:rPr>
        <w:t xml:space="preserve">valuadores </w:t>
      </w:r>
      <w:r w:rsidR="008F36D8">
        <w:rPr>
          <w:rFonts w:ascii="Book Antiqua" w:hAnsi="Book Antiqua"/>
          <w:lang w:val="es-ES"/>
        </w:rPr>
        <w:t>n</w:t>
      </w:r>
      <w:r w:rsidR="008B4E93" w:rsidRPr="007D6510">
        <w:rPr>
          <w:rFonts w:ascii="Book Antiqua" w:hAnsi="Book Antiqua"/>
          <w:lang w:val="es-ES"/>
        </w:rPr>
        <w:t>eutrales (Regla 1.12)</w:t>
      </w:r>
      <w:r>
        <w:rPr>
          <w:rFonts w:ascii="Book Antiqua" w:hAnsi="Book Antiqua"/>
          <w:lang w:val="es-ES"/>
        </w:rPr>
        <w:t>, u</w:t>
      </w:r>
      <w:r w:rsidR="008B4E93" w:rsidRPr="007D6510">
        <w:rPr>
          <w:rFonts w:ascii="Book Antiqua" w:hAnsi="Book Antiqua"/>
          <w:lang w:val="es-ES"/>
        </w:rPr>
        <w:t xml:space="preserve">n abogado o abogada no puede representar a una persona en un asunto en el que participó personal y sustancialmente en cualquiera de esas capacidades, a menos que todas las partes den su consentimiento informado por escrito. </w:t>
      </w:r>
    </w:p>
    <w:p w14:paraId="071A16AA" w14:textId="6348A851" w:rsidR="008B4E93" w:rsidRPr="007D6510" w:rsidRDefault="00532499" w:rsidP="00532499">
      <w:pPr>
        <w:pStyle w:val="FootnoteText"/>
        <w:ind w:firstLine="360"/>
        <w:jc w:val="both"/>
        <w:rPr>
          <w:rFonts w:ascii="Book Antiqua" w:hAnsi="Book Antiqua"/>
          <w:lang w:val="es-ES"/>
        </w:rPr>
      </w:pPr>
      <w:r>
        <w:rPr>
          <w:rFonts w:ascii="Book Antiqua" w:hAnsi="Book Antiqua"/>
          <w:lang w:val="es-ES"/>
        </w:rPr>
        <w:t>Por otra parte, s</w:t>
      </w:r>
      <w:r w:rsidR="008B4E93" w:rsidRPr="007D6510">
        <w:rPr>
          <w:rFonts w:ascii="Book Antiqua" w:hAnsi="Book Antiqua"/>
          <w:lang w:val="es-ES"/>
        </w:rPr>
        <w:t>i un abogado o abogada recibe información de un cliente potencial que podría perjudicarlo significativamente en un asunto</w:t>
      </w:r>
      <w:r>
        <w:rPr>
          <w:rFonts w:ascii="Book Antiqua" w:hAnsi="Book Antiqua"/>
          <w:lang w:val="es-ES"/>
        </w:rPr>
        <w:t xml:space="preserve"> </w:t>
      </w:r>
      <w:r w:rsidRPr="007D6510">
        <w:rPr>
          <w:rFonts w:ascii="Book Antiqua" w:hAnsi="Book Antiqua"/>
          <w:lang w:val="es-ES"/>
        </w:rPr>
        <w:t>(Regla 1.18)</w:t>
      </w:r>
      <w:r>
        <w:rPr>
          <w:rFonts w:ascii="Book Antiqua" w:hAnsi="Book Antiqua"/>
          <w:lang w:val="es-ES"/>
        </w:rPr>
        <w:t>,</w:t>
      </w:r>
      <w:r w:rsidR="008B4E93" w:rsidRPr="007D6510">
        <w:rPr>
          <w:rFonts w:ascii="Book Antiqua" w:hAnsi="Book Antiqua"/>
          <w:lang w:val="es-ES"/>
        </w:rPr>
        <w:t xml:space="preserve"> no podrá representar a un cliente con intereses sustancialmente adversos en el mismo asunto o uno sustancialmente relacionado. Esta prohibición se imputa a toda la oficina legal. </w:t>
      </w:r>
    </w:p>
    <w:p w14:paraId="6449D839" w14:textId="56A7DD5F" w:rsidR="008B4E93" w:rsidRPr="007D6510" w:rsidRDefault="0050345F" w:rsidP="0050345F">
      <w:pPr>
        <w:pStyle w:val="FootnoteText"/>
        <w:ind w:firstLine="360"/>
        <w:jc w:val="both"/>
        <w:rPr>
          <w:rFonts w:ascii="Book Antiqua" w:hAnsi="Book Antiqua"/>
          <w:lang w:val="es-ES"/>
        </w:rPr>
      </w:pPr>
      <w:r>
        <w:rPr>
          <w:rFonts w:ascii="Book Antiqua" w:hAnsi="Book Antiqua"/>
          <w:lang w:val="es-ES"/>
        </w:rPr>
        <w:t>Se destacan también o</w:t>
      </w:r>
      <w:r w:rsidR="008B4E93" w:rsidRPr="007D6510">
        <w:rPr>
          <w:rFonts w:ascii="Book Antiqua" w:hAnsi="Book Antiqua"/>
          <w:lang w:val="es-ES"/>
        </w:rPr>
        <w:t xml:space="preserve">tras </w:t>
      </w:r>
      <w:r>
        <w:rPr>
          <w:rFonts w:ascii="Book Antiqua" w:hAnsi="Book Antiqua"/>
          <w:lang w:val="es-ES"/>
        </w:rPr>
        <w:t>s</w:t>
      </w:r>
      <w:r w:rsidR="008B4E93" w:rsidRPr="007D6510">
        <w:rPr>
          <w:rFonts w:ascii="Book Antiqua" w:hAnsi="Book Antiqua"/>
          <w:lang w:val="es-ES"/>
        </w:rPr>
        <w:t xml:space="preserve">ituaciones de </w:t>
      </w:r>
      <w:r>
        <w:rPr>
          <w:rFonts w:ascii="Book Antiqua" w:hAnsi="Book Antiqua"/>
          <w:lang w:val="es-ES"/>
        </w:rPr>
        <w:t>d</w:t>
      </w:r>
      <w:r w:rsidRPr="007D6510">
        <w:rPr>
          <w:rFonts w:ascii="Book Antiqua" w:hAnsi="Book Antiqua"/>
          <w:lang w:val="es-ES"/>
        </w:rPr>
        <w:t>escalificación</w:t>
      </w:r>
      <w:r>
        <w:rPr>
          <w:rFonts w:ascii="Book Antiqua" w:hAnsi="Book Antiqua"/>
          <w:lang w:val="es-ES"/>
        </w:rPr>
        <w:t>. En el caso de</w:t>
      </w:r>
      <w:r w:rsidR="008B4E93" w:rsidRPr="007D6510">
        <w:rPr>
          <w:rFonts w:ascii="Book Antiqua" w:hAnsi="Book Antiqua"/>
          <w:lang w:val="es-ES"/>
        </w:rPr>
        <w:t xml:space="preserve">l </w:t>
      </w:r>
      <w:r>
        <w:rPr>
          <w:rFonts w:ascii="Book Antiqua" w:hAnsi="Book Antiqua"/>
          <w:lang w:val="es-ES"/>
        </w:rPr>
        <w:t>a</w:t>
      </w:r>
      <w:r w:rsidR="008B4E93" w:rsidRPr="007D6510">
        <w:rPr>
          <w:rFonts w:ascii="Book Antiqua" w:hAnsi="Book Antiqua"/>
          <w:lang w:val="es-ES"/>
        </w:rPr>
        <w:t xml:space="preserve">bogado como </w:t>
      </w:r>
      <w:r>
        <w:rPr>
          <w:rFonts w:ascii="Book Antiqua" w:hAnsi="Book Antiqua"/>
          <w:lang w:val="es-ES"/>
        </w:rPr>
        <w:t>t</w:t>
      </w:r>
      <w:r w:rsidR="008B4E93" w:rsidRPr="007D6510">
        <w:rPr>
          <w:rFonts w:ascii="Book Antiqua" w:hAnsi="Book Antiqua"/>
          <w:lang w:val="es-ES"/>
        </w:rPr>
        <w:t>estigo (Regla 3.7)</w:t>
      </w:r>
      <w:r>
        <w:rPr>
          <w:rFonts w:ascii="Book Antiqua" w:hAnsi="Book Antiqua"/>
          <w:lang w:val="es-ES"/>
        </w:rPr>
        <w:t xml:space="preserve">, la regla general es que </w:t>
      </w:r>
      <w:r w:rsidR="008B4E93" w:rsidRPr="007D6510">
        <w:rPr>
          <w:rFonts w:ascii="Book Antiqua" w:hAnsi="Book Antiqua"/>
          <w:lang w:val="es-ES"/>
        </w:rPr>
        <w:t xml:space="preserve">un abogado no debe representar a un cliente en un procedimiento donde el propio abogado probablemente será un testigo necesario. Sin embargo, existen excepciones si el testimonio es sobre un asunto no controvertido, sobre la naturaleza y el valor de los servicios legales rendidos en el caso, o si la descalificación </w:t>
      </w:r>
      <w:proofErr w:type="gramStart"/>
      <w:r w:rsidR="008B4E93" w:rsidRPr="007D6510">
        <w:rPr>
          <w:rFonts w:ascii="Book Antiqua" w:hAnsi="Book Antiqua"/>
          <w:lang w:val="es-ES"/>
        </w:rPr>
        <w:t>causaría</w:t>
      </w:r>
      <w:proofErr w:type="gramEnd"/>
      <w:r w:rsidR="008B4E93" w:rsidRPr="007D6510">
        <w:rPr>
          <w:rFonts w:ascii="Book Antiqua" w:hAnsi="Book Antiqua"/>
          <w:lang w:val="es-ES"/>
        </w:rPr>
        <w:t xml:space="preserve"> un perjuicio sustancial al cliente. Es importante notar que, a diferencia de otras reglas, un abogado sí puede representar a un cliente en un procedimiento judicial donde otro abogado de su misma oficina legal probablemente será llamado a </w:t>
      </w:r>
      <w:proofErr w:type="gramStart"/>
      <w:r w:rsidR="005833AA" w:rsidRPr="007D6510">
        <w:rPr>
          <w:rFonts w:ascii="Book Antiqua" w:hAnsi="Book Antiqua"/>
          <w:lang w:val="es-ES"/>
        </w:rPr>
        <w:t>declarar</w:t>
      </w:r>
      <w:r w:rsidR="008B4E93" w:rsidRPr="007D6510">
        <w:rPr>
          <w:rFonts w:ascii="Book Antiqua" w:hAnsi="Book Antiqua"/>
          <w:lang w:val="es-ES"/>
        </w:rPr>
        <w:t xml:space="preserve"> </w:t>
      </w:r>
      <w:r w:rsidR="005833AA">
        <w:rPr>
          <w:rFonts w:ascii="Book Antiqua" w:hAnsi="Book Antiqua"/>
          <w:lang w:val="es-ES"/>
        </w:rPr>
        <w:t>como</w:t>
      </w:r>
      <w:proofErr w:type="gramEnd"/>
      <w:r w:rsidR="005833AA">
        <w:rPr>
          <w:rFonts w:ascii="Book Antiqua" w:hAnsi="Book Antiqua"/>
          <w:lang w:val="es-ES"/>
        </w:rPr>
        <w:t xml:space="preserve"> </w:t>
      </w:r>
      <w:r w:rsidR="008B4E93" w:rsidRPr="007D6510">
        <w:rPr>
          <w:rFonts w:ascii="Book Antiqua" w:hAnsi="Book Antiqua"/>
          <w:lang w:val="es-ES"/>
        </w:rPr>
        <w:t>testigo, a menos que esto sea impedido por las reglas de conflicto de intereses con clientes actuales (Regla 1.7) o anteriores (Regla 1.9).</w:t>
      </w:r>
    </w:p>
    <w:p w14:paraId="6E89E475" w14:textId="599D2107" w:rsidR="008B4E93" w:rsidRPr="005833AA" w:rsidRDefault="005833AA" w:rsidP="005833AA">
      <w:pPr>
        <w:pStyle w:val="FootnoteText"/>
        <w:ind w:firstLine="360"/>
        <w:jc w:val="both"/>
        <w:rPr>
          <w:rFonts w:ascii="Book Antiqua" w:hAnsi="Book Antiqua"/>
          <w:lang w:val="es-ES"/>
        </w:rPr>
      </w:pPr>
      <w:r>
        <w:rPr>
          <w:rFonts w:ascii="Book Antiqua" w:hAnsi="Book Antiqua"/>
          <w:lang w:val="es-ES"/>
        </w:rPr>
        <w:t xml:space="preserve">Por último, </w:t>
      </w:r>
      <w:r w:rsidR="00947EBD">
        <w:rPr>
          <w:rFonts w:ascii="Book Antiqua" w:hAnsi="Book Antiqua"/>
          <w:lang w:val="es-ES"/>
        </w:rPr>
        <w:t>se aclara la</w:t>
      </w:r>
      <w:r>
        <w:rPr>
          <w:rFonts w:ascii="Book Antiqua" w:hAnsi="Book Antiqua"/>
          <w:lang w:val="es-ES"/>
        </w:rPr>
        <w:t xml:space="preserve"> regla de i</w:t>
      </w:r>
      <w:r w:rsidR="008B4E93" w:rsidRPr="007D6510">
        <w:rPr>
          <w:rFonts w:ascii="Book Antiqua" w:hAnsi="Book Antiqua"/>
          <w:lang w:val="es-ES"/>
        </w:rPr>
        <w:t xml:space="preserve">ncompatibilidad con la </w:t>
      </w:r>
      <w:r>
        <w:rPr>
          <w:rFonts w:ascii="Book Antiqua" w:hAnsi="Book Antiqua"/>
          <w:lang w:val="es-ES"/>
        </w:rPr>
        <w:t>f</w:t>
      </w:r>
      <w:r w:rsidR="008B4E93" w:rsidRPr="007D6510">
        <w:rPr>
          <w:rFonts w:ascii="Book Antiqua" w:hAnsi="Book Antiqua"/>
          <w:lang w:val="es-ES"/>
        </w:rPr>
        <w:t xml:space="preserve">unción </w:t>
      </w:r>
      <w:r>
        <w:rPr>
          <w:rFonts w:ascii="Book Antiqua" w:hAnsi="Book Antiqua"/>
          <w:lang w:val="es-ES"/>
        </w:rPr>
        <w:t>n</w:t>
      </w:r>
      <w:r w:rsidR="008B4E93" w:rsidRPr="007D6510">
        <w:rPr>
          <w:rFonts w:ascii="Book Antiqua" w:hAnsi="Book Antiqua"/>
          <w:lang w:val="es-ES"/>
        </w:rPr>
        <w:t xml:space="preserve">otarial (Regla 1.8(k) y 1.9(d)): </w:t>
      </w:r>
      <w:r w:rsidR="00947EBD">
        <w:rPr>
          <w:rFonts w:ascii="Book Antiqua" w:hAnsi="Book Antiqua"/>
          <w:lang w:val="es-ES"/>
        </w:rPr>
        <w:t>un</w:t>
      </w:r>
      <w:r w:rsidR="008B4E93" w:rsidRPr="007D6510">
        <w:rPr>
          <w:rFonts w:ascii="Book Antiqua" w:hAnsi="Book Antiqua"/>
          <w:lang w:val="es-ES"/>
        </w:rPr>
        <w:t xml:space="preserve"> notario que autoriza un instrumento público no podrá luego proveer representación legal a ninguna parte otorgante que busque reclamar judicial o extrajudicialmente contra la otra parte en relación con las contraprestaciones del instrumento que autorizó. </w:t>
      </w:r>
      <w:r w:rsidR="008B4E93" w:rsidRPr="005833AA">
        <w:rPr>
          <w:rFonts w:ascii="Book Antiqua" w:hAnsi="Book Antiqua"/>
          <w:lang w:val="es-ES"/>
        </w:rPr>
        <w:t>Esto prohíbe una doble función en el mismo asunto.</w:t>
      </w:r>
      <w:r w:rsidR="00DF0BF0">
        <w:rPr>
          <w:rFonts w:ascii="Book Antiqua" w:hAnsi="Book Antiqua"/>
          <w:lang w:val="es-ES"/>
        </w:rPr>
        <w:t xml:space="preserve"> </w:t>
      </w:r>
      <w:r w:rsidR="00DF0BF0" w:rsidRPr="00DF0BF0">
        <w:rPr>
          <w:rFonts w:ascii="Book Antiqua" w:hAnsi="Book Antiqua"/>
          <w:i/>
          <w:iCs/>
          <w:lang w:val="es-ES"/>
        </w:rPr>
        <w:t>Véase</w:t>
      </w:r>
      <w:r w:rsidR="00DF0BF0">
        <w:rPr>
          <w:rFonts w:ascii="Book Antiqua" w:hAnsi="Book Antiqua"/>
          <w:lang w:val="es-ES"/>
        </w:rPr>
        <w:t xml:space="preserve"> </w:t>
      </w:r>
      <w:hyperlink r:id="rId1" w:history="1">
        <w:r w:rsidR="00DF0BF0" w:rsidRPr="000A540F">
          <w:rPr>
            <w:rStyle w:val="Hyperlink"/>
            <w:rFonts w:ascii="Book Antiqua" w:hAnsi="Book Antiqua"/>
            <w:lang w:val="es-ES"/>
          </w:rPr>
          <w:t>https://poderjudicial.pr/Documentos/Supremo/Reglas/Reglas-Conducta-Profesional-Puerto-Rico.pdf</w:t>
        </w:r>
      </w:hyperlink>
      <w:r w:rsidR="00DF0BF0">
        <w:rPr>
          <w:rFonts w:ascii="Book Antiqua" w:hAnsi="Book Antiqua"/>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1B74A4FF"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1F4BA4">
      <w:rPr>
        <w:rFonts w:ascii="Book Antiqua" w:hAnsi="Book Antiqua"/>
        <w:i/>
        <w:iCs/>
        <w:sz w:val="20"/>
        <w:lang w:val="es-PR"/>
      </w:rPr>
      <w:t>P. de la C. 171</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7ABAB686"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D61B26">
      <w:rPr>
        <w:rFonts w:ascii="Book Antiqua" w:hAnsi="Book Antiqua"/>
        <w:i/>
        <w:iCs/>
        <w:sz w:val="20"/>
        <w:lang w:val="es-PR"/>
      </w:rPr>
      <w:t>P. de la C. 171</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5B4DBB"/>
    <w:multiLevelType w:val="hybridMultilevel"/>
    <w:tmpl w:val="D20838F2"/>
    <w:lvl w:ilvl="0" w:tplc="863638EA">
      <w:numFmt w:val="bullet"/>
      <w:lvlText w:val="•"/>
      <w:lvlJc w:val="left"/>
      <w:pPr>
        <w:ind w:left="720" w:hanging="360"/>
      </w:pPr>
      <w:rPr>
        <w:rFonts w:ascii="Book Antiqua" w:eastAsia="Times New Roman"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EA4095"/>
    <w:multiLevelType w:val="hybridMultilevel"/>
    <w:tmpl w:val="B6208192"/>
    <w:lvl w:ilvl="0" w:tplc="6B6A49E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815B82"/>
    <w:multiLevelType w:val="hybridMultilevel"/>
    <w:tmpl w:val="E6C801F8"/>
    <w:lvl w:ilvl="0" w:tplc="6B6A49E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DD54DC"/>
    <w:multiLevelType w:val="hybridMultilevel"/>
    <w:tmpl w:val="32BA7D0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5"/>
  </w:num>
  <w:num w:numId="6" w16cid:durableId="2085452212">
    <w:abstractNumId w:val="6"/>
  </w:num>
  <w:num w:numId="7" w16cid:durableId="1889301122">
    <w:abstractNumId w:val="8"/>
  </w:num>
  <w:num w:numId="8" w16cid:durableId="1506673542">
    <w:abstractNumId w:val="7"/>
  </w:num>
  <w:num w:numId="9" w16cid:durableId="1571037010">
    <w:abstractNumId w:val="4"/>
  </w:num>
  <w:num w:numId="10" w16cid:durableId="9320574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79BC"/>
    <w:rsid w:val="000902F9"/>
    <w:rsid w:val="000945D3"/>
    <w:rsid w:val="000A0CEF"/>
    <w:rsid w:val="000A135C"/>
    <w:rsid w:val="000B071A"/>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24221"/>
    <w:rsid w:val="001312DC"/>
    <w:rsid w:val="00152956"/>
    <w:rsid w:val="00152AEE"/>
    <w:rsid w:val="00157BC8"/>
    <w:rsid w:val="00163D80"/>
    <w:rsid w:val="00170E89"/>
    <w:rsid w:val="00172EE0"/>
    <w:rsid w:val="00181300"/>
    <w:rsid w:val="00183113"/>
    <w:rsid w:val="001842DE"/>
    <w:rsid w:val="00186AB6"/>
    <w:rsid w:val="001A4A02"/>
    <w:rsid w:val="001A7146"/>
    <w:rsid w:val="001A7434"/>
    <w:rsid w:val="001B5218"/>
    <w:rsid w:val="001B77D6"/>
    <w:rsid w:val="001C0F9B"/>
    <w:rsid w:val="001C2FA8"/>
    <w:rsid w:val="001C31BA"/>
    <w:rsid w:val="001C40F5"/>
    <w:rsid w:val="001C5DEB"/>
    <w:rsid w:val="001D12A7"/>
    <w:rsid w:val="001D3C1D"/>
    <w:rsid w:val="001D70F5"/>
    <w:rsid w:val="001D79E5"/>
    <w:rsid w:val="001E78B4"/>
    <w:rsid w:val="001F4BA4"/>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290D"/>
    <w:rsid w:val="002779B7"/>
    <w:rsid w:val="002B0B9E"/>
    <w:rsid w:val="002B62DE"/>
    <w:rsid w:val="002C18ED"/>
    <w:rsid w:val="002C402D"/>
    <w:rsid w:val="002C79CB"/>
    <w:rsid w:val="002D185B"/>
    <w:rsid w:val="002D4AC8"/>
    <w:rsid w:val="002D701E"/>
    <w:rsid w:val="002E3F48"/>
    <w:rsid w:val="002E4A52"/>
    <w:rsid w:val="002E66F9"/>
    <w:rsid w:val="002F0440"/>
    <w:rsid w:val="002F79D4"/>
    <w:rsid w:val="00303FA5"/>
    <w:rsid w:val="003059D5"/>
    <w:rsid w:val="00305A25"/>
    <w:rsid w:val="00311782"/>
    <w:rsid w:val="00316786"/>
    <w:rsid w:val="003239C5"/>
    <w:rsid w:val="00330372"/>
    <w:rsid w:val="00334935"/>
    <w:rsid w:val="00337BB7"/>
    <w:rsid w:val="0034055D"/>
    <w:rsid w:val="003465C8"/>
    <w:rsid w:val="00352C78"/>
    <w:rsid w:val="00381F18"/>
    <w:rsid w:val="0038390D"/>
    <w:rsid w:val="003857EC"/>
    <w:rsid w:val="00386D32"/>
    <w:rsid w:val="0039037B"/>
    <w:rsid w:val="003906D8"/>
    <w:rsid w:val="00393CA6"/>
    <w:rsid w:val="003A201A"/>
    <w:rsid w:val="003B0348"/>
    <w:rsid w:val="003D7045"/>
    <w:rsid w:val="00402413"/>
    <w:rsid w:val="004076B9"/>
    <w:rsid w:val="00411030"/>
    <w:rsid w:val="00412A61"/>
    <w:rsid w:val="004177EF"/>
    <w:rsid w:val="004227D1"/>
    <w:rsid w:val="00424144"/>
    <w:rsid w:val="004278D1"/>
    <w:rsid w:val="00440253"/>
    <w:rsid w:val="004408DF"/>
    <w:rsid w:val="004440CB"/>
    <w:rsid w:val="00444FD2"/>
    <w:rsid w:val="00445E69"/>
    <w:rsid w:val="004713D2"/>
    <w:rsid w:val="004817F3"/>
    <w:rsid w:val="00481C39"/>
    <w:rsid w:val="00487AC3"/>
    <w:rsid w:val="004918F1"/>
    <w:rsid w:val="004A05FC"/>
    <w:rsid w:val="004A0FD4"/>
    <w:rsid w:val="004A18C6"/>
    <w:rsid w:val="004A23CC"/>
    <w:rsid w:val="004B0082"/>
    <w:rsid w:val="004C370E"/>
    <w:rsid w:val="004D2BC7"/>
    <w:rsid w:val="004D4E14"/>
    <w:rsid w:val="004E7F65"/>
    <w:rsid w:val="004F6E72"/>
    <w:rsid w:val="004F7173"/>
    <w:rsid w:val="0050345F"/>
    <w:rsid w:val="0051050B"/>
    <w:rsid w:val="00530395"/>
    <w:rsid w:val="00532499"/>
    <w:rsid w:val="00534798"/>
    <w:rsid w:val="005354C6"/>
    <w:rsid w:val="00540B6A"/>
    <w:rsid w:val="00540DDE"/>
    <w:rsid w:val="00541FE3"/>
    <w:rsid w:val="005478C9"/>
    <w:rsid w:val="00550023"/>
    <w:rsid w:val="00550412"/>
    <w:rsid w:val="00552B8A"/>
    <w:rsid w:val="00555018"/>
    <w:rsid w:val="00571789"/>
    <w:rsid w:val="00573858"/>
    <w:rsid w:val="00573B23"/>
    <w:rsid w:val="005741F6"/>
    <w:rsid w:val="00580EC6"/>
    <w:rsid w:val="005817B7"/>
    <w:rsid w:val="005833AA"/>
    <w:rsid w:val="00592B05"/>
    <w:rsid w:val="005A24EF"/>
    <w:rsid w:val="005A4787"/>
    <w:rsid w:val="005A4A2C"/>
    <w:rsid w:val="005B2884"/>
    <w:rsid w:val="005C5E81"/>
    <w:rsid w:val="005D2E57"/>
    <w:rsid w:val="005D4AA7"/>
    <w:rsid w:val="005D4CED"/>
    <w:rsid w:val="005E150B"/>
    <w:rsid w:val="005E7E85"/>
    <w:rsid w:val="0061550A"/>
    <w:rsid w:val="00615AB1"/>
    <w:rsid w:val="00615E64"/>
    <w:rsid w:val="00622333"/>
    <w:rsid w:val="006239E8"/>
    <w:rsid w:val="00650D8E"/>
    <w:rsid w:val="0066129F"/>
    <w:rsid w:val="00662809"/>
    <w:rsid w:val="0066391D"/>
    <w:rsid w:val="006807C0"/>
    <w:rsid w:val="006861CE"/>
    <w:rsid w:val="006952DA"/>
    <w:rsid w:val="006A24A9"/>
    <w:rsid w:val="006B3D07"/>
    <w:rsid w:val="006B6346"/>
    <w:rsid w:val="006B7E26"/>
    <w:rsid w:val="006C0F4B"/>
    <w:rsid w:val="006C283C"/>
    <w:rsid w:val="006D01F6"/>
    <w:rsid w:val="006D49D8"/>
    <w:rsid w:val="006D5838"/>
    <w:rsid w:val="006D6359"/>
    <w:rsid w:val="006E5B7A"/>
    <w:rsid w:val="006F226E"/>
    <w:rsid w:val="006F51A8"/>
    <w:rsid w:val="00714102"/>
    <w:rsid w:val="007163D8"/>
    <w:rsid w:val="007167F5"/>
    <w:rsid w:val="00720B6F"/>
    <w:rsid w:val="007229E9"/>
    <w:rsid w:val="00725174"/>
    <w:rsid w:val="0073675F"/>
    <w:rsid w:val="007472C1"/>
    <w:rsid w:val="007535BB"/>
    <w:rsid w:val="007611FE"/>
    <w:rsid w:val="00762892"/>
    <w:rsid w:val="00777E1D"/>
    <w:rsid w:val="00785050"/>
    <w:rsid w:val="007928EC"/>
    <w:rsid w:val="00793E19"/>
    <w:rsid w:val="007A09DE"/>
    <w:rsid w:val="007B4C52"/>
    <w:rsid w:val="007C04E5"/>
    <w:rsid w:val="007C156B"/>
    <w:rsid w:val="007C592E"/>
    <w:rsid w:val="007D5A59"/>
    <w:rsid w:val="007D6510"/>
    <w:rsid w:val="007D7749"/>
    <w:rsid w:val="007E17BE"/>
    <w:rsid w:val="007E3B6D"/>
    <w:rsid w:val="007F0829"/>
    <w:rsid w:val="007F62AB"/>
    <w:rsid w:val="00803A23"/>
    <w:rsid w:val="008061C2"/>
    <w:rsid w:val="00815BF2"/>
    <w:rsid w:val="00820C41"/>
    <w:rsid w:val="008235BE"/>
    <w:rsid w:val="00825070"/>
    <w:rsid w:val="00842BF1"/>
    <w:rsid w:val="00855CD6"/>
    <w:rsid w:val="0086515A"/>
    <w:rsid w:val="00865634"/>
    <w:rsid w:val="00867243"/>
    <w:rsid w:val="008A154B"/>
    <w:rsid w:val="008A40E0"/>
    <w:rsid w:val="008B4E93"/>
    <w:rsid w:val="008B5819"/>
    <w:rsid w:val="008B5F4D"/>
    <w:rsid w:val="008C18B2"/>
    <w:rsid w:val="008C331F"/>
    <w:rsid w:val="008C39D5"/>
    <w:rsid w:val="008D6B89"/>
    <w:rsid w:val="008E051A"/>
    <w:rsid w:val="008F36D8"/>
    <w:rsid w:val="008F717C"/>
    <w:rsid w:val="00904165"/>
    <w:rsid w:val="00905655"/>
    <w:rsid w:val="00907E93"/>
    <w:rsid w:val="009133CF"/>
    <w:rsid w:val="009154BD"/>
    <w:rsid w:val="0092080B"/>
    <w:rsid w:val="009313EE"/>
    <w:rsid w:val="009351B6"/>
    <w:rsid w:val="009374E4"/>
    <w:rsid w:val="00940E84"/>
    <w:rsid w:val="00946BB4"/>
    <w:rsid w:val="00946E55"/>
    <w:rsid w:val="00947EBD"/>
    <w:rsid w:val="00957495"/>
    <w:rsid w:val="0096171F"/>
    <w:rsid w:val="009645CD"/>
    <w:rsid w:val="00970DEB"/>
    <w:rsid w:val="00981A1F"/>
    <w:rsid w:val="00984F56"/>
    <w:rsid w:val="00993059"/>
    <w:rsid w:val="009A08E8"/>
    <w:rsid w:val="009A4A2C"/>
    <w:rsid w:val="009A4BCD"/>
    <w:rsid w:val="009A4FB3"/>
    <w:rsid w:val="009B5669"/>
    <w:rsid w:val="009B619C"/>
    <w:rsid w:val="009C41AD"/>
    <w:rsid w:val="009C455C"/>
    <w:rsid w:val="009E20DD"/>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1CB8"/>
    <w:rsid w:val="00A6445C"/>
    <w:rsid w:val="00A83C12"/>
    <w:rsid w:val="00A870EF"/>
    <w:rsid w:val="00A90DAD"/>
    <w:rsid w:val="00A93C47"/>
    <w:rsid w:val="00AA0006"/>
    <w:rsid w:val="00AB2E69"/>
    <w:rsid w:val="00AB4DA7"/>
    <w:rsid w:val="00AC0B9B"/>
    <w:rsid w:val="00AC3813"/>
    <w:rsid w:val="00AD076F"/>
    <w:rsid w:val="00AD4B71"/>
    <w:rsid w:val="00AE555C"/>
    <w:rsid w:val="00AF12FB"/>
    <w:rsid w:val="00AF56F5"/>
    <w:rsid w:val="00B03E1C"/>
    <w:rsid w:val="00B14832"/>
    <w:rsid w:val="00B177DD"/>
    <w:rsid w:val="00B216D4"/>
    <w:rsid w:val="00B24B05"/>
    <w:rsid w:val="00B25721"/>
    <w:rsid w:val="00B31371"/>
    <w:rsid w:val="00B316DC"/>
    <w:rsid w:val="00B36F9D"/>
    <w:rsid w:val="00B37EF9"/>
    <w:rsid w:val="00B46464"/>
    <w:rsid w:val="00B47BDF"/>
    <w:rsid w:val="00B571D9"/>
    <w:rsid w:val="00B57451"/>
    <w:rsid w:val="00B57CEB"/>
    <w:rsid w:val="00B6135D"/>
    <w:rsid w:val="00B702A0"/>
    <w:rsid w:val="00B70EB9"/>
    <w:rsid w:val="00B807DC"/>
    <w:rsid w:val="00B8514B"/>
    <w:rsid w:val="00B8540B"/>
    <w:rsid w:val="00BA0F95"/>
    <w:rsid w:val="00BA43F4"/>
    <w:rsid w:val="00BB1CA9"/>
    <w:rsid w:val="00BB20A7"/>
    <w:rsid w:val="00BB6946"/>
    <w:rsid w:val="00BB7826"/>
    <w:rsid w:val="00BC7625"/>
    <w:rsid w:val="00BD3BEF"/>
    <w:rsid w:val="00BE1535"/>
    <w:rsid w:val="00BE6740"/>
    <w:rsid w:val="00BF358A"/>
    <w:rsid w:val="00BF3B64"/>
    <w:rsid w:val="00C0210B"/>
    <w:rsid w:val="00C06631"/>
    <w:rsid w:val="00C20997"/>
    <w:rsid w:val="00C21A5A"/>
    <w:rsid w:val="00C22AFC"/>
    <w:rsid w:val="00C32ECE"/>
    <w:rsid w:val="00C33BD9"/>
    <w:rsid w:val="00C41CC9"/>
    <w:rsid w:val="00C4275E"/>
    <w:rsid w:val="00C6071A"/>
    <w:rsid w:val="00C65A5F"/>
    <w:rsid w:val="00C7303D"/>
    <w:rsid w:val="00C760D6"/>
    <w:rsid w:val="00C869B3"/>
    <w:rsid w:val="00C9772C"/>
    <w:rsid w:val="00CA1098"/>
    <w:rsid w:val="00CA5E1E"/>
    <w:rsid w:val="00CA6DDD"/>
    <w:rsid w:val="00CB5806"/>
    <w:rsid w:val="00CC4859"/>
    <w:rsid w:val="00CE532D"/>
    <w:rsid w:val="00CE7DA0"/>
    <w:rsid w:val="00CF32AA"/>
    <w:rsid w:val="00CF4C00"/>
    <w:rsid w:val="00D0004D"/>
    <w:rsid w:val="00D01A55"/>
    <w:rsid w:val="00D06E91"/>
    <w:rsid w:val="00D13D23"/>
    <w:rsid w:val="00D15EA4"/>
    <w:rsid w:val="00D16010"/>
    <w:rsid w:val="00D16947"/>
    <w:rsid w:val="00D5351E"/>
    <w:rsid w:val="00D61B26"/>
    <w:rsid w:val="00D61B6F"/>
    <w:rsid w:val="00D759DB"/>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0BF0"/>
    <w:rsid w:val="00DF45DC"/>
    <w:rsid w:val="00E03B98"/>
    <w:rsid w:val="00E14B9C"/>
    <w:rsid w:val="00E17E3B"/>
    <w:rsid w:val="00E251EA"/>
    <w:rsid w:val="00E35157"/>
    <w:rsid w:val="00E35171"/>
    <w:rsid w:val="00E36FA6"/>
    <w:rsid w:val="00E410A0"/>
    <w:rsid w:val="00E63FA4"/>
    <w:rsid w:val="00E722CA"/>
    <w:rsid w:val="00E73DB1"/>
    <w:rsid w:val="00E815C4"/>
    <w:rsid w:val="00E921BE"/>
    <w:rsid w:val="00E930DD"/>
    <w:rsid w:val="00E9570B"/>
    <w:rsid w:val="00EA477A"/>
    <w:rsid w:val="00EA5757"/>
    <w:rsid w:val="00EB09E5"/>
    <w:rsid w:val="00EB0B16"/>
    <w:rsid w:val="00EB1664"/>
    <w:rsid w:val="00EB70E1"/>
    <w:rsid w:val="00EC5454"/>
    <w:rsid w:val="00EC56E8"/>
    <w:rsid w:val="00EE4536"/>
    <w:rsid w:val="00EF237A"/>
    <w:rsid w:val="00EF62F7"/>
    <w:rsid w:val="00F02F4A"/>
    <w:rsid w:val="00F042CB"/>
    <w:rsid w:val="00F17951"/>
    <w:rsid w:val="00F3003D"/>
    <w:rsid w:val="00F315D1"/>
    <w:rsid w:val="00F44E24"/>
    <w:rsid w:val="00F4686E"/>
    <w:rsid w:val="00F566F4"/>
    <w:rsid w:val="00F60859"/>
    <w:rsid w:val="00F65FAA"/>
    <w:rsid w:val="00F667F0"/>
    <w:rsid w:val="00F816B8"/>
    <w:rsid w:val="00F85B37"/>
    <w:rsid w:val="00F86C0C"/>
    <w:rsid w:val="00F90AAD"/>
    <w:rsid w:val="00F969D4"/>
    <w:rsid w:val="00FB10AE"/>
    <w:rsid w:val="00FC5FDD"/>
    <w:rsid w:val="00FD19DB"/>
    <w:rsid w:val="00FD4E9F"/>
    <w:rsid w:val="00FE3A8E"/>
    <w:rsid w:val="00FF2797"/>
    <w:rsid w:val="00FF4D43"/>
    <w:rsid w:val="00FF4DD7"/>
    <w:rsid w:val="00FF59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character" w:styleId="Hyperlink">
    <w:name w:val="Hyperlink"/>
    <w:basedOn w:val="DefaultParagraphFont"/>
    <w:uiPriority w:val="99"/>
    <w:unhideWhenUsed/>
    <w:rsid w:val="00DF0BF0"/>
    <w:rPr>
      <w:color w:val="467886" w:themeColor="hyperlink"/>
      <w:u w:val="single"/>
    </w:rPr>
  </w:style>
  <w:style w:type="character" w:styleId="UnresolvedMention">
    <w:name w:val="Unresolved Mention"/>
    <w:basedOn w:val="DefaultParagraphFont"/>
    <w:uiPriority w:val="47"/>
    <w:rsid w:val="00DF0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poderjudicial.pr/Documentos/Supremo/Reglas/Reglas-Conducta-Profesional-Puerto-Ric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4SQX5P7U7WPY-958212181-817945</_dlc_DocId>
    <_dlc_DocIdUrl xmlns="c890fddd-4e87-4e08-8b51-545f2a3f7b06">
      <Url>https://senpr.sharepoint.com/sites/obralegislativa/_layouts/15/DocIdRedir.aspx?ID=4SQX5P7U7WPY-958212181-817945</Url>
      <Description>4SQX5P7U7WPY-958212181-817945</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B1AD5C47-5367-4E56-91BA-CF2AF4D805B2}"/>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7C16FDC8-E5FA-4F0C-B68E-DD3449849079}"/>
</file>

<file path=docProps/app.xml><?xml version="1.0" encoding="utf-8"?>
<Properties xmlns="http://schemas.openxmlformats.org/officeDocument/2006/extended-properties" xmlns:vt="http://schemas.openxmlformats.org/officeDocument/2006/docPropsVTypes">
  <Template>Medida-V2009</Template>
  <TotalTime>1</TotalTime>
  <Pages>4</Pages>
  <Words>902</Words>
  <Characters>4912</Characters>
  <Application>Microsoft Office Word</Application>
  <DocSecurity>0</DocSecurity>
  <Lines>40</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2025-08-26T17:59:00Z</dcterms:created>
  <dcterms:modified xsi:type="dcterms:W3CDTF">2025-08-26T17:59:00Z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eedbe18e-fc6c-4e4e-8ea4-dd3ab45ea365</vt:lpwstr>
  </property>
  <property fmtid="{D5CDD505-2E9C-101B-9397-08002B2CF9AE}" pid="4" name="MediaServiceImageTags">
    <vt:lpwstr/>
  </property>
</Properties>
</file>