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AB78A" w14:textId="77777777" w:rsidR="00B606A7" w:rsidRPr="00B606A7" w:rsidRDefault="00B606A7" w:rsidP="00B606A7">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B606A7">
        <w:rPr>
          <w:rFonts w:ascii="Book Antiqua" w:eastAsia="Times New Roman" w:hAnsi="Book Antiqua"/>
          <w:b/>
          <w:bCs/>
          <w:sz w:val="24"/>
          <w:szCs w:val="24"/>
          <w:lang w:val="es-PR"/>
        </w:rPr>
        <w:t>(TEXTO DE APROBACIÓN FINAL POR LA CÁMARA)</w:t>
      </w:r>
      <w:r w:rsidRPr="00B606A7">
        <w:rPr>
          <w:rFonts w:ascii="Book Antiqua" w:eastAsia="Times New Roman" w:hAnsi="Book Antiqua"/>
          <w:b/>
          <w:bCs/>
          <w:sz w:val="24"/>
          <w:szCs w:val="24"/>
          <w:lang w:val="es-ES_tradnl"/>
        </w:rPr>
        <w:fldChar w:fldCharType="begin"/>
      </w:r>
      <w:r w:rsidRPr="00B606A7">
        <w:rPr>
          <w:rFonts w:ascii="Book Antiqua" w:eastAsia="Times New Roman" w:hAnsi="Book Antiqua"/>
          <w:b/>
          <w:bCs/>
          <w:sz w:val="24"/>
          <w:szCs w:val="24"/>
          <w:lang w:val="es-PR"/>
        </w:rPr>
        <w:instrText xml:space="preserve">PRIVATE </w:instrText>
      </w:r>
      <w:r w:rsidRPr="00B606A7">
        <w:rPr>
          <w:rFonts w:ascii="Book Antiqua" w:eastAsia="Times New Roman" w:hAnsi="Book Antiqua"/>
          <w:b/>
          <w:bCs/>
          <w:sz w:val="24"/>
          <w:szCs w:val="24"/>
          <w:lang w:val="es-ES_tradnl"/>
        </w:rPr>
        <w:fldChar w:fldCharType="end"/>
      </w:r>
    </w:p>
    <w:p w14:paraId="1B3FD857" w14:textId="77777777" w:rsidR="00B606A7" w:rsidRPr="00B606A7" w:rsidRDefault="00B606A7" w:rsidP="00B606A7">
      <w:pPr>
        <w:suppressLineNumbers/>
        <w:tabs>
          <w:tab w:val="center" w:pos="4680"/>
        </w:tabs>
        <w:spacing w:after="0" w:line="240" w:lineRule="auto"/>
        <w:jc w:val="center"/>
        <w:rPr>
          <w:rFonts w:ascii="Book Antiqua" w:eastAsia="Times New Roman" w:hAnsi="Book Antiqua"/>
          <w:b/>
          <w:bCs/>
          <w:sz w:val="24"/>
          <w:szCs w:val="24"/>
          <w:lang w:val="es-PR"/>
        </w:rPr>
      </w:pPr>
      <w:r w:rsidRPr="00B606A7">
        <w:rPr>
          <w:rFonts w:ascii="Book Antiqua" w:eastAsia="Times New Roman" w:hAnsi="Book Antiqua"/>
          <w:b/>
          <w:bCs/>
          <w:sz w:val="24"/>
          <w:szCs w:val="24"/>
          <w:lang w:val="es-PR"/>
        </w:rPr>
        <w:t>(10 DE ABRIL DE 2025)</w:t>
      </w:r>
    </w:p>
    <w:p w14:paraId="7B5B45B6" w14:textId="3F2EA248" w:rsidR="00B606A7" w:rsidRPr="00B606A7" w:rsidRDefault="00B606A7" w:rsidP="00B606A7">
      <w:pPr>
        <w:suppressLineNumbers/>
        <w:tabs>
          <w:tab w:val="center" w:pos="4680"/>
        </w:tabs>
        <w:spacing w:after="0" w:line="240" w:lineRule="auto"/>
        <w:jc w:val="center"/>
        <w:rPr>
          <w:rFonts w:ascii="Book Antiqua" w:eastAsia="Times New Roman" w:hAnsi="Book Antiqua"/>
          <w:b/>
          <w:bCs/>
          <w:sz w:val="24"/>
          <w:szCs w:val="24"/>
          <w:lang w:val="es-ES_tradnl"/>
        </w:rPr>
      </w:pPr>
      <w:r w:rsidRPr="00B606A7">
        <w:rPr>
          <w:rFonts w:cs="Arial"/>
          <w:noProof/>
        </w:rPr>
        <mc:AlternateContent>
          <mc:Choice Requires="wps">
            <w:drawing>
              <wp:anchor distT="0" distB="0" distL="114300" distR="114300" simplePos="0" relativeHeight="251659264" behindDoc="1" locked="0" layoutInCell="0" allowOverlap="1" wp14:anchorId="07DEC5E6" wp14:editId="6AB1B9B7">
                <wp:simplePos x="0" y="0"/>
                <wp:positionH relativeFrom="margin">
                  <wp:posOffset>0</wp:posOffset>
                </wp:positionH>
                <wp:positionV relativeFrom="paragraph">
                  <wp:posOffset>0</wp:posOffset>
                </wp:positionV>
                <wp:extent cx="5943600" cy="22860"/>
                <wp:effectExtent l="0" t="0" r="0" b="0"/>
                <wp:wrapNone/>
                <wp:docPr id="153397134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6DD9C"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4D97384" w14:textId="5CAA273E" w:rsidR="001B5A7A" w:rsidRPr="00C30A27" w:rsidRDefault="001B5A7A" w:rsidP="001B5A7A">
      <w:pPr>
        <w:suppressLineNumbers/>
        <w:suppressAutoHyphens/>
        <w:spacing w:after="0" w:line="240" w:lineRule="auto"/>
        <w:jc w:val="center"/>
        <w:rPr>
          <w:rFonts w:ascii="Book Antiqua" w:hAnsi="Book Antiqua"/>
          <w:sz w:val="28"/>
          <w:szCs w:val="28"/>
          <w:lang w:val="es-PR"/>
        </w:rPr>
      </w:pPr>
      <w:r w:rsidRPr="00C30A27">
        <w:rPr>
          <w:rFonts w:ascii="Book Antiqua" w:hAnsi="Book Antiqua"/>
          <w:sz w:val="28"/>
          <w:szCs w:val="28"/>
          <w:lang w:val="es-PR"/>
        </w:rPr>
        <w:t>GOBIERNO DE PUERTO RICO</w:t>
      </w:r>
    </w:p>
    <w:p w14:paraId="15316F77" w14:textId="77777777" w:rsidR="001B5A7A" w:rsidRPr="0019568B" w:rsidRDefault="001B5A7A" w:rsidP="001B5A7A">
      <w:pPr>
        <w:suppressLineNumbers/>
        <w:suppressAutoHyphens/>
        <w:spacing w:after="0" w:line="240" w:lineRule="auto"/>
        <w:jc w:val="center"/>
        <w:rPr>
          <w:rFonts w:ascii="Book Antiqua" w:eastAsia="Times New Roman" w:hAnsi="Book Antiqua"/>
          <w:sz w:val="24"/>
          <w:szCs w:val="24"/>
          <w:lang w:val="es-PR"/>
        </w:rPr>
      </w:pPr>
    </w:p>
    <w:p w14:paraId="248DD9E9" w14:textId="77777777" w:rsidR="001B5A7A" w:rsidRPr="00C9336C" w:rsidRDefault="001B5A7A" w:rsidP="001B5A7A">
      <w:pPr>
        <w:suppressLineNumbers/>
        <w:suppressAutoHyphens/>
        <w:spacing w:after="0" w:line="240" w:lineRule="auto"/>
        <w:jc w:val="both"/>
        <w:rPr>
          <w:rFonts w:ascii="Book Antiqua" w:eastAsia="Times New Roman" w:hAnsi="Book Antiqua"/>
          <w:spacing w:val="-3"/>
          <w:sz w:val="24"/>
          <w:szCs w:val="24"/>
          <w:lang w:val="it-IT"/>
        </w:rPr>
      </w:pPr>
      <w:r>
        <w:rPr>
          <w:rFonts w:ascii="Book Antiqua" w:eastAsia="Times New Roman" w:hAnsi="Book Antiqua"/>
          <w:spacing w:val="-3"/>
          <w:sz w:val="24"/>
          <w:szCs w:val="24"/>
          <w:lang w:val="es-PR"/>
        </w:rPr>
        <w:t xml:space="preserve">  </w:t>
      </w:r>
      <w:r w:rsidRPr="00C9336C">
        <w:rPr>
          <w:rFonts w:ascii="Book Antiqua" w:eastAsia="Times New Roman" w:hAnsi="Book Antiqua"/>
          <w:spacing w:val="-3"/>
          <w:sz w:val="24"/>
          <w:szCs w:val="24"/>
          <w:lang w:val="it-IT"/>
        </w:rPr>
        <w:t>20ma. Asamblea</w:t>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t>1ra. Sesión</w:t>
      </w:r>
    </w:p>
    <w:p w14:paraId="70ED8387" w14:textId="4FB3F9CD" w:rsidR="001B5A7A" w:rsidRPr="00C9336C"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it-IT"/>
        </w:rPr>
      </w:pPr>
      <w:r w:rsidRPr="00C9336C">
        <w:rPr>
          <w:rFonts w:ascii="Book Antiqua" w:eastAsia="Times New Roman" w:hAnsi="Book Antiqua"/>
          <w:spacing w:val="-3"/>
          <w:sz w:val="24"/>
          <w:szCs w:val="24"/>
          <w:lang w:val="it-IT"/>
        </w:rPr>
        <w:tab/>
      </w:r>
      <w:r w:rsidR="00074098" w:rsidRPr="00C9336C">
        <w:rPr>
          <w:rFonts w:ascii="Book Antiqua" w:eastAsia="Times New Roman" w:hAnsi="Book Antiqua"/>
          <w:spacing w:val="-3"/>
          <w:sz w:val="24"/>
          <w:szCs w:val="24"/>
          <w:lang w:val="it-IT"/>
        </w:rPr>
        <w:t xml:space="preserve">   </w:t>
      </w:r>
      <w:r w:rsidRPr="00C9336C">
        <w:rPr>
          <w:rFonts w:ascii="Book Antiqua" w:eastAsia="Times New Roman" w:hAnsi="Book Antiqua"/>
          <w:spacing w:val="-3"/>
          <w:sz w:val="24"/>
          <w:szCs w:val="24"/>
          <w:lang w:val="it-IT"/>
        </w:rPr>
        <w:t>Legislativa</w:t>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r>
      <w:r w:rsidRPr="00C9336C">
        <w:rPr>
          <w:rFonts w:ascii="Book Antiqua" w:eastAsia="Times New Roman" w:hAnsi="Book Antiqua"/>
          <w:spacing w:val="-3"/>
          <w:sz w:val="24"/>
          <w:szCs w:val="24"/>
          <w:lang w:val="it-IT"/>
        </w:rPr>
        <w:tab/>
        <w:t xml:space="preserve">       Ordinaria</w:t>
      </w:r>
    </w:p>
    <w:p w14:paraId="62DBC19C" w14:textId="77777777" w:rsidR="001B5A7A" w:rsidRPr="00C9336C"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it-IT"/>
        </w:rPr>
      </w:pPr>
    </w:p>
    <w:p w14:paraId="239F6959" w14:textId="77777777" w:rsidR="001B5A7A" w:rsidRDefault="001B5A7A" w:rsidP="001B5A7A">
      <w:pPr>
        <w:suppressLineNumbers/>
        <w:spacing w:after="0" w:line="240" w:lineRule="auto"/>
        <w:jc w:val="center"/>
        <w:rPr>
          <w:rFonts w:ascii="Book Antiqua" w:eastAsia="Times New Roman" w:hAnsi="Book Antiqua"/>
          <w:b/>
          <w:sz w:val="36"/>
          <w:szCs w:val="36"/>
          <w:lang w:val="es-ES_tradnl"/>
        </w:rPr>
      </w:pPr>
      <w:r w:rsidRPr="0019568B">
        <w:rPr>
          <w:rFonts w:ascii="Book Antiqua" w:eastAsia="Times New Roman" w:hAnsi="Book Antiqua"/>
          <w:b/>
          <w:caps/>
          <w:sz w:val="36"/>
          <w:szCs w:val="36"/>
          <w:lang w:val="es-ES_tradnl"/>
        </w:rPr>
        <w:t>Cámara</w:t>
      </w:r>
      <w:r w:rsidRPr="0019568B">
        <w:rPr>
          <w:rFonts w:ascii="Book Antiqua" w:eastAsia="Times New Roman" w:hAnsi="Book Antiqua"/>
          <w:b/>
          <w:sz w:val="36"/>
          <w:szCs w:val="36"/>
          <w:lang w:val="es-ES_tradnl"/>
        </w:rPr>
        <w:t xml:space="preserve"> DE REPRESENTANTES</w:t>
      </w:r>
    </w:p>
    <w:p w14:paraId="35992F7C"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0BF6BB5" w14:textId="56D0A860" w:rsidR="001B5A7A" w:rsidRDefault="001B5A7A" w:rsidP="001B5A7A">
      <w:pPr>
        <w:suppressLineNumbers/>
        <w:spacing w:after="0" w:line="240" w:lineRule="auto"/>
        <w:jc w:val="center"/>
        <w:rPr>
          <w:rFonts w:ascii="Book Antiqua" w:eastAsia="Times New Roman" w:hAnsi="Book Antiqua"/>
          <w:b/>
          <w:sz w:val="52"/>
          <w:szCs w:val="52"/>
          <w:lang w:val="es-ES_tradnl"/>
        </w:rPr>
      </w:pPr>
      <w:r w:rsidRPr="0019568B">
        <w:rPr>
          <w:rFonts w:ascii="Book Antiqua" w:eastAsia="Times New Roman" w:hAnsi="Book Antiqua"/>
          <w:b/>
          <w:sz w:val="52"/>
          <w:szCs w:val="52"/>
          <w:lang w:val="es-ES_tradnl"/>
        </w:rPr>
        <w:t xml:space="preserve">P. de la C. </w:t>
      </w:r>
      <w:r w:rsidR="00BE32E6">
        <w:rPr>
          <w:rFonts w:ascii="Book Antiqua" w:eastAsia="Times New Roman" w:hAnsi="Book Antiqua"/>
          <w:b/>
          <w:sz w:val="52"/>
          <w:szCs w:val="52"/>
          <w:lang w:val="es-ES_tradnl"/>
        </w:rPr>
        <w:t>172</w:t>
      </w:r>
    </w:p>
    <w:p w14:paraId="5A93D96A" w14:textId="77777777" w:rsidR="001B5A7A" w:rsidRDefault="001B5A7A" w:rsidP="001B5A7A">
      <w:pPr>
        <w:suppressLineNumbers/>
        <w:spacing w:after="0" w:line="240" w:lineRule="auto"/>
        <w:jc w:val="center"/>
        <w:rPr>
          <w:rFonts w:ascii="Book Antiqua" w:eastAsia="Times New Roman" w:hAnsi="Book Antiqua"/>
          <w:sz w:val="24"/>
          <w:szCs w:val="24"/>
          <w:lang w:val="es-ES_tradnl"/>
        </w:rPr>
      </w:pPr>
    </w:p>
    <w:p w14:paraId="7508AF77" w14:textId="57A2ACB5" w:rsidR="001B5A7A" w:rsidRDefault="00BE32E6" w:rsidP="001B5A7A">
      <w:pPr>
        <w:suppressLineNumbers/>
        <w:spacing w:after="0" w:line="240" w:lineRule="auto"/>
        <w:jc w:val="center"/>
        <w:rPr>
          <w:rFonts w:ascii="Book Antiqua" w:eastAsia="Times New Roman" w:hAnsi="Book Antiqua"/>
          <w:b/>
          <w:sz w:val="52"/>
          <w:szCs w:val="52"/>
          <w:lang w:val="es-ES_tradnl"/>
        </w:rPr>
      </w:pPr>
      <w:r>
        <w:rPr>
          <w:rFonts w:ascii="Book Antiqua" w:eastAsia="Times New Roman" w:hAnsi="Book Antiqua"/>
          <w:sz w:val="24"/>
          <w:szCs w:val="24"/>
          <w:lang w:val="es-ES_tradnl"/>
        </w:rPr>
        <w:t xml:space="preserve">9 </w:t>
      </w:r>
      <w:r w:rsidR="001B5A7A">
        <w:rPr>
          <w:rFonts w:ascii="Book Antiqua" w:eastAsia="Times New Roman" w:hAnsi="Book Antiqua"/>
          <w:sz w:val="24"/>
          <w:szCs w:val="24"/>
          <w:lang w:val="es-ES_tradnl"/>
        </w:rPr>
        <w:t>DE ENERO DE 2025</w:t>
      </w:r>
    </w:p>
    <w:p w14:paraId="69406103" w14:textId="77777777" w:rsidR="001B5A7A" w:rsidRPr="005907DC" w:rsidRDefault="001B5A7A" w:rsidP="001B5A7A">
      <w:pPr>
        <w:suppressLineNumbers/>
        <w:spacing w:after="0" w:line="240" w:lineRule="auto"/>
        <w:jc w:val="center"/>
        <w:rPr>
          <w:rFonts w:ascii="Book Antiqua" w:eastAsia="Times New Roman" w:hAnsi="Book Antiqua"/>
          <w:b/>
          <w:sz w:val="24"/>
          <w:szCs w:val="24"/>
          <w:lang w:val="es-ES_tradnl"/>
        </w:rPr>
      </w:pPr>
    </w:p>
    <w:p w14:paraId="65D6A8CC" w14:textId="77777777" w:rsidR="001B5A7A" w:rsidRDefault="001B5A7A" w:rsidP="001B5A7A">
      <w:pPr>
        <w:suppressLineNumbers/>
        <w:spacing w:after="0" w:line="240" w:lineRule="auto"/>
        <w:jc w:val="center"/>
        <w:rPr>
          <w:rFonts w:ascii="Book Antiqua" w:eastAsia="Times New Roman" w:hAnsi="Book Antiqua"/>
          <w:i/>
          <w:sz w:val="24"/>
          <w:szCs w:val="24"/>
          <w:lang w:val="es-ES_tradnl"/>
        </w:rPr>
      </w:pPr>
      <w:r w:rsidRPr="0019568B">
        <w:rPr>
          <w:rFonts w:ascii="Book Antiqua" w:eastAsia="Times New Roman" w:hAnsi="Book Antiqua"/>
          <w:sz w:val="24"/>
          <w:szCs w:val="24"/>
          <w:lang w:val="es-ES_tradnl"/>
        </w:rPr>
        <w:t xml:space="preserve">Presentado por el representante </w:t>
      </w:r>
      <w:r w:rsidRPr="0019568B">
        <w:rPr>
          <w:rFonts w:ascii="Book Antiqua" w:eastAsia="Times New Roman" w:hAnsi="Book Antiqua"/>
          <w:i/>
          <w:sz w:val="24"/>
          <w:szCs w:val="24"/>
          <w:lang w:val="es-ES_tradnl"/>
        </w:rPr>
        <w:t>Aponte Hernández</w:t>
      </w:r>
    </w:p>
    <w:p w14:paraId="77168BD9" w14:textId="7777777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p>
    <w:p w14:paraId="36FFF9B2" w14:textId="463185A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r w:rsidRPr="0019568B">
        <w:rPr>
          <w:rFonts w:ascii="Book Antiqua" w:eastAsia="Times New Roman" w:hAnsi="Book Antiqua"/>
          <w:sz w:val="24"/>
          <w:szCs w:val="24"/>
          <w:lang w:val="es-ES_tradnl"/>
        </w:rPr>
        <w:t xml:space="preserve">Referido a </w:t>
      </w:r>
      <w:r>
        <w:rPr>
          <w:rFonts w:ascii="Book Antiqua" w:eastAsia="Times New Roman" w:hAnsi="Book Antiqua"/>
          <w:sz w:val="24"/>
          <w:szCs w:val="24"/>
          <w:lang w:val="es-ES_tradnl"/>
        </w:rPr>
        <w:t xml:space="preserve">la Comisión </w:t>
      </w:r>
      <w:r w:rsidR="00074098">
        <w:rPr>
          <w:rFonts w:ascii="Book Antiqua" w:eastAsia="Times New Roman" w:hAnsi="Book Antiqua"/>
          <w:sz w:val="24"/>
          <w:szCs w:val="24"/>
          <w:lang w:val="es-ES_tradnl"/>
        </w:rPr>
        <w:t>de Asuntos Federales</w:t>
      </w:r>
      <w:r w:rsidR="00983C6B">
        <w:rPr>
          <w:rFonts w:ascii="Book Antiqua" w:eastAsia="Times New Roman" w:hAnsi="Book Antiqua"/>
          <w:sz w:val="24"/>
          <w:szCs w:val="24"/>
          <w:lang w:val="es-ES_tradnl"/>
        </w:rPr>
        <w:t xml:space="preserve"> y Veteranos</w:t>
      </w:r>
    </w:p>
    <w:p w14:paraId="151AF0DE"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p>
    <w:p w14:paraId="459727E6"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r w:rsidRPr="007B3EBA">
        <w:rPr>
          <w:rFonts w:ascii="Book Antiqua" w:eastAsia="Times New Roman" w:hAnsi="Book Antiqua"/>
          <w:b/>
          <w:sz w:val="28"/>
          <w:szCs w:val="28"/>
          <w:lang w:val="es-ES_tradnl"/>
        </w:rPr>
        <w:t>LEY</w:t>
      </w:r>
    </w:p>
    <w:p w14:paraId="52E285AF"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72F7053" w14:textId="76AB5F85" w:rsidR="001B5A7A" w:rsidRPr="00E860EC" w:rsidRDefault="001B5A7A" w:rsidP="00E860EC">
      <w:pPr>
        <w:pStyle w:val="ListParagraph"/>
        <w:spacing w:after="0" w:line="240" w:lineRule="auto"/>
        <w:ind w:hanging="720"/>
        <w:jc w:val="both"/>
        <w:rPr>
          <w:rFonts w:ascii="Book Antiqua" w:hAnsi="Book Antiqua"/>
          <w:sz w:val="24"/>
          <w:szCs w:val="24"/>
          <w:lang w:val="es-PR"/>
        </w:rPr>
      </w:pPr>
      <w:r w:rsidRPr="00E860EC">
        <w:rPr>
          <w:rFonts w:ascii="Book Antiqua" w:hAnsi="Book Antiqua" w:cs="Courier New"/>
          <w:sz w:val="24"/>
          <w:szCs w:val="24"/>
          <w:lang w:val="es-ES" w:eastAsia="es-PR"/>
        </w:rPr>
        <w:t>Para enmendar los subincisos (a)(1) y (a)(5) del inciso F del Artículo 4 de la Ley</w:t>
      </w:r>
      <w:r w:rsidR="003B6E2B" w:rsidRPr="00E860EC">
        <w:rPr>
          <w:rFonts w:ascii="Book Antiqua" w:hAnsi="Book Antiqua" w:cs="Courier New"/>
          <w:sz w:val="24"/>
          <w:szCs w:val="24"/>
          <w:lang w:val="es-ES" w:eastAsia="es-PR"/>
        </w:rPr>
        <w:t xml:space="preserve"> Núm.</w:t>
      </w:r>
      <w:r w:rsidRPr="00E860EC">
        <w:rPr>
          <w:rFonts w:ascii="Book Antiqua" w:hAnsi="Book Antiqua" w:cs="Courier New"/>
          <w:sz w:val="24"/>
          <w:szCs w:val="24"/>
          <w:lang w:val="es-ES" w:eastAsia="es-PR"/>
        </w:rPr>
        <w:t xml:space="preserve"> 203-2007, según enmendada, conocida como “Carta de Derechos del Veterano Puertorriqueño del Siglo XXI”, a los fines de aclarar que la preferencia de los veteranos en su nombramiento o concesión de ascenso para cualquier cargo, empleo u oportunidad de trabajo se extiende a todo tipo de oportunidad de trabajo disponible; aclarar que la obligación de notificar a la Oficina del Procurador del Veterano, todas las oportunidades disponibles de libre competencia para empleo para las cuales se proponga realizar cualquier tipo de nombramiento incluye, además de entes gubernamentales, a personas privadas, naturales o jurídicas; y otros fines.</w:t>
      </w:r>
      <w:r w:rsidRPr="00E860EC">
        <w:rPr>
          <w:rFonts w:ascii="Book Antiqua" w:hAnsi="Book Antiqua" w:cs="Courier New"/>
          <w:szCs w:val="24"/>
          <w:lang w:val="es-ES" w:eastAsia="es-PR"/>
        </w:rPr>
        <w:t xml:space="preserve"> </w:t>
      </w:r>
    </w:p>
    <w:p w14:paraId="51F5139E" w14:textId="77777777" w:rsidR="001B5A7A" w:rsidRPr="003E1367" w:rsidRDefault="001B5A7A" w:rsidP="001B5A7A">
      <w:pPr>
        <w:suppressLineNumbers/>
        <w:spacing w:after="0" w:line="240" w:lineRule="auto"/>
        <w:ind w:left="720" w:hanging="720"/>
        <w:jc w:val="both"/>
        <w:rPr>
          <w:rFonts w:ascii="Book Antiqua" w:hAnsi="Book Antiqua" w:cs="Courier New"/>
          <w:sz w:val="24"/>
          <w:szCs w:val="24"/>
          <w:lang w:val="es-ES" w:eastAsia="es-PR"/>
        </w:rPr>
      </w:pPr>
    </w:p>
    <w:p w14:paraId="41FE6AB7" w14:textId="77777777" w:rsidR="001B5A7A" w:rsidRDefault="001B5A7A" w:rsidP="001B5A7A">
      <w:pPr>
        <w:suppressLineNumbers/>
        <w:spacing w:after="0" w:line="240" w:lineRule="auto"/>
        <w:jc w:val="center"/>
        <w:rPr>
          <w:rFonts w:ascii="Book Antiqua" w:hAnsi="Book Antiqua"/>
          <w:sz w:val="24"/>
          <w:szCs w:val="24"/>
          <w:lang w:val="es-ES_tradnl"/>
        </w:rPr>
      </w:pPr>
      <w:r w:rsidRPr="0019568B">
        <w:rPr>
          <w:rFonts w:ascii="Book Antiqua" w:hAnsi="Book Antiqua"/>
          <w:sz w:val="24"/>
          <w:szCs w:val="24"/>
          <w:lang w:val="es-ES_tradnl"/>
        </w:rPr>
        <w:t>EXPOSICIÓN DE MOTIVOS</w:t>
      </w:r>
    </w:p>
    <w:p w14:paraId="5850D1E9" w14:textId="77777777" w:rsidR="001B5A7A" w:rsidRPr="007C52A5" w:rsidRDefault="001B5A7A" w:rsidP="001B5A7A">
      <w:pPr>
        <w:suppressLineNumbers/>
        <w:spacing w:after="0" w:line="240" w:lineRule="auto"/>
        <w:ind w:left="720" w:hanging="720"/>
        <w:jc w:val="center"/>
        <w:rPr>
          <w:rFonts w:ascii="Book Antiqua" w:hAnsi="Book Antiqua"/>
          <w:sz w:val="24"/>
          <w:szCs w:val="24"/>
          <w:lang w:val="es-ES_tradnl"/>
        </w:rPr>
      </w:pPr>
    </w:p>
    <w:p w14:paraId="2F91B2E9" w14:textId="3797E7CB" w:rsidR="001B5A7A" w:rsidRPr="00E860EC" w:rsidRDefault="001B5A7A" w:rsidP="00E860EC">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ES_tradnl"/>
        </w:rPr>
        <w:t>La</w:t>
      </w:r>
      <w:r w:rsidRPr="00E860EC">
        <w:rPr>
          <w:rFonts w:ascii="Book Antiqua" w:hAnsi="Book Antiqua"/>
          <w:color w:val="000000"/>
          <w:sz w:val="24"/>
          <w:szCs w:val="24"/>
          <w:shd w:val="clear" w:color="auto" w:fill="FFFFFF"/>
          <w:lang w:val="es-PR"/>
        </w:rPr>
        <w:t xml:space="preserve"> Ley</w:t>
      </w:r>
      <w:r w:rsidR="00760330" w:rsidRPr="00E860EC">
        <w:rPr>
          <w:rFonts w:ascii="Book Antiqua" w:hAnsi="Book Antiqua"/>
          <w:color w:val="000000"/>
          <w:sz w:val="24"/>
          <w:szCs w:val="24"/>
          <w:shd w:val="clear" w:color="auto" w:fill="FFFFFF"/>
          <w:lang w:val="es-PR"/>
        </w:rPr>
        <w:t xml:space="preserve"> Núm.</w:t>
      </w:r>
      <w:r w:rsidRPr="00E860EC">
        <w:rPr>
          <w:rFonts w:ascii="Book Antiqua" w:hAnsi="Book Antiqua"/>
          <w:color w:val="000000"/>
          <w:sz w:val="24"/>
          <w:szCs w:val="24"/>
          <w:shd w:val="clear" w:color="auto" w:fill="FFFFFF"/>
          <w:lang w:val="es-PR"/>
        </w:rPr>
        <w:t xml:space="preserve"> 203-2007, según enmendada, conocida como “Carta de Derechos del Veterano Puertorriqueño del Siglo XXI”, recopila en una sola pieza legislativa, los derechos reconocidos y beneficios otorgados a nuestros(as) veteranos(as) y sus familias.</w:t>
      </w:r>
    </w:p>
    <w:p w14:paraId="03895144" w14:textId="77777777" w:rsidR="001B5A7A"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6E8C86DF" w14:textId="09072C3D" w:rsidR="001B5A7A" w:rsidRPr="00E860EC" w:rsidRDefault="001B5A7A" w:rsidP="00E860EC">
      <w:pPr>
        <w:shd w:val="clear" w:color="auto" w:fill="FFFFFF"/>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 xml:space="preserve">Entre los derechos de los(as) veteranos(as) en materia de empleo, contenidos en el Artículo 4 inciso F de la Carta de Derechos del Veterano, se le reconoce el derecho a que se les brinde preferencia, en igualdad de condiciones académicas, técnicas o de </w:t>
      </w:r>
      <w:r w:rsidRPr="00E860EC">
        <w:rPr>
          <w:rFonts w:ascii="Book Antiqua" w:hAnsi="Book Antiqua"/>
          <w:color w:val="000000"/>
          <w:sz w:val="24"/>
          <w:szCs w:val="24"/>
          <w:shd w:val="clear" w:color="auto" w:fill="FFFFFF"/>
          <w:lang w:val="es-PR"/>
        </w:rPr>
        <w:lastRenderedPageBreak/>
        <w:t xml:space="preserve">experiencia, en su nombramiento o concesión de ascenso para cualquier cargo, empleo u oportunidad de trabajo. </w:t>
      </w:r>
    </w:p>
    <w:p w14:paraId="66864119" w14:textId="77777777" w:rsidR="00760330" w:rsidRPr="00490153" w:rsidRDefault="00760330"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201F14F2" w14:textId="77777777"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De igual manera, dicho Artículo impone una obligación a los empleadores que vayan a circular convocatorias para cualquier puesto o empleo de libre competencia disponible, a enviar copia de las mismas a la Oficina del Procurador del Veterano para que dicha agencia pueda notificarla a las organizaciones de veteranos debidamente organizadas, mediante la página de Internet de la Oficina o en su defecto en el portal cibernético del Gobierno de Puerto Rico o por cualquier otro medio que la Oficina estime pertinente.</w:t>
      </w:r>
    </w:p>
    <w:p w14:paraId="63734C2C" w14:textId="77777777" w:rsidR="001B5A7A" w:rsidRPr="00490153"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593E2008" w14:textId="4BCAC8F6"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 xml:space="preserve">En ocasiones, veteranos que reclaman ante patronos privados su derecho a que se les dé preferencia en cuanto a determinado nombramiento o concesión de ascenso, confrontan planteamientos de parte de dichos patronos que estiman que </w:t>
      </w:r>
      <w:r w:rsidR="00760330" w:rsidRPr="00E860EC">
        <w:rPr>
          <w:rFonts w:ascii="Book Antiqua" w:hAnsi="Book Antiqua"/>
          <w:color w:val="000000"/>
          <w:sz w:val="24"/>
          <w:szCs w:val="24"/>
          <w:shd w:val="clear" w:color="auto" w:fill="FFFFFF"/>
          <w:lang w:val="es-PR"/>
        </w:rPr>
        <w:t xml:space="preserve">esta </w:t>
      </w:r>
      <w:r w:rsidRPr="00E860EC">
        <w:rPr>
          <w:rFonts w:ascii="Book Antiqua" w:hAnsi="Book Antiqua"/>
          <w:color w:val="000000"/>
          <w:sz w:val="24"/>
          <w:szCs w:val="24"/>
          <w:shd w:val="clear" w:color="auto" w:fill="FFFFFF"/>
          <w:lang w:val="es-PR"/>
        </w:rPr>
        <w:t>obligación aplica solamente a oportunidades de empleo en el sector gubernamental, esto en violación de sus derechos reconocidos por la Carta de Derechos del Veterano.</w:t>
      </w:r>
    </w:p>
    <w:p w14:paraId="3F5FA9E6" w14:textId="77777777" w:rsidR="001B5A7A" w:rsidRPr="00490153"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5405B1F9" w14:textId="77777777"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A pesar de que el estatuto reconoce la antes citada preferencia para cualquier cargo, empleo u oportunidad de trabajo, algunos patronos entienden que la preferencia se limita a puestos regulares a tiempo completo y no a los de carácter transitorio o temporero o trabajos a tiempo parcial.  Finalmente, algunos empleadores limitan la circulación de convocatorias para puestos o empleos de libre competencia a la Oficina del Procurador de Veterano, exclusivamente a empleos regulares a tiempo completo y dejan de notificar oportunidades para empleos transitorios, temporeros, a tiempo parcial y de otra naturaleza.</w:t>
      </w:r>
    </w:p>
    <w:p w14:paraId="798979FE" w14:textId="77777777" w:rsidR="001B5A7A" w:rsidRPr="00490153"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2A19EBA1" w14:textId="77777777"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Tales situaciones producen inconvenientes innecesarios en los(as) veteranos(as), quienes, en ocasiones, ante la negativa de su patrono de cumplir con la ley, se ven obligados a instar quejas y procedimientos administrativos y/o judiciales para hacer valer sus derechos. Del mismo modo, ello limita el acceso a los(as) veteranos(as) a oportunidades de empleo de cualquier naturaleza para las cuales pudieran ellos estar debidamente cualificados. Esta situación es reprochable, particularmente en tiempos en los cuales el empleo es una de las mayores necesidades que enfrentan nuestros(as) veteranos(as) al completar su servicio activo y querer reintegrarse a su vida civil productiva.</w:t>
      </w:r>
    </w:p>
    <w:p w14:paraId="3F7137C3" w14:textId="77777777" w:rsidR="001B5A7A" w:rsidRDefault="001B5A7A" w:rsidP="00E860E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7574F71F" w14:textId="550C86DD" w:rsidR="001B5A7A" w:rsidRPr="00490153" w:rsidRDefault="001B5A7A" w:rsidP="00E860E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Conforme a derecho, es claro que cuando la Asamblea Legislativa se ha manifestado en lenguaje claro e inequívoco, el texto de la ley es la expresión por excelencia de toda intención legislativa. Más aún, cuando una ley es clara y no es ambigua, nuestro Tribunal Supremo ha expresado, que: “no hay necesidad de mirar más allá de la letra en búsqueda de la intención legislativa”. Ver R</w:t>
      </w:r>
      <w:r w:rsidRPr="00E860EC">
        <w:rPr>
          <w:rFonts w:ascii="Book Antiqua" w:hAnsi="Book Antiqua"/>
          <w:i/>
          <w:color w:val="000000"/>
          <w:sz w:val="24"/>
          <w:szCs w:val="24"/>
          <w:shd w:val="clear" w:color="auto" w:fill="FFFFFF"/>
          <w:lang w:val="es-PR"/>
        </w:rPr>
        <w:t>osario v. Distribuidora Kikuet, Inc.</w:t>
      </w:r>
      <w:r w:rsidRPr="00E860EC">
        <w:rPr>
          <w:rFonts w:ascii="Book Antiqua" w:hAnsi="Book Antiqua"/>
          <w:color w:val="000000"/>
          <w:sz w:val="24"/>
          <w:szCs w:val="24"/>
          <w:shd w:val="clear" w:color="auto" w:fill="FFFFFF"/>
          <w:lang w:val="es-PR"/>
        </w:rPr>
        <w:t xml:space="preserve">, 151 D.P.R. 634, 643 (2000). Tampoco procede la interpretación de un estatuto con ánimo de encontrar algo fuera de su texto cuando el mismo es claro. Ver </w:t>
      </w:r>
      <w:r w:rsidRPr="00E860EC">
        <w:rPr>
          <w:rFonts w:ascii="Book Antiqua" w:hAnsi="Book Antiqua"/>
          <w:i/>
          <w:color w:val="000000"/>
          <w:sz w:val="24"/>
          <w:szCs w:val="24"/>
          <w:shd w:val="clear" w:color="auto" w:fill="FFFFFF"/>
          <w:lang w:val="es-PR"/>
        </w:rPr>
        <w:t>Durand v. Sancho</w:t>
      </w:r>
      <w:r w:rsidRPr="00490153">
        <w:rPr>
          <w:rFonts w:ascii="Book Antiqua" w:hAnsi="Book Antiqua"/>
          <w:i/>
          <w:color w:val="000000"/>
          <w:sz w:val="24"/>
          <w:szCs w:val="24"/>
          <w:shd w:val="clear" w:color="auto" w:fill="FFFFFF"/>
          <w:lang w:val="es-PR"/>
        </w:rPr>
        <w:t xml:space="preserve"> </w:t>
      </w:r>
      <w:r w:rsidRPr="00490153">
        <w:rPr>
          <w:rFonts w:ascii="Book Antiqua" w:hAnsi="Book Antiqua"/>
          <w:i/>
          <w:color w:val="000000"/>
          <w:sz w:val="24"/>
          <w:szCs w:val="24"/>
          <w:shd w:val="clear" w:color="auto" w:fill="FFFFFF"/>
          <w:lang w:val="es-PR"/>
        </w:rPr>
        <w:lastRenderedPageBreak/>
        <w:t>Bonet</w:t>
      </w:r>
      <w:r w:rsidRPr="00490153">
        <w:rPr>
          <w:rFonts w:ascii="Book Antiqua" w:hAnsi="Book Antiqua"/>
          <w:color w:val="000000"/>
          <w:sz w:val="24"/>
          <w:szCs w:val="24"/>
          <w:shd w:val="clear" w:color="auto" w:fill="FFFFFF"/>
          <w:lang w:val="es-PR"/>
        </w:rPr>
        <w:t xml:space="preserve">, Tesorero, 50 D.P.R. 940 (1937). Finalmente, cuando ese significado lo expresa la Legislatura misma en términos claros e inequívocos, no hay margen ni excusa para interpretaciones. Ver, </w:t>
      </w:r>
      <w:r w:rsidRPr="00490153">
        <w:rPr>
          <w:rFonts w:ascii="Book Antiqua" w:hAnsi="Book Antiqua"/>
          <w:i/>
          <w:color w:val="000000"/>
          <w:sz w:val="24"/>
          <w:szCs w:val="24"/>
          <w:shd w:val="clear" w:color="auto" w:fill="FFFFFF"/>
          <w:lang w:val="es-PR"/>
        </w:rPr>
        <w:t>Martínez v. Junta Insular de Elecciones</w:t>
      </w:r>
      <w:r w:rsidRPr="00490153">
        <w:rPr>
          <w:rFonts w:ascii="Book Antiqua" w:hAnsi="Book Antiqua"/>
          <w:color w:val="000000"/>
          <w:sz w:val="24"/>
          <w:szCs w:val="24"/>
          <w:shd w:val="clear" w:color="auto" w:fill="FFFFFF"/>
          <w:lang w:val="es-PR"/>
        </w:rPr>
        <w:t>, 43 D.P.R. 413 (1932),</w:t>
      </w:r>
      <w:r w:rsidR="00760330">
        <w:rPr>
          <w:rFonts w:ascii="Book Antiqua" w:hAnsi="Book Antiqua"/>
          <w:color w:val="000000"/>
          <w:sz w:val="24"/>
          <w:szCs w:val="24"/>
          <w:shd w:val="clear" w:color="auto" w:fill="FFFFFF"/>
          <w:lang w:val="es-PR"/>
        </w:rPr>
        <w:t xml:space="preserve"> </w:t>
      </w:r>
      <w:proofErr w:type="spellStart"/>
      <w:r w:rsidRPr="00490153">
        <w:rPr>
          <w:rFonts w:ascii="Book Antiqua" w:hAnsi="Book Antiqua"/>
          <w:i/>
          <w:color w:val="000000"/>
          <w:sz w:val="24"/>
          <w:szCs w:val="24"/>
          <w:shd w:val="clear" w:color="auto" w:fill="FFFFFF"/>
          <w:lang w:val="es-PR"/>
        </w:rPr>
        <w:t>Buscaglia</w:t>
      </w:r>
      <w:proofErr w:type="spellEnd"/>
      <w:r w:rsidRPr="00490153">
        <w:rPr>
          <w:rFonts w:ascii="Book Antiqua" w:hAnsi="Book Antiqua"/>
          <w:i/>
          <w:color w:val="000000"/>
          <w:sz w:val="24"/>
          <w:szCs w:val="24"/>
          <w:shd w:val="clear" w:color="auto" w:fill="FFFFFF"/>
          <w:lang w:val="es-PR"/>
        </w:rPr>
        <w:t>, Tesorero v. Corté</w:t>
      </w:r>
      <w:r w:rsidRPr="00490153">
        <w:rPr>
          <w:rFonts w:ascii="Book Antiqua" w:hAnsi="Book Antiqua"/>
          <w:color w:val="000000"/>
          <w:sz w:val="24"/>
          <w:szCs w:val="24"/>
          <w:shd w:val="clear" w:color="auto" w:fill="FFFFFF"/>
          <w:lang w:val="es-PR"/>
        </w:rPr>
        <w:t>, 64 D.P.R. 11 (1944).</w:t>
      </w:r>
    </w:p>
    <w:p w14:paraId="233964D0" w14:textId="77777777" w:rsidR="001B5A7A" w:rsidRPr="00490153"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6BDD3F79" w14:textId="77777777"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Al leerse el Artículo 4 inciso F en su totalidad surge, con precisión, que la preferencia reconocida a nuestros(as) veteranos(as) se extiende a oportunidades de empleo tanto en el sector gubernamental como en el privado. De igual manera, es claro que las oportunidades de empleo que deben notificarse a la Oficina del Procurador del Veterano para poder ser circuladas a las organizaciones de veteranos(as), se extienden a todas aquellas oportunidades de empleo que se encuentren disponibles, sin importar que se trate de empleos a tiempo parcial, temporeros y/o transitorios, entre otros.</w:t>
      </w:r>
    </w:p>
    <w:p w14:paraId="21D902D7" w14:textId="77777777" w:rsidR="001B5A7A" w:rsidRPr="00490153"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p>
    <w:p w14:paraId="1D4EAB94" w14:textId="17EE8AF2" w:rsidR="001B5A7A" w:rsidRPr="00E860EC" w:rsidRDefault="001B5A7A" w:rsidP="00E860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Book Antiqua" w:hAnsi="Book Antiqua"/>
          <w:color w:val="000000"/>
          <w:sz w:val="24"/>
          <w:szCs w:val="24"/>
          <w:shd w:val="clear" w:color="auto" w:fill="FFFFFF"/>
          <w:lang w:val="es-PR"/>
        </w:rPr>
      </w:pPr>
      <w:r w:rsidRPr="00E860EC">
        <w:rPr>
          <w:rFonts w:ascii="Book Antiqua" w:hAnsi="Book Antiqua"/>
          <w:color w:val="000000"/>
          <w:sz w:val="24"/>
          <w:szCs w:val="24"/>
          <w:shd w:val="clear" w:color="auto" w:fill="FFFFFF"/>
          <w:lang w:val="es-PR"/>
        </w:rPr>
        <w:t>No obstante lo anterior, en el interés de eliminar inconvenientes en el reclamo de sus derechos reconocidos y para maximizar las oportunidades de empleo para nuestros(as) veteranos(as), de manera tal que se pueda facilitar su rápida y efectiva reinserción a su vida civil al culminar su abnegado servicio activo en beneficio de nuestra democracia, esta Asamblea Legislativa entiende prudente enmendar los subincisos (a)(1) y (a)(5) del inciso F del Artículo 4 de la Ley</w:t>
      </w:r>
      <w:r w:rsidR="00760330" w:rsidRPr="00E860EC">
        <w:rPr>
          <w:rFonts w:ascii="Book Antiqua" w:hAnsi="Book Antiqua"/>
          <w:color w:val="000000"/>
          <w:sz w:val="24"/>
          <w:szCs w:val="24"/>
          <w:shd w:val="clear" w:color="auto" w:fill="FFFFFF"/>
          <w:lang w:val="es-PR"/>
        </w:rPr>
        <w:t xml:space="preserve"> Núm.</w:t>
      </w:r>
      <w:r w:rsidRPr="00E860EC">
        <w:rPr>
          <w:rFonts w:ascii="Book Antiqua" w:hAnsi="Book Antiqua"/>
          <w:color w:val="000000"/>
          <w:sz w:val="24"/>
          <w:szCs w:val="24"/>
          <w:shd w:val="clear" w:color="auto" w:fill="FFFFFF"/>
          <w:lang w:val="es-PR"/>
        </w:rPr>
        <w:t xml:space="preserve"> 203-2007, según enmendada.</w:t>
      </w:r>
    </w:p>
    <w:p w14:paraId="6E190C74" w14:textId="77777777" w:rsidR="001B5A7A" w:rsidRPr="004C22B7" w:rsidRDefault="001B5A7A" w:rsidP="001B5A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hAnsi="Book Antiqua"/>
          <w:color w:val="000000"/>
          <w:sz w:val="24"/>
          <w:szCs w:val="24"/>
          <w:shd w:val="clear" w:color="auto" w:fill="FFFFFF"/>
          <w:lang w:val="es-PR"/>
        </w:rPr>
      </w:pPr>
    </w:p>
    <w:p w14:paraId="51FFA71D" w14:textId="77777777" w:rsidR="001B5A7A" w:rsidRPr="00F02790" w:rsidRDefault="001B5A7A" w:rsidP="001B5A7A">
      <w:pPr>
        <w:suppressLineNumbers/>
        <w:spacing w:after="0" w:line="480" w:lineRule="auto"/>
        <w:jc w:val="both"/>
        <w:rPr>
          <w:rFonts w:ascii="Book Antiqua" w:hAnsi="Book Antiqua"/>
          <w:i/>
          <w:sz w:val="24"/>
          <w:szCs w:val="24"/>
          <w:lang w:val="es-PR"/>
        </w:rPr>
        <w:sectPr w:rsidR="001B5A7A" w:rsidRPr="00F02790" w:rsidSect="00760330">
          <w:headerReference w:type="default" r:id="rId7"/>
          <w:headerReference w:type="first" r:id="rId8"/>
          <w:footerReference w:type="first" r:id="rId9"/>
          <w:pgSz w:w="12240" w:h="15840" w:code="1"/>
          <w:pgMar w:top="1440" w:right="1440" w:bottom="1152" w:left="1440" w:header="720" w:footer="720" w:gutter="0"/>
          <w:cols w:space="720"/>
          <w:titlePg/>
          <w:docGrid w:linePitch="360"/>
        </w:sectPr>
      </w:pPr>
      <w:r w:rsidRPr="00D414DD">
        <w:rPr>
          <w:rFonts w:ascii="Book Antiqua" w:hAnsi="Book Antiqua"/>
          <w:i/>
          <w:sz w:val="24"/>
          <w:szCs w:val="24"/>
          <w:lang w:val="es-PR"/>
        </w:rPr>
        <w:t>DECRÉTASE POR LA ASAMBLEA LEGISLATIVA DE PUERTO RICO:</w:t>
      </w:r>
      <w:r w:rsidRPr="00D414DD">
        <w:rPr>
          <w:rFonts w:ascii="Book Antiqua" w:hAnsi="Book Antiqua"/>
          <w:sz w:val="24"/>
          <w:szCs w:val="24"/>
          <w:lang w:val="es-PR"/>
        </w:rPr>
        <w:tab/>
      </w:r>
    </w:p>
    <w:p w14:paraId="57BAEFCE" w14:textId="4B1E660C" w:rsidR="001B5A7A" w:rsidRPr="00E860EC"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sidRPr="00E860EC">
        <w:rPr>
          <w:rFonts w:ascii="Book Antiqua" w:hAnsi="Book Antiqua"/>
          <w:sz w:val="24"/>
          <w:szCs w:val="24"/>
          <w:lang w:val="es-PR"/>
        </w:rPr>
        <w:t>Sección 1.-Se enmiendan los subincisos (a)(1) y (a)(5) del inciso F del Artículo 4 de la Ley</w:t>
      </w:r>
      <w:r w:rsidR="00760330" w:rsidRPr="00E860EC">
        <w:rPr>
          <w:rFonts w:ascii="Book Antiqua" w:hAnsi="Book Antiqua"/>
          <w:sz w:val="24"/>
          <w:szCs w:val="24"/>
          <w:lang w:val="es-PR"/>
        </w:rPr>
        <w:t xml:space="preserve"> </w:t>
      </w:r>
      <w:r w:rsidR="00760330" w:rsidRPr="00E860EC">
        <w:rPr>
          <w:rFonts w:ascii="Book Antiqua" w:hAnsi="Book Antiqua"/>
          <w:color w:val="000000"/>
          <w:sz w:val="24"/>
          <w:szCs w:val="24"/>
          <w:shd w:val="clear" w:color="auto" w:fill="FFFFFF"/>
          <w:lang w:val="es-PR"/>
        </w:rPr>
        <w:t>Núm.</w:t>
      </w:r>
      <w:r w:rsidRPr="00E860EC">
        <w:rPr>
          <w:rFonts w:ascii="Book Antiqua" w:hAnsi="Book Antiqua"/>
          <w:sz w:val="24"/>
          <w:szCs w:val="24"/>
          <w:lang w:val="es-PR"/>
        </w:rPr>
        <w:t xml:space="preserve"> 203-2007, según enmendada, para que lea como sigue:</w:t>
      </w:r>
    </w:p>
    <w:p w14:paraId="398E9DBC" w14:textId="77777777" w:rsidR="001B5A7A" w:rsidRPr="00E860EC"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r>
      <w:r w:rsidRPr="00E860EC">
        <w:rPr>
          <w:rFonts w:ascii="Book Antiqua" w:hAnsi="Book Antiqua"/>
          <w:sz w:val="24"/>
          <w:szCs w:val="24"/>
          <w:lang w:val="es-PR"/>
        </w:rPr>
        <w:t xml:space="preserve">“Artículo 4.-Derechos concedidos por la Carta de Derechos del Veterano </w:t>
      </w:r>
      <w:r w:rsidRPr="00E860EC">
        <w:rPr>
          <w:rFonts w:ascii="Book Antiqua" w:hAnsi="Book Antiqua"/>
          <w:sz w:val="24"/>
          <w:szCs w:val="24"/>
          <w:lang w:val="es-PR"/>
        </w:rPr>
        <w:tab/>
        <w:t>Puertorriqueño del Siglo XXI.</w:t>
      </w:r>
    </w:p>
    <w:p w14:paraId="2F45FE5A" w14:textId="77777777" w:rsidR="001B5A7A" w:rsidRPr="00E860EC" w:rsidRDefault="001B5A7A" w:rsidP="00C9442C">
      <w:pPr>
        <w:spacing w:after="0" w:line="480" w:lineRule="auto"/>
        <w:ind w:firstLine="567"/>
        <w:jc w:val="both"/>
        <w:rPr>
          <w:rFonts w:ascii="Book Antiqua" w:hAnsi="Book Antiqua"/>
          <w:sz w:val="24"/>
          <w:szCs w:val="24"/>
          <w:lang w:val="es-PR"/>
        </w:rPr>
      </w:pPr>
      <w:r w:rsidRPr="00E860EC">
        <w:rPr>
          <w:rFonts w:ascii="Book Antiqua" w:hAnsi="Book Antiqua"/>
          <w:sz w:val="24"/>
          <w:szCs w:val="24"/>
          <w:lang w:val="es-PR"/>
        </w:rPr>
        <w:tab/>
      </w:r>
      <w:r w:rsidRPr="00E860EC">
        <w:rPr>
          <w:rFonts w:ascii="Book Antiqua" w:hAnsi="Book Antiqua"/>
          <w:sz w:val="24"/>
          <w:szCs w:val="24"/>
          <w:lang w:val="es-PR"/>
        </w:rPr>
        <w:tab/>
        <w:t>Los siguientes derechos se conceden en beneficio del veterano:</w:t>
      </w:r>
    </w:p>
    <w:p w14:paraId="2B3BA05B" w14:textId="77777777" w:rsidR="001B5A7A" w:rsidRPr="00E860EC" w:rsidRDefault="001B5A7A" w:rsidP="00760330">
      <w:pPr>
        <w:numPr>
          <w:ilvl w:val="0"/>
          <w:numId w:val="3"/>
        </w:numPr>
        <w:spacing w:after="0" w:line="480" w:lineRule="auto"/>
        <w:ind w:left="1350" w:firstLine="90"/>
        <w:jc w:val="both"/>
        <w:rPr>
          <w:rFonts w:ascii="Book Antiqua" w:hAnsi="Book Antiqua"/>
          <w:sz w:val="24"/>
          <w:szCs w:val="24"/>
          <w:lang w:val="es-PR"/>
        </w:rPr>
      </w:pPr>
      <w:r w:rsidRPr="00E860EC">
        <w:rPr>
          <w:rFonts w:ascii="Book Antiqua" w:hAnsi="Book Antiqua"/>
          <w:sz w:val="24"/>
          <w:szCs w:val="24"/>
          <w:lang w:val="es-PR"/>
        </w:rPr>
        <w:t>...</w:t>
      </w:r>
    </w:p>
    <w:p w14:paraId="29839ED9" w14:textId="77777777" w:rsidR="001B5A7A" w:rsidRPr="00E860EC" w:rsidRDefault="001B5A7A" w:rsidP="00C9442C">
      <w:pPr>
        <w:spacing w:after="0" w:line="480" w:lineRule="auto"/>
        <w:ind w:firstLine="567"/>
        <w:jc w:val="both"/>
        <w:rPr>
          <w:rFonts w:ascii="Book Antiqua" w:hAnsi="Book Antiqua"/>
          <w:sz w:val="24"/>
          <w:szCs w:val="24"/>
          <w:lang w:val="es-PR"/>
        </w:rPr>
      </w:pPr>
      <w:r w:rsidRPr="00E860EC">
        <w:rPr>
          <w:rFonts w:ascii="Book Antiqua" w:hAnsi="Book Antiqua"/>
          <w:sz w:val="24"/>
          <w:szCs w:val="24"/>
          <w:lang w:val="es-PR"/>
        </w:rPr>
        <w:tab/>
      </w:r>
      <w:r w:rsidRPr="00E860EC">
        <w:rPr>
          <w:rFonts w:ascii="Book Antiqua" w:hAnsi="Book Antiqua"/>
          <w:sz w:val="24"/>
          <w:szCs w:val="24"/>
          <w:lang w:val="es-PR"/>
        </w:rPr>
        <w:tab/>
        <w:t>...</w:t>
      </w:r>
    </w:p>
    <w:p w14:paraId="3971B1DD" w14:textId="77777777" w:rsidR="001B5A7A" w:rsidRPr="00E860EC" w:rsidRDefault="001B5A7A" w:rsidP="00C9442C">
      <w:pPr>
        <w:spacing w:after="0" w:line="480" w:lineRule="auto"/>
        <w:ind w:firstLine="567"/>
        <w:jc w:val="both"/>
        <w:rPr>
          <w:rFonts w:ascii="Book Antiqua" w:hAnsi="Book Antiqua"/>
          <w:sz w:val="24"/>
          <w:szCs w:val="24"/>
          <w:lang w:val="es-PR"/>
        </w:rPr>
      </w:pPr>
      <w:r w:rsidRPr="00E860EC">
        <w:rPr>
          <w:rFonts w:ascii="Book Antiqua" w:hAnsi="Book Antiqua"/>
          <w:sz w:val="24"/>
          <w:szCs w:val="24"/>
          <w:lang w:val="es-PR"/>
        </w:rPr>
        <w:tab/>
      </w:r>
      <w:r w:rsidRPr="00E860EC">
        <w:rPr>
          <w:rFonts w:ascii="Book Antiqua" w:hAnsi="Book Antiqua"/>
          <w:sz w:val="24"/>
          <w:szCs w:val="24"/>
          <w:lang w:val="es-PR"/>
        </w:rPr>
        <w:tab/>
        <w:t xml:space="preserve">F. </w:t>
      </w:r>
      <w:r w:rsidRPr="00E860EC">
        <w:rPr>
          <w:rFonts w:ascii="Book Antiqua" w:hAnsi="Book Antiqua"/>
          <w:sz w:val="24"/>
          <w:szCs w:val="24"/>
          <w:lang w:val="es-PR"/>
        </w:rPr>
        <w:tab/>
        <w:t>Derechos relacionados con trabajo.</w:t>
      </w:r>
    </w:p>
    <w:p w14:paraId="59C14C9E" w14:textId="77777777" w:rsidR="001B5A7A" w:rsidRPr="00E860EC" w:rsidRDefault="001B5A7A" w:rsidP="00C9442C">
      <w:pPr>
        <w:pStyle w:val="ListParagraph"/>
        <w:numPr>
          <w:ilvl w:val="0"/>
          <w:numId w:val="1"/>
        </w:numPr>
        <w:spacing w:after="0" w:line="480" w:lineRule="auto"/>
        <w:ind w:left="2880" w:firstLine="567"/>
        <w:jc w:val="both"/>
        <w:rPr>
          <w:rFonts w:ascii="Book Antiqua" w:hAnsi="Book Antiqua"/>
          <w:sz w:val="24"/>
          <w:szCs w:val="24"/>
          <w:lang w:val="es-PR"/>
        </w:rPr>
      </w:pPr>
      <w:r w:rsidRPr="00E860EC">
        <w:rPr>
          <w:rFonts w:ascii="Book Antiqua" w:hAnsi="Book Antiqua"/>
          <w:sz w:val="24"/>
          <w:szCs w:val="24"/>
          <w:lang w:val="es-PR"/>
        </w:rPr>
        <w:t>El Gobierno del Estado Libre Asociado de Puerto Rico, sus agencias e instrumentalidades, corporaciones públicas o cuasi públicas, municipios y todas</w:t>
      </w:r>
      <w:r w:rsidRPr="00341287">
        <w:rPr>
          <w:rFonts w:ascii="Book Antiqua" w:hAnsi="Book Antiqua"/>
          <w:sz w:val="24"/>
          <w:szCs w:val="24"/>
          <w:lang w:val="es-PR"/>
        </w:rPr>
        <w:t xml:space="preserve"> </w:t>
      </w:r>
      <w:r w:rsidRPr="00E860EC">
        <w:rPr>
          <w:rFonts w:ascii="Book Antiqua" w:hAnsi="Book Antiqua"/>
          <w:sz w:val="24"/>
          <w:szCs w:val="24"/>
          <w:lang w:val="es-PR"/>
        </w:rPr>
        <w:lastRenderedPageBreak/>
        <w:t>las personas privadas particulares, naturales o jurídicas, que operan negocios en Puerto Rico vendrán obligadas a:</w:t>
      </w:r>
    </w:p>
    <w:p w14:paraId="67A5215D" w14:textId="77777777" w:rsidR="001B5A7A" w:rsidRPr="00E860EC"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E860EC">
        <w:rPr>
          <w:rFonts w:ascii="Book Antiqua" w:hAnsi="Book Antiqua"/>
          <w:sz w:val="24"/>
          <w:szCs w:val="24"/>
          <w:lang w:val="es-PR"/>
        </w:rPr>
        <w:t>Dar preferencia a un veterano, en igualdad de condiciones académicas, técnicas o de experiencia, en su nombramiento o concesión de ascenso para cualquier cargo, empleo u oportunidad de trabajo, incluyendo, pero sin limitarse a oportunidades de trabajo, en empleos regulares, transitorios, permanentes, temporeros, a tiempo completo, a tiempo parcial y/o a tiempo determinado.</w:t>
      </w:r>
    </w:p>
    <w:p w14:paraId="44FDD011"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5823E980"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74C1BEB8"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47BE9646" w14:textId="4516348A" w:rsidR="001B5A7A" w:rsidRPr="00E860EC" w:rsidRDefault="001B5A7A" w:rsidP="00532592">
      <w:pPr>
        <w:pStyle w:val="ListParagraph"/>
        <w:numPr>
          <w:ilvl w:val="1"/>
          <w:numId w:val="2"/>
        </w:numPr>
        <w:spacing w:after="0" w:line="480" w:lineRule="auto"/>
        <w:ind w:left="3600" w:firstLine="567"/>
        <w:jc w:val="both"/>
        <w:rPr>
          <w:rFonts w:ascii="Book Antiqua" w:hAnsi="Book Antiqua"/>
          <w:sz w:val="24"/>
          <w:szCs w:val="24"/>
          <w:lang w:val="es-PR"/>
        </w:rPr>
      </w:pPr>
      <w:r w:rsidRPr="00E860EC">
        <w:rPr>
          <w:rFonts w:ascii="Book Antiqua" w:hAnsi="Book Antiqua"/>
          <w:sz w:val="24"/>
          <w:szCs w:val="24"/>
          <w:lang w:val="es-PR"/>
        </w:rPr>
        <w:t xml:space="preserve"> Circular las convocatorias de cualquier puesto o empleo de libre competencia disponible, incluyendo, pero sin limitarse a puesto de empleos regulares, transitorios, permanentes, temporeros, a tiempo completo, a tiempo parcial y/o a tiempo determinado, a la Oficina del Procurador del Veterano, quien lo notificará a las organizaciones de veteranos debidamente organizadas, por vía de una página </w:t>
      </w:r>
      <w:r w:rsidRPr="00E860EC">
        <w:rPr>
          <w:rFonts w:ascii="Book Antiqua" w:hAnsi="Book Antiqua"/>
          <w:sz w:val="24"/>
          <w:szCs w:val="24"/>
          <w:lang w:val="es-PR"/>
        </w:rPr>
        <w:lastRenderedPageBreak/>
        <w:t>electrónica de dicha Oficina accesible a través del Internet, o en su defecto, en el portal cibernético del Gobierno de</w:t>
      </w:r>
      <w:r w:rsidR="00532592" w:rsidRPr="00E860EC">
        <w:rPr>
          <w:rFonts w:ascii="Book Antiqua" w:hAnsi="Book Antiqua"/>
          <w:sz w:val="24"/>
          <w:szCs w:val="24"/>
          <w:lang w:val="es-PR"/>
        </w:rPr>
        <w:t xml:space="preserve"> </w:t>
      </w:r>
      <w:r w:rsidRPr="00E860EC">
        <w:rPr>
          <w:rFonts w:ascii="Book Antiqua" w:hAnsi="Book Antiqua"/>
          <w:sz w:val="24"/>
          <w:szCs w:val="24"/>
          <w:lang w:val="es-PR"/>
        </w:rPr>
        <w:t>Puerto Rico o por cualquier otro medio que estime pertinente.</w:t>
      </w:r>
    </w:p>
    <w:p w14:paraId="7597D7F7" w14:textId="77777777" w:rsidR="001B5A7A" w:rsidRPr="00E860EC"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E860EC">
        <w:rPr>
          <w:rFonts w:ascii="Book Antiqua" w:hAnsi="Book Antiqua"/>
          <w:sz w:val="24"/>
          <w:szCs w:val="24"/>
          <w:lang w:val="es-PR"/>
        </w:rPr>
        <w:t>…”</w:t>
      </w:r>
    </w:p>
    <w:p w14:paraId="3AF35286" w14:textId="067E0B98" w:rsidR="00B235A7" w:rsidRPr="00E860EC" w:rsidRDefault="001B5A7A" w:rsidP="00C9442C">
      <w:pPr>
        <w:pStyle w:val="ListParagraph"/>
        <w:spacing w:after="0" w:line="480" w:lineRule="auto"/>
        <w:ind w:left="0" w:firstLine="567"/>
        <w:jc w:val="both"/>
        <w:rPr>
          <w:rFonts w:ascii="Book Antiqua" w:hAnsi="Book Antiqua"/>
          <w:sz w:val="24"/>
          <w:szCs w:val="24"/>
          <w:lang w:val="es-PR"/>
        </w:rPr>
      </w:pPr>
      <w:r w:rsidRPr="00E860EC">
        <w:rPr>
          <w:rFonts w:ascii="Book Antiqua" w:hAnsi="Book Antiqua"/>
          <w:sz w:val="24"/>
          <w:szCs w:val="24"/>
          <w:lang w:val="es-PR"/>
        </w:rPr>
        <w:t>Sección 2.-Esta Ley entrará en vigor inmediatamente después de su aprobación.</w:t>
      </w:r>
    </w:p>
    <w:sectPr w:rsidR="00B235A7" w:rsidRPr="00E860EC" w:rsidSect="00BE32E6">
      <w:type w:val="continuous"/>
      <w:pgSz w:w="12240" w:h="15840" w:code="1"/>
      <w:pgMar w:top="1440" w:right="1440" w:bottom="171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132A9" w14:textId="77777777" w:rsidR="001B3EA4" w:rsidRDefault="001B3EA4">
      <w:pPr>
        <w:spacing w:after="0" w:line="240" w:lineRule="auto"/>
      </w:pPr>
      <w:r>
        <w:separator/>
      </w:r>
    </w:p>
  </w:endnote>
  <w:endnote w:type="continuationSeparator" w:id="0">
    <w:p w14:paraId="3EF426A1" w14:textId="77777777" w:rsidR="001B3EA4" w:rsidRDefault="001B3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A049" w14:textId="77777777" w:rsidR="001B5A7A" w:rsidRDefault="001B5A7A">
    <w:pPr>
      <w:pStyle w:val="Footer"/>
      <w:jc w:val="center"/>
    </w:pPr>
  </w:p>
  <w:p w14:paraId="28B5CE1D" w14:textId="77777777" w:rsidR="001B5A7A" w:rsidRDefault="001B5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7C78" w14:textId="77777777" w:rsidR="001B3EA4" w:rsidRDefault="001B3EA4">
      <w:pPr>
        <w:spacing w:after="0" w:line="240" w:lineRule="auto"/>
      </w:pPr>
      <w:r>
        <w:separator/>
      </w:r>
    </w:p>
  </w:footnote>
  <w:footnote w:type="continuationSeparator" w:id="0">
    <w:p w14:paraId="3F99D2CF" w14:textId="77777777" w:rsidR="001B3EA4" w:rsidRDefault="001B3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D544" w14:textId="5F580DFC" w:rsidR="001B5A7A" w:rsidRDefault="001B5A7A" w:rsidP="000C17D4">
    <w:pPr>
      <w:pStyle w:val="Header"/>
      <w:spacing w:after="0" w:line="240" w:lineRule="auto"/>
      <w:contextualSpacing/>
      <w:jc w:val="center"/>
      <w:rPr>
        <w:rFonts w:ascii="Book Antiqua" w:hAnsi="Book Antiqua"/>
        <w:noProof/>
        <w:sz w:val="24"/>
        <w:szCs w:val="24"/>
      </w:rPr>
    </w:pPr>
    <w:r w:rsidRPr="000C17D4">
      <w:rPr>
        <w:rFonts w:ascii="Book Antiqua" w:hAnsi="Book Antiqua"/>
        <w:sz w:val="24"/>
        <w:szCs w:val="24"/>
      </w:rPr>
      <w:fldChar w:fldCharType="begin"/>
    </w:r>
    <w:r w:rsidRPr="000C17D4">
      <w:rPr>
        <w:rFonts w:ascii="Book Antiqua" w:hAnsi="Book Antiqua"/>
        <w:sz w:val="24"/>
        <w:szCs w:val="24"/>
      </w:rPr>
      <w:instrText xml:space="preserve"> PAGE   \* MERGEFORMAT </w:instrText>
    </w:r>
    <w:r w:rsidRPr="000C17D4">
      <w:rPr>
        <w:rFonts w:ascii="Book Antiqua" w:hAnsi="Book Antiqua"/>
        <w:sz w:val="24"/>
        <w:szCs w:val="24"/>
      </w:rPr>
      <w:fldChar w:fldCharType="separate"/>
    </w:r>
    <w:r>
      <w:rPr>
        <w:rFonts w:ascii="Book Antiqua" w:hAnsi="Book Antiqua"/>
        <w:noProof/>
        <w:sz w:val="24"/>
        <w:szCs w:val="24"/>
      </w:rPr>
      <w:t>5</w:t>
    </w:r>
    <w:r w:rsidRPr="000C17D4">
      <w:rPr>
        <w:rFonts w:ascii="Book Antiqua" w:hAnsi="Book Antiqua"/>
        <w:noProof/>
        <w:sz w:val="24"/>
        <w:szCs w:val="24"/>
      </w:rPr>
      <w:fldChar w:fldCharType="end"/>
    </w:r>
  </w:p>
  <w:p w14:paraId="3B6254FD" w14:textId="77777777" w:rsidR="001B5A7A" w:rsidRDefault="001B5A7A" w:rsidP="000C17D4">
    <w:pPr>
      <w:pStyle w:val="Header"/>
      <w:spacing w:after="0" w:line="240" w:lineRule="auto"/>
      <w:contextualSpacing/>
      <w:jc w:val="center"/>
      <w:rPr>
        <w:rFonts w:ascii="Book Antiqua" w:hAnsi="Book Antiqua"/>
        <w:noProof/>
        <w:sz w:val="24"/>
        <w:szCs w:val="24"/>
      </w:rPr>
    </w:pPr>
  </w:p>
  <w:p w14:paraId="46634C18" w14:textId="77777777" w:rsidR="001B5A7A" w:rsidRDefault="001B5A7A" w:rsidP="000C17D4">
    <w:pPr>
      <w:pStyle w:val="Header"/>
      <w:spacing w:after="0" w:line="240" w:lineRule="auto"/>
      <w:contextualSpacing/>
      <w:jc w:val="center"/>
      <w:rPr>
        <w:rFonts w:ascii="Book Antiqua" w:hAnsi="Book Antiqua"/>
        <w:noProof/>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FBFE" w14:textId="2531386A" w:rsidR="00760330" w:rsidRPr="001C56C6" w:rsidRDefault="00760330" w:rsidP="00760330">
    <w:pPr>
      <w:pStyle w:val="Header"/>
      <w:jc w:val="center"/>
      <w:rPr>
        <w:rFonts w:ascii="Book Antiqua" w:hAnsi="Book Antiqua"/>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139F2"/>
    <w:multiLevelType w:val="hybridMultilevel"/>
    <w:tmpl w:val="5090FF18"/>
    <w:lvl w:ilvl="0" w:tplc="C67ACC3E">
      <w:start w:val="1"/>
      <w:numFmt w:val="lowerLetter"/>
      <w:lvlText w:val="(%1)"/>
      <w:lvlJc w:val="left"/>
      <w:pPr>
        <w:ind w:left="1080" w:hanging="360"/>
      </w:pPr>
      <w:rPr>
        <w:rFonts w:hint="default"/>
      </w:rPr>
    </w:lvl>
    <w:lvl w:ilvl="1" w:tplc="EA78B814">
      <w:start w:val="1"/>
      <w:numFmt w:val="decimal"/>
      <w:lvlText w:val="(%2)"/>
      <w:lvlJc w:val="left"/>
      <w:pPr>
        <w:ind w:left="1800" w:hanging="360"/>
      </w:pPr>
      <w:rPr>
        <w:rFonts w:hint="default"/>
      </w:r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7B7D2EB1"/>
    <w:multiLevelType w:val="hybridMultilevel"/>
    <w:tmpl w:val="6A8E2DAE"/>
    <w:lvl w:ilvl="0" w:tplc="AF087A82">
      <w:start w:val="1"/>
      <w:numFmt w:val="upperLetter"/>
      <w:lvlText w:val="%1."/>
      <w:lvlJc w:val="left"/>
      <w:pPr>
        <w:ind w:left="1772" w:hanging="360"/>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2" w15:restartNumberingAfterBreak="0">
    <w:nsid w:val="7C900461"/>
    <w:multiLevelType w:val="hybridMultilevel"/>
    <w:tmpl w:val="E8B027EC"/>
    <w:lvl w:ilvl="0" w:tplc="F364D68E">
      <w:start w:val="1"/>
      <w:numFmt w:val="decimal"/>
      <w:lvlText w:val="(%1)"/>
      <w:lvlJc w:val="left"/>
      <w:pPr>
        <w:ind w:left="2160" w:hanging="360"/>
      </w:pPr>
      <w:rPr>
        <w:rFonts w:hint="default"/>
      </w:rPr>
    </w:lvl>
    <w:lvl w:ilvl="1" w:tplc="E0F6F86A">
      <w:start w:val="1"/>
      <w:numFmt w:val="decimal"/>
      <w:lvlText w:val="(%2)"/>
      <w:lvlJc w:val="left"/>
      <w:pPr>
        <w:ind w:left="3240" w:hanging="360"/>
      </w:pPr>
      <w:rPr>
        <w:rFonts w:hint="default"/>
        <w:u w:val="none"/>
      </w:r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num w:numId="1" w16cid:durableId="944187517">
    <w:abstractNumId w:val="0"/>
  </w:num>
  <w:num w:numId="2" w16cid:durableId="62652681">
    <w:abstractNumId w:val="2"/>
  </w:num>
  <w:num w:numId="3" w16cid:durableId="2011254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7A"/>
    <w:rsid w:val="00057241"/>
    <w:rsid w:val="000679E6"/>
    <w:rsid w:val="00074098"/>
    <w:rsid w:val="00076CF6"/>
    <w:rsid w:val="00082412"/>
    <w:rsid w:val="0009431A"/>
    <w:rsid w:val="000B3C7C"/>
    <w:rsid w:val="000C606D"/>
    <w:rsid w:val="00126A72"/>
    <w:rsid w:val="00146AA1"/>
    <w:rsid w:val="00191F9A"/>
    <w:rsid w:val="001B3EA4"/>
    <w:rsid w:val="001B5A7A"/>
    <w:rsid w:val="001B7374"/>
    <w:rsid w:val="001C56C6"/>
    <w:rsid w:val="00270C0E"/>
    <w:rsid w:val="00282C57"/>
    <w:rsid w:val="00310FB0"/>
    <w:rsid w:val="003B6E2B"/>
    <w:rsid w:val="005144D7"/>
    <w:rsid w:val="00532592"/>
    <w:rsid w:val="00627B42"/>
    <w:rsid w:val="006536E5"/>
    <w:rsid w:val="006805EE"/>
    <w:rsid w:val="00760330"/>
    <w:rsid w:val="007C4D25"/>
    <w:rsid w:val="008771F6"/>
    <w:rsid w:val="00983C6B"/>
    <w:rsid w:val="00984692"/>
    <w:rsid w:val="00A55B7B"/>
    <w:rsid w:val="00A84820"/>
    <w:rsid w:val="00B07F62"/>
    <w:rsid w:val="00B235A7"/>
    <w:rsid w:val="00B606A7"/>
    <w:rsid w:val="00B867D0"/>
    <w:rsid w:val="00BE32E6"/>
    <w:rsid w:val="00C30A27"/>
    <w:rsid w:val="00C74E37"/>
    <w:rsid w:val="00C9336C"/>
    <w:rsid w:val="00C9442C"/>
    <w:rsid w:val="00CD6436"/>
    <w:rsid w:val="00DD00A3"/>
    <w:rsid w:val="00DD05CB"/>
    <w:rsid w:val="00E536BD"/>
    <w:rsid w:val="00E54AD1"/>
    <w:rsid w:val="00E860EC"/>
    <w:rsid w:val="00E9003E"/>
    <w:rsid w:val="00EB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600EC41"/>
  <w15:chartTrackingRefBased/>
  <w15:docId w15:val="{49DA3EF7-E20F-4CF5-AE62-1437419D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7A"/>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1B5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7A"/>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1B5A7A"/>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1B5A7A"/>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1B5A7A"/>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1B5A7A"/>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1B5A7A"/>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1B5A7A"/>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1B5A7A"/>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1B5A7A"/>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1B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A7A"/>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1B5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A7A"/>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1B5A7A"/>
    <w:pPr>
      <w:spacing w:before="160"/>
      <w:jc w:val="center"/>
    </w:pPr>
    <w:rPr>
      <w:i/>
      <w:iCs/>
      <w:color w:val="404040" w:themeColor="text1" w:themeTint="BF"/>
    </w:rPr>
  </w:style>
  <w:style w:type="character" w:customStyle="1" w:styleId="QuoteChar">
    <w:name w:val="Quote Char"/>
    <w:basedOn w:val="DefaultParagraphFont"/>
    <w:link w:val="Quote"/>
    <w:uiPriority w:val="29"/>
    <w:rsid w:val="001B5A7A"/>
    <w:rPr>
      <w:i/>
      <w:iCs/>
      <w:color w:val="404040" w:themeColor="text1" w:themeTint="BF"/>
      <w:lang w:val="es-PR"/>
    </w:rPr>
  </w:style>
  <w:style w:type="paragraph" w:styleId="ListParagraph">
    <w:name w:val="List Paragraph"/>
    <w:basedOn w:val="Normal"/>
    <w:uiPriority w:val="34"/>
    <w:qFormat/>
    <w:rsid w:val="001B5A7A"/>
    <w:pPr>
      <w:ind w:left="720"/>
      <w:contextualSpacing/>
    </w:pPr>
  </w:style>
  <w:style w:type="character" w:styleId="IntenseEmphasis">
    <w:name w:val="Intense Emphasis"/>
    <w:basedOn w:val="DefaultParagraphFont"/>
    <w:uiPriority w:val="21"/>
    <w:qFormat/>
    <w:rsid w:val="001B5A7A"/>
    <w:rPr>
      <w:i/>
      <w:iCs/>
      <w:color w:val="0F4761" w:themeColor="accent1" w:themeShade="BF"/>
    </w:rPr>
  </w:style>
  <w:style w:type="paragraph" w:styleId="IntenseQuote">
    <w:name w:val="Intense Quote"/>
    <w:basedOn w:val="Normal"/>
    <w:next w:val="Normal"/>
    <w:link w:val="IntenseQuoteChar"/>
    <w:uiPriority w:val="30"/>
    <w:qFormat/>
    <w:rsid w:val="001B5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A7A"/>
    <w:rPr>
      <w:i/>
      <w:iCs/>
      <w:color w:val="0F4761" w:themeColor="accent1" w:themeShade="BF"/>
      <w:lang w:val="es-PR"/>
    </w:rPr>
  </w:style>
  <w:style w:type="character" w:styleId="IntenseReference">
    <w:name w:val="Intense Reference"/>
    <w:basedOn w:val="DefaultParagraphFont"/>
    <w:uiPriority w:val="32"/>
    <w:qFormat/>
    <w:rsid w:val="001B5A7A"/>
    <w:rPr>
      <w:b/>
      <w:bCs/>
      <w:smallCaps/>
      <w:color w:val="0F4761" w:themeColor="accent1" w:themeShade="BF"/>
      <w:spacing w:val="5"/>
    </w:rPr>
  </w:style>
  <w:style w:type="paragraph" w:styleId="Header">
    <w:name w:val="header"/>
    <w:basedOn w:val="Normal"/>
    <w:link w:val="HeaderChar"/>
    <w:uiPriority w:val="99"/>
    <w:unhideWhenUsed/>
    <w:rsid w:val="001B5A7A"/>
    <w:pPr>
      <w:tabs>
        <w:tab w:val="center" w:pos="4680"/>
        <w:tab w:val="right" w:pos="9360"/>
      </w:tabs>
    </w:pPr>
  </w:style>
  <w:style w:type="character" w:customStyle="1" w:styleId="HeaderChar">
    <w:name w:val="Header Char"/>
    <w:basedOn w:val="DefaultParagraphFont"/>
    <w:link w:val="Header"/>
    <w:uiPriority w:val="99"/>
    <w:rsid w:val="001B5A7A"/>
    <w:rPr>
      <w:rFonts w:ascii="Calibri" w:eastAsia="Calibri" w:hAnsi="Calibri" w:cs="Times New Roman"/>
      <w:kern w:val="0"/>
      <w14:ligatures w14:val="none"/>
    </w:rPr>
  </w:style>
  <w:style w:type="paragraph" w:styleId="Footer">
    <w:name w:val="footer"/>
    <w:basedOn w:val="Normal"/>
    <w:link w:val="FooterChar"/>
    <w:uiPriority w:val="99"/>
    <w:unhideWhenUsed/>
    <w:rsid w:val="001B5A7A"/>
    <w:pPr>
      <w:tabs>
        <w:tab w:val="center" w:pos="4680"/>
        <w:tab w:val="right" w:pos="9360"/>
      </w:tabs>
    </w:pPr>
  </w:style>
  <w:style w:type="character" w:customStyle="1" w:styleId="FooterChar">
    <w:name w:val="Footer Char"/>
    <w:basedOn w:val="DefaultParagraphFont"/>
    <w:link w:val="Footer"/>
    <w:uiPriority w:val="99"/>
    <w:rsid w:val="001B5A7A"/>
    <w:rPr>
      <w:rFonts w:ascii="Calibri" w:eastAsia="Calibri" w:hAnsi="Calibri" w:cs="Times New Roman"/>
      <w:kern w:val="0"/>
      <w14:ligatures w14:val="none"/>
    </w:rPr>
  </w:style>
  <w:style w:type="character" w:styleId="LineNumber">
    <w:name w:val="line number"/>
    <w:basedOn w:val="DefaultParagraphFont"/>
    <w:uiPriority w:val="99"/>
    <w:semiHidden/>
    <w:unhideWhenUsed/>
    <w:rsid w:val="001B5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919670">
      <w:bodyDiv w:val="1"/>
      <w:marLeft w:val="0"/>
      <w:marRight w:val="0"/>
      <w:marTop w:val="0"/>
      <w:marBottom w:val="0"/>
      <w:divBdr>
        <w:top w:val="none" w:sz="0" w:space="0" w:color="auto"/>
        <w:left w:val="none" w:sz="0" w:space="0" w:color="auto"/>
        <w:bottom w:val="none" w:sz="0" w:space="0" w:color="auto"/>
        <w:right w:val="none" w:sz="0" w:space="0" w:color="auto"/>
      </w:divBdr>
    </w:div>
    <w:div w:id="171168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1144</Words>
  <Characters>6527</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Volmar Torres</dc:creator>
  <cp:keywords/>
  <dc:description/>
  <cp:lastModifiedBy>Gladys J. Burgos Torres</cp:lastModifiedBy>
  <cp:revision>5</cp:revision>
  <cp:lastPrinted>2025-04-07T20:28:00Z</cp:lastPrinted>
  <dcterms:created xsi:type="dcterms:W3CDTF">2025-04-07T20:14:00Z</dcterms:created>
  <dcterms:modified xsi:type="dcterms:W3CDTF">2025-04-09T18:06:00Z</dcterms:modified>
</cp:coreProperties>
</file>