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37AF3F4F" w:rsidR="00DF7D86" w:rsidRPr="007623FC"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7623FC">
        <w:rPr>
          <w:rFonts w:ascii="Book Antiqua" w:eastAsia="Book Antiqua" w:hAnsi="Book Antiqua" w:cs="Book Antiqua"/>
          <w:color w:val="000000" w:themeColor="text1"/>
          <w:spacing w:val="12"/>
          <w:sz w:val="28"/>
          <w:szCs w:val="28"/>
          <w:lang w:val="es-PR"/>
        </w:rPr>
        <w:t>GOBIERNO</w:t>
      </w:r>
      <w:r w:rsidR="0038510E" w:rsidRPr="007623FC">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717DDBC0"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1</w:t>
      </w:r>
      <w:r w:rsidRPr="001711E6">
        <w:rPr>
          <w:rFonts w:ascii="Book Antiqua" w:eastAsia="Book Antiqua" w:hAnsi="Book Antiqua" w:cs="Book Antiqua"/>
          <w:color w:val="000000" w:themeColor="text1"/>
          <w:vertAlign w:val="superscript"/>
          <w:lang w:val="es-PR"/>
        </w:rPr>
        <w:t>r</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B51DB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B51DB1">
        <w:rPr>
          <w:rFonts w:ascii="Book Antiqua" w:eastAsia="Book Antiqua" w:hAnsi="Book Antiqua" w:cs="Book Antiqua"/>
          <w:b/>
          <w:color w:val="000000" w:themeColor="text1"/>
          <w:spacing w:val="12"/>
          <w:sz w:val="36"/>
          <w:szCs w:val="36"/>
          <w:lang w:val="es-PR"/>
        </w:rPr>
        <w:t>CÁMARA DE REPRESENTANTES</w:t>
      </w:r>
    </w:p>
    <w:p w14:paraId="224C8555" w14:textId="6764AB9D"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954C22">
        <w:rPr>
          <w:rFonts w:ascii="Book Antiqua" w:eastAsia="Book Antiqua" w:hAnsi="Book Antiqua" w:cs="Book Antiqua"/>
          <w:b/>
          <w:color w:val="000000" w:themeColor="text1"/>
          <w:sz w:val="52"/>
          <w:szCs w:val="52"/>
          <w:lang w:val="es-PR"/>
        </w:rPr>
        <w:t>17</w:t>
      </w:r>
      <w:r w:rsidR="003B3DEE">
        <w:rPr>
          <w:rFonts w:ascii="Book Antiqua" w:eastAsia="Book Antiqua" w:hAnsi="Book Antiqua" w:cs="Book Antiqua"/>
          <w:b/>
          <w:color w:val="000000" w:themeColor="text1"/>
          <w:sz w:val="52"/>
          <w:szCs w:val="52"/>
          <w:lang w:val="es-PR"/>
        </w:rPr>
        <w:t>3</w:t>
      </w:r>
    </w:p>
    <w:p w14:paraId="6CA3DF2C" w14:textId="1400DD17" w:rsidR="00DF7D86" w:rsidRPr="00B51DB1" w:rsidRDefault="0038510E">
      <w:pPr>
        <w:spacing w:line="360" w:lineRule="auto"/>
        <w:jc w:val="center"/>
        <w:rPr>
          <w:rFonts w:ascii="Book Antiqua" w:eastAsia="Book Antiqua" w:hAnsi="Book Antiqua" w:cs="Book Antiqua"/>
          <w:b/>
          <w:color w:val="000000" w:themeColor="text1"/>
          <w:spacing w:val="12"/>
          <w:sz w:val="28"/>
          <w:szCs w:val="28"/>
          <w:lang w:val="es-PR"/>
        </w:rPr>
      </w:pPr>
      <w:r w:rsidRPr="00B51DB1">
        <w:rPr>
          <w:rFonts w:ascii="Book Antiqua" w:eastAsia="Book Antiqua" w:hAnsi="Book Antiqua" w:cs="Book Antiqua"/>
          <w:b/>
          <w:color w:val="000000" w:themeColor="text1"/>
          <w:spacing w:val="12"/>
          <w:sz w:val="28"/>
          <w:szCs w:val="28"/>
          <w:lang w:val="es-PR"/>
        </w:rPr>
        <w:t>INFORME</w:t>
      </w:r>
    </w:p>
    <w:p w14:paraId="65B59E42" w14:textId="24F5EE42" w:rsidR="00DF7D86" w:rsidRPr="001711E6" w:rsidRDefault="00721820" w:rsidP="00B51DB1">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 xml:space="preserve">23 </w:t>
      </w:r>
      <w:r w:rsidR="0038510E" w:rsidRPr="001711E6">
        <w:rPr>
          <w:rFonts w:ascii="Book Antiqua" w:eastAsia="Book Antiqua" w:hAnsi="Book Antiqua" w:cs="Book Antiqua"/>
          <w:color w:val="000000" w:themeColor="text1"/>
          <w:lang w:val="es-PR"/>
        </w:rPr>
        <w:t xml:space="preserve">de </w:t>
      </w:r>
      <w:r w:rsidR="00900740" w:rsidRPr="001711E6">
        <w:rPr>
          <w:rFonts w:ascii="Book Antiqua" w:eastAsia="Book Antiqua" w:hAnsi="Book Antiqua" w:cs="Book Antiqua"/>
          <w:color w:val="000000" w:themeColor="text1"/>
          <w:lang w:val="es-PR"/>
        </w:rPr>
        <w:t>a</w:t>
      </w:r>
      <w:r w:rsidR="003B3DEE">
        <w:rPr>
          <w:rFonts w:ascii="Book Antiqua" w:eastAsia="Book Antiqua" w:hAnsi="Book Antiqua" w:cs="Book Antiqua"/>
          <w:color w:val="000000" w:themeColor="text1"/>
          <w:lang w:val="es-PR"/>
        </w:rPr>
        <w:t>bril</w:t>
      </w:r>
      <w:r w:rsidR="00C54AD6" w:rsidRPr="001711E6">
        <w:rPr>
          <w:rFonts w:ascii="Book Antiqua" w:eastAsia="Book Antiqua" w:hAnsi="Book Antiqua" w:cs="Book Antiqua"/>
          <w:color w:val="000000" w:themeColor="text1"/>
          <w:lang w:val="es-PR"/>
        </w:rPr>
        <w:t xml:space="preserve"> de 202</w:t>
      </w:r>
      <w:r w:rsidR="00B45797" w:rsidRPr="001711E6">
        <w:rPr>
          <w:rFonts w:ascii="Book Antiqua" w:eastAsia="Book Antiqua" w:hAnsi="Book Antiqua" w:cs="Book Antiqua"/>
          <w:color w:val="000000" w:themeColor="text1"/>
          <w:lang w:val="es-PR"/>
        </w:rPr>
        <w:t>5</w:t>
      </w:r>
    </w:p>
    <w:p w14:paraId="2714CB15" w14:textId="77777777" w:rsidR="00DF7D86" w:rsidRPr="000A5AF1" w:rsidRDefault="0038510E">
      <w:pPr>
        <w:jc w:val="both"/>
        <w:rPr>
          <w:rFonts w:ascii="Book Antiqua" w:eastAsia="Book Antiqua" w:hAnsi="Book Antiqua" w:cs="Book Antiqua"/>
          <w:b/>
          <w:color w:val="000000" w:themeColor="text1"/>
          <w:spacing w:val="12"/>
          <w:lang w:val="es-PR"/>
        </w:rPr>
      </w:pPr>
      <w:r w:rsidRPr="000A5AF1">
        <w:rPr>
          <w:rFonts w:ascii="Book Antiqua" w:eastAsia="Book Antiqua" w:hAnsi="Book Antiqua" w:cs="Book Antiqua"/>
          <w:b/>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48CACF04" w14:textId="708449BA" w:rsidR="00DF7D86" w:rsidRPr="001711E6" w:rsidRDefault="000A5AF1" w:rsidP="00BC32C8">
      <w:pPr>
        <w:spacing w:line="29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P</w:t>
      </w:r>
      <w:r w:rsidR="0038510E" w:rsidRPr="001711E6">
        <w:rPr>
          <w:rFonts w:ascii="Book Antiqua" w:eastAsia="Book Antiqua" w:hAnsi="Book Antiqua" w:cs="Book Antiqua"/>
          <w:color w:val="000000" w:themeColor="text1"/>
          <w:lang w:val="es-PR"/>
        </w:rPr>
        <w:t>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 la C</w:t>
      </w:r>
      <w:r w:rsidR="00954C22">
        <w:rPr>
          <w:rFonts w:ascii="Book Antiqua" w:eastAsia="Book Antiqua" w:hAnsi="Book Antiqua" w:cs="Book Antiqua"/>
          <w:color w:val="000000" w:themeColor="text1"/>
          <w:lang w:val="es-PR"/>
        </w:rPr>
        <w:t>ámara 17</w:t>
      </w:r>
      <w:r w:rsidR="00A22725">
        <w:rPr>
          <w:rFonts w:ascii="Book Antiqua" w:eastAsia="Book Antiqua" w:hAnsi="Book Antiqua" w:cs="Book Antiqua"/>
          <w:color w:val="000000" w:themeColor="text1"/>
          <w:lang w:val="es-PR"/>
        </w:rPr>
        <w:t>3</w:t>
      </w:r>
      <w:r>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(“P. de la C. 173”)</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l</w:t>
      </w:r>
      <w:r w:rsidRPr="001711E6">
        <w:rPr>
          <w:rFonts w:ascii="Book Antiqua" w:eastAsia="Book Antiqua" w:hAnsi="Book Antiqua" w:cs="Book Antiqua"/>
          <w:color w:val="000000" w:themeColor="text1"/>
          <w:lang w:val="es-PR"/>
        </w:rPr>
        <w:t xml:space="preserve">a Comisión de lo Jurídico de la Cámara de Representantes del Gobierno de Puerto Rico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que se encuentran en el entirillado electrónico que se acompaña. </w:t>
      </w:r>
      <w:r w:rsidR="0038510E" w:rsidRPr="001711E6">
        <w:rPr>
          <w:rFonts w:ascii="Book Antiqua" w:eastAsia="Book Antiqua" w:hAnsi="Book Antiqua" w:cs="Book Antiqua"/>
          <w:color w:val="000000" w:themeColor="text1"/>
          <w:lang w:val="es-PR"/>
        </w:rPr>
        <w:t xml:space="preserve"> </w:t>
      </w:r>
    </w:p>
    <w:p w14:paraId="2774979C" w14:textId="77777777" w:rsidR="00DF7D86" w:rsidRPr="001711E6" w:rsidRDefault="00DF7D86">
      <w:pPr>
        <w:rPr>
          <w:rFonts w:ascii="Book Antiqua" w:eastAsia="Book Antiqua" w:hAnsi="Book Antiqua" w:cs="Book Antiqua"/>
          <w:b/>
          <w:color w:val="000000" w:themeColor="text1"/>
          <w:sz w:val="32"/>
          <w:szCs w:val="32"/>
          <w:lang w:val="es-PR"/>
        </w:rPr>
      </w:pPr>
    </w:p>
    <w:p w14:paraId="00C5E8B9" w14:textId="77777777" w:rsidR="003B38A4" w:rsidRPr="00B9324A" w:rsidRDefault="003B38A4" w:rsidP="003B38A4">
      <w:pPr>
        <w:jc w:val="center"/>
        <w:rPr>
          <w:rFonts w:ascii="Book Antiqua" w:eastAsia="Book Antiqua" w:hAnsi="Book Antiqua" w:cs="Book Antiqua"/>
          <w:b/>
          <w:bCs/>
          <w:color w:val="000000" w:themeColor="text1"/>
          <w:spacing w:val="12"/>
          <w:lang w:val="es-PR"/>
        </w:rPr>
      </w:pPr>
      <w:r w:rsidRPr="00B9324A">
        <w:rPr>
          <w:rFonts w:ascii="Book Antiqua" w:eastAsia="Book Antiqua" w:hAnsi="Book Antiqua" w:cs="Book Antiqua"/>
          <w:b/>
          <w:bCs/>
          <w:color w:val="000000" w:themeColor="text1"/>
          <w:spacing w:val="12"/>
          <w:lang w:val="es-PR"/>
        </w:rPr>
        <w:t>ALCANCE DE LA MEDIDA</w:t>
      </w:r>
    </w:p>
    <w:p w14:paraId="1C560ACC" w14:textId="77777777" w:rsidR="00C54AD6" w:rsidRPr="001711E6" w:rsidRDefault="00C54AD6" w:rsidP="003B38A4">
      <w:pPr>
        <w:jc w:val="both"/>
        <w:rPr>
          <w:rFonts w:ascii="Book Antiqua" w:eastAsia="Book Antiqua" w:hAnsi="Book Antiqua" w:cs="Book Antiqua"/>
          <w:color w:val="000000" w:themeColor="text1"/>
          <w:lang w:val="es-PR"/>
        </w:rPr>
      </w:pPr>
    </w:p>
    <w:p w14:paraId="60451303" w14:textId="276DDA0C" w:rsidR="001015D5" w:rsidRDefault="003B38A4" w:rsidP="00BC32C8">
      <w:pPr>
        <w:spacing w:line="29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851E49" w:rsidRPr="001711E6">
        <w:rPr>
          <w:rFonts w:ascii="Book Antiqua" w:eastAsia="Book Antiqua" w:hAnsi="Book Antiqua" w:cs="Book Antiqua"/>
          <w:color w:val="000000" w:themeColor="text1"/>
          <w:lang w:val="es-PR"/>
        </w:rPr>
        <w:t>P</w:t>
      </w:r>
      <w:r w:rsidR="00382AD9">
        <w:rPr>
          <w:rFonts w:ascii="Book Antiqua" w:eastAsia="Book Antiqua" w:hAnsi="Book Antiqua" w:cs="Book Antiqua"/>
          <w:color w:val="000000" w:themeColor="text1"/>
          <w:lang w:val="es-PR"/>
        </w:rPr>
        <w:t>. de la C. 173</w:t>
      </w:r>
      <w:r w:rsidRPr="001711E6">
        <w:rPr>
          <w:rFonts w:ascii="Book Antiqua" w:eastAsia="Book Antiqua" w:hAnsi="Book Antiqua" w:cs="Book Antiqua"/>
          <w:color w:val="000000" w:themeColor="text1"/>
          <w:lang w:val="es-PR"/>
        </w:rPr>
        <w:t xml:space="preserve"> </w:t>
      </w:r>
      <w:r w:rsidR="00633335">
        <w:rPr>
          <w:rFonts w:ascii="Book Antiqua" w:eastAsia="Book Antiqua" w:hAnsi="Book Antiqua" w:cs="Book Antiqua"/>
          <w:color w:val="000000" w:themeColor="text1"/>
          <w:lang w:val="es-PR"/>
        </w:rPr>
        <w:t>prop</w:t>
      </w:r>
      <w:r w:rsidR="00BC32C8">
        <w:rPr>
          <w:rFonts w:ascii="Book Antiqua" w:eastAsia="Book Antiqua" w:hAnsi="Book Antiqua" w:cs="Book Antiqua"/>
          <w:color w:val="000000" w:themeColor="text1"/>
          <w:lang w:val="es-PR"/>
        </w:rPr>
        <w:t>one</w:t>
      </w:r>
      <w:r w:rsidR="00A22725">
        <w:rPr>
          <w:rFonts w:ascii="Book Antiqua" w:eastAsia="Book Antiqua" w:hAnsi="Book Antiqua" w:cs="Book Antiqua"/>
          <w:color w:val="000000" w:themeColor="text1"/>
          <w:lang w:val="es-PR"/>
        </w:rPr>
        <w:t xml:space="preserve"> añadir una nueva Regla a las Reglas de Procedimiento Civil de Puerto Rico, según enmendadas, </w:t>
      </w:r>
      <w:r w:rsidR="00382AD9" w:rsidRPr="00AB3183">
        <w:rPr>
          <w:rFonts w:ascii="Book Antiqua" w:hAnsi="Book Antiqua"/>
          <w:szCs w:val="24"/>
          <w:lang w:val="es-ES_tradnl"/>
        </w:rPr>
        <w:t>a los fines de armonizar su lenguaje con la jurisprudencia de</w:t>
      </w:r>
      <w:r w:rsidR="00382AD9">
        <w:rPr>
          <w:rFonts w:ascii="Book Antiqua" w:hAnsi="Book Antiqua"/>
          <w:szCs w:val="24"/>
          <w:lang w:val="es-ES_tradnl"/>
        </w:rPr>
        <w:t xml:space="preserve"> nuestro </w:t>
      </w:r>
      <w:r w:rsidR="00382AD9" w:rsidRPr="00AB3183">
        <w:rPr>
          <w:rFonts w:ascii="Book Antiqua" w:hAnsi="Book Antiqua"/>
          <w:szCs w:val="24"/>
          <w:lang w:val="es-ES_tradnl"/>
        </w:rPr>
        <w:t xml:space="preserve">Tribunal Supremo y disponer </w:t>
      </w:r>
      <w:r w:rsidR="00382AD9">
        <w:rPr>
          <w:rFonts w:ascii="Book Antiqua" w:hAnsi="Book Antiqua"/>
          <w:szCs w:val="24"/>
          <w:lang w:val="es-ES_tradnl"/>
        </w:rPr>
        <w:t xml:space="preserve">los criterios que deberá considerar </w:t>
      </w:r>
      <w:r w:rsidR="00F169E1">
        <w:rPr>
          <w:rFonts w:ascii="Book Antiqua" w:hAnsi="Book Antiqua"/>
          <w:szCs w:val="24"/>
          <w:lang w:val="es-ES_tradnl"/>
        </w:rPr>
        <w:t>un</w:t>
      </w:r>
      <w:r w:rsidR="00382AD9">
        <w:rPr>
          <w:rFonts w:ascii="Book Antiqua" w:hAnsi="Book Antiqua"/>
          <w:szCs w:val="24"/>
          <w:lang w:val="es-ES_tradnl"/>
        </w:rPr>
        <w:t xml:space="preserve"> tribunal antes de expedir</w:t>
      </w:r>
      <w:r w:rsidR="00382AD9" w:rsidRPr="00792D0C">
        <w:rPr>
          <w:rFonts w:ascii="Book Antiqua" w:hAnsi="Book Antiqua"/>
          <w:szCs w:val="24"/>
          <w:lang w:val="es-ES_tradnl"/>
        </w:rPr>
        <w:t xml:space="preserve"> un </w:t>
      </w:r>
      <w:r w:rsidR="00382AD9" w:rsidRPr="00AB3183">
        <w:rPr>
          <w:rFonts w:ascii="Book Antiqua" w:hAnsi="Book Antiqua"/>
          <w:i/>
          <w:szCs w:val="24"/>
          <w:lang w:val="es-ES_tradnl"/>
        </w:rPr>
        <w:t>injunction</w:t>
      </w:r>
      <w:r w:rsidR="00382AD9" w:rsidRPr="00792D0C">
        <w:rPr>
          <w:rFonts w:ascii="Book Antiqua" w:hAnsi="Book Antiqua"/>
          <w:szCs w:val="24"/>
          <w:lang w:val="es-ES_tradnl"/>
        </w:rPr>
        <w:t xml:space="preserve"> permanente</w:t>
      </w:r>
      <w:r w:rsidR="00382AD9">
        <w:rPr>
          <w:rStyle w:val="FootnoteReference"/>
          <w:rFonts w:ascii="Book Antiqua" w:hAnsi="Book Antiqua"/>
          <w:szCs w:val="24"/>
          <w:lang w:val="es-ES_tradnl"/>
        </w:rPr>
        <w:footnoteReference w:id="1"/>
      </w:r>
      <w:r w:rsidR="001015D5" w:rsidRPr="001711E6">
        <w:rPr>
          <w:rFonts w:ascii="Book Antiqua" w:eastAsia="Book Antiqua" w:hAnsi="Book Antiqua" w:cs="Book Antiqua"/>
          <w:color w:val="000000" w:themeColor="text1"/>
          <w:lang w:val="es-PR"/>
        </w:rPr>
        <w:t xml:space="preserve">. </w:t>
      </w:r>
    </w:p>
    <w:p w14:paraId="58B38527" w14:textId="77777777" w:rsidR="00EB6C32" w:rsidRDefault="00EB6C32" w:rsidP="00BC32C8">
      <w:pPr>
        <w:spacing w:line="298" w:lineRule="auto"/>
        <w:ind w:firstLine="720"/>
        <w:jc w:val="both"/>
        <w:rPr>
          <w:rFonts w:ascii="Book Antiqua" w:eastAsia="Book Antiqua" w:hAnsi="Book Antiqua" w:cs="Book Antiqua"/>
          <w:color w:val="000000" w:themeColor="text1"/>
          <w:lang w:val="es-PR"/>
        </w:rPr>
      </w:pPr>
    </w:p>
    <w:p w14:paraId="216809E4" w14:textId="77777777" w:rsidR="00EB6C32" w:rsidRDefault="00EB6C32" w:rsidP="00BC32C8">
      <w:pPr>
        <w:spacing w:line="298" w:lineRule="auto"/>
        <w:ind w:firstLine="720"/>
        <w:jc w:val="both"/>
        <w:rPr>
          <w:rFonts w:ascii="Book Antiqua" w:eastAsia="Book Antiqua" w:hAnsi="Book Antiqua" w:cs="Book Antiqua"/>
          <w:color w:val="000000" w:themeColor="text1"/>
          <w:lang w:val="es-PR"/>
        </w:rPr>
      </w:pPr>
    </w:p>
    <w:p w14:paraId="32DF9C8F" w14:textId="77777777" w:rsidR="00EB6C32" w:rsidRDefault="00EB6C32" w:rsidP="00BC32C8">
      <w:pPr>
        <w:spacing w:line="298" w:lineRule="auto"/>
        <w:ind w:firstLine="720"/>
        <w:jc w:val="both"/>
        <w:rPr>
          <w:rFonts w:ascii="Book Antiqua" w:eastAsia="Book Antiqua" w:hAnsi="Book Antiqua" w:cs="Book Antiqua"/>
          <w:color w:val="000000" w:themeColor="text1"/>
          <w:lang w:val="es-PR"/>
        </w:rPr>
      </w:pPr>
    </w:p>
    <w:p w14:paraId="7531C8BB" w14:textId="77777777" w:rsidR="00EB6C32" w:rsidRPr="001711E6" w:rsidRDefault="00EB6C32" w:rsidP="00BC32C8">
      <w:pPr>
        <w:spacing w:line="298" w:lineRule="auto"/>
        <w:ind w:firstLine="720"/>
        <w:jc w:val="both"/>
        <w:rPr>
          <w:rFonts w:ascii="Book Antiqua" w:eastAsia="Book Antiqua" w:hAnsi="Book Antiqua" w:cs="Book Antiqua"/>
          <w:color w:val="000000" w:themeColor="text1"/>
          <w:lang w:val="es-PR"/>
        </w:rPr>
      </w:pPr>
    </w:p>
    <w:p w14:paraId="0B26FB88" w14:textId="77777777" w:rsidR="00015228" w:rsidRPr="001711E6" w:rsidRDefault="00015228" w:rsidP="00C54AD6">
      <w:pPr>
        <w:jc w:val="center"/>
        <w:rPr>
          <w:rFonts w:ascii="Book Antiqua" w:eastAsia="Book Antiqua" w:hAnsi="Book Antiqua" w:cs="Book Antiqua"/>
          <w:b/>
          <w:bCs/>
          <w:color w:val="000000" w:themeColor="text1"/>
          <w:lang w:val="es-PR"/>
        </w:rPr>
      </w:pPr>
    </w:p>
    <w:p w14:paraId="59AC646E" w14:textId="2DA0C15E" w:rsidR="003B38A4" w:rsidRPr="00B9324A" w:rsidRDefault="003B38A4" w:rsidP="004A1B30">
      <w:pPr>
        <w:spacing w:after="240"/>
        <w:jc w:val="center"/>
        <w:rPr>
          <w:rFonts w:ascii="Book Antiqua" w:eastAsia="Book Antiqua" w:hAnsi="Book Antiqua" w:cs="Book Antiqua"/>
          <w:b/>
          <w:bCs/>
          <w:color w:val="000000" w:themeColor="text1"/>
          <w:spacing w:val="12"/>
          <w:lang w:val="es-PR"/>
        </w:rPr>
      </w:pPr>
      <w:r w:rsidRPr="00B9324A">
        <w:rPr>
          <w:rFonts w:ascii="Book Antiqua" w:eastAsia="Book Antiqua" w:hAnsi="Book Antiqua" w:cs="Book Antiqua"/>
          <w:b/>
          <w:bCs/>
          <w:color w:val="000000" w:themeColor="text1"/>
          <w:spacing w:val="12"/>
          <w:lang w:val="es-PR"/>
        </w:rPr>
        <w:lastRenderedPageBreak/>
        <w:t>ANÁLISIS DE LA MEDIDA</w:t>
      </w:r>
    </w:p>
    <w:p w14:paraId="06E8E8A9" w14:textId="656B39B8" w:rsidR="00954C22" w:rsidRPr="00954C22" w:rsidRDefault="00EC7D5C" w:rsidP="00E31CEC">
      <w:pPr>
        <w:spacing w:line="298" w:lineRule="auto"/>
        <w:ind w:firstLine="720"/>
        <w:jc w:val="both"/>
        <w:rPr>
          <w:rFonts w:ascii="Book Antiqua" w:eastAsia="Book Antiqua" w:hAnsi="Book Antiqua" w:cs="Book Antiqua"/>
          <w:color w:val="000000" w:themeColor="text1"/>
          <w:lang w:val="es-ES"/>
        </w:rPr>
      </w:pPr>
      <w:r w:rsidRPr="001711E6">
        <w:rPr>
          <w:rFonts w:ascii="Book Antiqua" w:eastAsia="Book Antiqua" w:hAnsi="Book Antiqua" w:cs="Book Antiqua"/>
          <w:color w:val="000000" w:themeColor="text1"/>
          <w:lang w:val="es-PR"/>
        </w:rPr>
        <w:t xml:space="preserve">Una </w:t>
      </w:r>
      <w:r w:rsidR="00633335">
        <w:rPr>
          <w:rFonts w:ascii="Book Antiqua" w:eastAsia="Book Antiqua" w:hAnsi="Book Antiqua" w:cs="Book Antiqua"/>
          <w:color w:val="000000" w:themeColor="text1"/>
          <w:lang w:val="es-PR"/>
        </w:rPr>
        <w:t xml:space="preserve">pieza legislativa </w:t>
      </w:r>
      <w:r w:rsidRPr="001711E6">
        <w:rPr>
          <w:rFonts w:ascii="Book Antiqua" w:eastAsia="Book Antiqua" w:hAnsi="Book Antiqua" w:cs="Book Antiqua"/>
          <w:color w:val="000000" w:themeColor="text1"/>
          <w:lang w:val="es-PR"/>
        </w:rPr>
        <w:t xml:space="preserve">equivalente al P. de la C. </w:t>
      </w:r>
      <w:r w:rsidR="00B55DDB" w:rsidRPr="001711E6">
        <w:rPr>
          <w:rFonts w:ascii="Book Antiqua" w:eastAsia="Book Antiqua" w:hAnsi="Book Antiqua" w:cs="Book Antiqua"/>
          <w:color w:val="000000" w:themeColor="text1"/>
          <w:lang w:val="es-PR"/>
        </w:rPr>
        <w:t>1</w:t>
      </w:r>
      <w:r w:rsidR="00633335">
        <w:rPr>
          <w:rFonts w:ascii="Book Antiqua" w:eastAsia="Book Antiqua" w:hAnsi="Book Antiqua" w:cs="Book Antiqua"/>
          <w:color w:val="000000" w:themeColor="text1"/>
          <w:lang w:val="es-PR"/>
        </w:rPr>
        <w:t>7</w:t>
      </w:r>
      <w:r w:rsidR="00382AD9">
        <w:rPr>
          <w:rFonts w:ascii="Book Antiqua" w:eastAsia="Book Antiqua" w:hAnsi="Book Antiqua" w:cs="Book Antiqua"/>
          <w:color w:val="000000" w:themeColor="text1"/>
          <w:lang w:val="es-PR"/>
        </w:rPr>
        <w:t>3</w:t>
      </w:r>
      <w:r w:rsidR="00851E49" w:rsidRPr="001711E6">
        <w:rPr>
          <w:rFonts w:ascii="Book Antiqua" w:eastAsia="Book Antiqua" w:hAnsi="Book Antiqua" w:cs="Book Antiqua"/>
          <w:color w:val="000000" w:themeColor="text1"/>
          <w:lang w:val="es-PR"/>
        </w:rPr>
        <w:t xml:space="preserve"> fue presentad</w:t>
      </w:r>
      <w:r w:rsidRPr="001711E6">
        <w:rPr>
          <w:rFonts w:ascii="Book Antiqua" w:eastAsia="Book Antiqua" w:hAnsi="Book Antiqua" w:cs="Book Antiqua"/>
          <w:color w:val="000000" w:themeColor="text1"/>
          <w:lang w:val="es-PR"/>
        </w:rPr>
        <w:t>a</w:t>
      </w:r>
      <w:r w:rsidR="00851E49" w:rsidRPr="001711E6">
        <w:rPr>
          <w:rFonts w:ascii="Book Antiqua" w:eastAsia="Book Antiqua" w:hAnsi="Book Antiqua" w:cs="Book Antiqua"/>
          <w:color w:val="000000" w:themeColor="text1"/>
          <w:lang w:val="es-PR"/>
        </w:rPr>
        <w:t xml:space="preserve"> durante</w:t>
      </w:r>
      <w:r w:rsidR="00954C22">
        <w:rPr>
          <w:rFonts w:ascii="Book Antiqua" w:eastAsia="Book Antiqua" w:hAnsi="Book Antiqua" w:cs="Book Antiqua"/>
          <w:color w:val="000000" w:themeColor="text1"/>
          <w:lang w:val="es-PR"/>
        </w:rPr>
        <w:t xml:space="preserve"> </w:t>
      </w:r>
      <w:r w:rsidR="00954C22" w:rsidRPr="00954C22">
        <w:rPr>
          <w:rFonts w:ascii="Book Antiqua" w:eastAsia="Book Antiqua" w:hAnsi="Book Antiqua" w:cs="Book Antiqua"/>
          <w:color w:val="000000" w:themeColor="text1"/>
          <w:lang w:val="es-ES"/>
        </w:rPr>
        <w:t>la Decimo</w:t>
      </w:r>
      <w:r w:rsidR="00954C22">
        <w:rPr>
          <w:rFonts w:ascii="Book Antiqua" w:eastAsia="Book Antiqua" w:hAnsi="Book Antiqua" w:cs="Book Antiqua"/>
          <w:color w:val="000000" w:themeColor="text1"/>
          <w:lang w:val="es-ES"/>
        </w:rPr>
        <w:t>ctava</w:t>
      </w:r>
      <w:r w:rsidR="00954C22" w:rsidRPr="00954C22">
        <w:rPr>
          <w:rFonts w:ascii="Book Antiqua" w:eastAsia="Book Antiqua" w:hAnsi="Book Antiqua" w:cs="Book Antiqua"/>
          <w:color w:val="000000" w:themeColor="text1"/>
          <w:lang w:val="es-ES"/>
        </w:rPr>
        <w:t xml:space="preserve"> Asamblea Legislativa</w:t>
      </w:r>
      <w:r w:rsidR="00954C22">
        <w:rPr>
          <w:rFonts w:ascii="Book Antiqua" w:eastAsia="Book Antiqua" w:hAnsi="Book Antiqua" w:cs="Book Antiqua"/>
          <w:color w:val="000000" w:themeColor="text1"/>
          <w:lang w:val="es-ES"/>
        </w:rPr>
        <w:t>: Proyecto de la Cámara 128</w:t>
      </w:r>
      <w:r w:rsidR="00382AD9">
        <w:rPr>
          <w:rFonts w:ascii="Book Antiqua" w:eastAsia="Book Antiqua" w:hAnsi="Book Antiqua" w:cs="Book Antiqua"/>
          <w:color w:val="000000" w:themeColor="text1"/>
          <w:lang w:val="es-ES"/>
        </w:rPr>
        <w:t>8</w:t>
      </w:r>
      <w:r w:rsidR="00954C22">
        <w:rPr>
          <w:rFonts w:ascii="Book Antiqua" w:eastAsia="Book Antiqua" w:hAnsi="Book Antiqua" w:cs="Book Antiqua"/>
          <w:color w:val="000000" w:themeColor="text1"/>
          <w:lang w:val="es-ES"/>
        </w:rPr>
        <w:t>.</w:t>
      </w:r>
      <w:r w:rsidR="00954C22">
        <w:rPr>
          <w:rStyle w:val="FootnoteReference"/>
          <w:rFonts w:ascii="Book Antiqua" w:eastAsia="Book Antiqua" w:hAnsi="Book Antiqua" w:cs="Book Antiqua"/>
          <w:color w:val="000000" w:themeColor="text1"/>
          <w:lang w:val="es-ES"/>
        </w:rPr>
        <w:footnoteReference w:id="2"/>
      </w:r>
      <w:r w:rsidR="00954C22" w:rsidRPr="00954C22">
        <w:rPr>
          <w:rFonts w:ascii="Book Antiqua" w:eastAsia="Book Antiqua" w:hAnsi="Book Antiqua" w:cs="Book Antiqua"/>
          <w:color w:val="000000" w:themeColor="text1"/>
          <w:lang w:val="es-ES"/>
        </w:rPr>
        <w:t xml:space="preserve"> </w:t>
      </w:r>
      <w:r w:rsidR="009C2101">
        <w:rPr>
          <w:rFonts w:ascii="Book Antiqua" w:eastAsia="Book Antiqua" w:hAnsi="Book Antiqua" w:cs="Book Antiqua"/>
          <w:color w:val="000000" w:themeColor="text1"/>
          <w:lang w:val="es-ES"/>
        </w:rPr>
        <w:t>Tal</w:t>
      </w:r>
      <w:r w:rsidR="00954C22">
        <w:rPr>
          <w:rFonts w:ascii="Book Antiqua" w:eastAsia="Book Antiqua" w:hAnsi="Book Antiqua" w:cs="Book Antiqua"/>
          <w:color w:val="000000" w:themeColor="text1"/>
          <w:lang w:val="es-ES"/>
        </w:rPr>
        <w:t xml:space="preserve"> medida fue aprobada por la Cámara de Representantes el </w:t>
      </w:r>
      <w:r w:rsidR="00382AD9">
        <w:rPr>
          <w:rFonts w:ascii="Book Antiqua" w:eastAsia="Book Antiqua" w:hAnsi="Book Antiqua" w:cs="Book Antiqua"/>
          <w:color w:val="000000" w:themeColor="text1"/>
          <w:lang w:val="es-ES"/>
        </w:rPr>
        <w:t>13 de enero de 2020</w:t>
      </w:r>
      <w:r w:rsidR="00954C22" w:rsidRPr="00954C22">
        <w:rPr>
          <w:rFonts w:ascii="Book Antiqua" w:eastAsia="Book Antiqua" w:hAnsi="Book Antiqua" w:cs="Book Antiqua"/>
          <w:color w:val="000000" w:themeColor="text1"/>
          <w:lang w:val="es-ES"/>
        </w:rPr>
        <w:t xml:space="preserve">. El texto </w:t>
      </w:r>
      <w:r w:rsidR="00954C22">
        <w:rPr>
          <w:rFonts w:ascii="Book Antiqua" w:eastAsia="Book Antiqua" w:hAnsi="Book Antiqua" w:cs="Book Antiqua"/>
          <w:color w:val="000000" w:themeColor="text1"/>
          <w:lang w:val="es-ES"/>
        </w:rPr>
        <w:t xml:space="preserve">aprobado por la Cámara </w:t>
      </w:r>
      <w:r w:rsidR="00954C22" w:rsidRPr="00954C22">
        <w:rPr>
          <w:rFonts w:ascii="Book Antiqua" w:eastAsia="Book Antiqua" w:hAnsi="Book Antiqua" w:cs="Book Antiqua"/>
          <w:color w:val="000000" w:themeColor="text1"/>
          <w:lang w:val="es-ES"/>
        </w:rPr>
        <w:t xml:space="preserve">fue referido a la Comisión de lo </w:t>
      </w:r>
      <w:r w:rsidR="00954C22">
        <w:rPr>
          <w:rFonts w:ascii="Book Antiqua" w:eastAsia="Book Antiqua" w:hAnsi="Book Antiqua" w:cs="Book Antiqua"/>
          <w:color w:val="000000" w:themeColor="text1"/>
          <w:lang w:val="es-ES"/>
        </w:rPr>
        <w:t>Gobierno del Senado el 2</w:t>
      </w:r>
      <w:r w:rsidR="00382AD9">
        <w:rPr>
          <w:rFonts w:ascii="Book Antiqua" w:eastAsia="Book Antiqua" w:hAnsi="Book Antiqua" w:cs="Book Antiqua"/>
          <w:color w:val="000000" w:themeColor="text1"/>
          <w:lang w:val="es-ES"/>
        </w:rPr>
        <w:t>1</w:t>
      </w:r>
      <w:r w:rsidR="00954C22">
        <w:rPr>
          <w:rFonts w:ascii="Book Antiqua" w:eastAsia="Book Antiqua" w:hAnsi="Book Antiqua" w:cs="Book Antiqua"/>
          <w:color w:val="000000" w:themeColor="text1"/>
          <w:lang w:val="es-ES"/>
        </w:rPr>
        <w:t xml:space="preserve"> de enero de 20</w:t>
      </w:r>
      <w:r w:rsidR="00382AD9">
        <w:rPr>
          <w:rFonts w:ascii="Book Antiqua" w:eastAsia="Book Antiqua" w:hAnsi="Book Antiqua" w:cs="Book Antiqua"/>
          <w:color w:val="000000" w:themeColor="text1"/>
          <w:lang w:val="es-ES"/>
        </w:rPr>
        <w:t>20</w:t>
      </w:r>
      <w:r w:rsidR="00954C22">
        <w:rPr>
          <w:rFonts w:ascii="Book Antiqua" w:eastAsia="Book Antiqua" w:hAnsi="Book Antiqua" w:cs="Book Antiqua"/>
          <w:color w:val="000000" w:themeColor="text1"/>
          <w:lang w:val="es-ES"/>
        </w:rPr>
        <w:t>, quedando</w:t>
      </w:r>
      <w:r w:rsidR="00382AD9">
        <w:rPr>
          <w:rFonts w:ascii="Book Antiqua" w:eastAsia="Book Antiqua" w:hAnsi="Book Antiqua" w:cs="Book Antiqua"/>
          <w:color w:val="000000" w:themeColor="text1"/>
          <w:lang w:val="es-ES"/>
        </w:rPr>
        <w:t xml:space="preserve"> pendiente de aprobación en dicho cuerpo legislativo</w:t>
      </w:r>
      <w:r w:rsidR="00954C22" w:rsidRPr="00954C22">
        <w:rPr>
          <w:rFonts w:ascii="Book Antiqua" w:eastAsia="Book Antiqua" w:hAnsi="Book Antiqua" w:cs="Book Antiqua"/>
          <w:color w:val="000000" w:themeColor="text1"/>
          <w:lang w:val="es-ES"/>
        </w:rPr>
        <w:t xml:space="preserve">. </w:t>
      </w:r>
      <w:r w:rsidR="00C53206">
        <w:rPr>
          <w:rFonts w:ascii="Book Antiqua" w:eastAsia="Book Antiqua" w:hAnsi="Book Antiqua" w:cs="Book Antiqua"/>
          <w:color w:val="000000" w:themeColor="text1"/>
          <w:lang w:val="es-ES"/>
        </w:rPr>
        <w:t>A</w:t>
      </w:r>
      <w:r w:rsidR="00F169E1">
        <w:rPr>
          <w:rFonts w:ascii="Book Antiqua" w:eastAsia="Book Antiqua" w:hAnsi="Book Antiqua" w:cs="Book Antiqua"/>
          <w:color w:val="000000" w:themeColor="text1"/>
          <w:lang w:val="es-ES"/>
        </w:rPr>
        <w:t>unque sabemos que una Asamblea Legislativa no obliga a la siguiente, somos persuadidos por su análisis</w:t>
      </w:r>
      <w:r w:rsidR="00C53206">
        <w:rPr>
          <w:rFonts w:ascii="Book Antiqua" w:eastAsia="Book Antiqua" w:hAnsi="Book Antiqua" w:cs="Book Antiqua"/>
          <w:color w:val="000000" w:themeColor="text1"/>
          <w:lang w:val="es-ES"/>
        </w:rPr>
        <w:t>.</w:t>
      </w:r>
      <w:r w:rsidR="00F169E1">
        <w:rPr>
          <w:rFonts w:ascii="Book Antiqua" w:eastAsia="Book Antiqua" w:hAnsi="Book Antiqua" w:cs="Book Antiqua"/>
          <w:color w:val="000000" w:themeColor="text1"/>
          <w:lang w:val="es-ES"/>
        </w:rPr>
        <w:t xml:space="preserve"> </w:t>
      </w:r>
      <w:r w:rsidR="00C53206">
        <w:rPr>
          <w:rFonts w:ascii="Book Antiqua" w:eastAsia="Book Antiqua" w:hAnsi="Book Antiqua" w:cs="Book Antiqua"/>
          <w:color w:val="000000" w:themeColor="text1"/>
          <w:lang w:val="es-ES"/>
        </w:rPr>
        <w:t>E</w:t>
      </w:r>
      <w:r w:rsidR="00F169E1">
        <w:rPr>
          <w:rFonts w:ascii="Book Antiqua" w:eastAsia="Book Antiqua" w:hAnsi="Book Antiqua" w:cs="Book Antiqua"/>
          <w:color w:val="000000" w:themeColor="text1"/>
          <w:lang w:val="es-ES"/>
        </w:rPr>
        <w:t>n aras de la economía procesal en el trámite legislativo, usamos</w:t>
      </w:r>
      <w:r w:rsidR="0014554D">
        <w:rPr>
          <w:rFonts w:ascii="Book Antiqua" w:eastAsia="Book Antiqua" w:hAnsi="Book Antiqua" w:cs="Book Antiqua"/>
          <w:color w:val="000000" w:themeColor="text1"/>
          <w:lang w:val="es-ES"/>
        </w:rPr>
        <w:t xml:space="preserve"> el resultado del reseñado trámite</w:t>
      </w:r>
      <w:r w:rsidR="00F169E1">
        <w:rPr>
          <w:rFonts w:ascii="Book Antiqua" w:eastAsia="Book Antiqua" w:hAnsi="Book Antiqua" w:cs="Book Antiqua"/>
          <w:color w:val="000000" w:themeColor="text1"/>
          <w:lang w:val="es-ES"/>
        </w:rPr>
        <w:t xml:space="preserve"> como fundamento para las conclusiones a las que llegamos sobre este proyecto de ley. </w:t>
      </w:r>
    </w:p>
    <w:p w14:paraId="30323FD0" w14:textId="77777777" w:rsidR="00954C22" w:rsidRPr="00954C22" w:rsidRDefault="00954C22" w:rsidP="00E31CEC">
      <w:pPr>
        <w:spacing w:line="298" w:lineRule="auto"/>
        <w:ind w:firstLine="720"/>
        <w:jc w:val="both"/>
        <w:rPr>
          <w:rFonts w:ascii="Book Antiqua" w:eastAsia="Book Antiqua" w:hAnsi="Book Antiqua" w:cs="Book Antiqua"/>
          <w:color w:val="000000" w:themeColor="text1"/>
          <w:lang w:val="es-ES"/>
        </w:rPr>
      </w:pPr>
    </w:p>
    <w:p w14:paraId="12C6CCAE" w14:textId="20DB2B28" w:rsidR="00954C22" w:rsidRDefault="002C5A4C" w:rsidP="00E31CEC">
      <w:pPr>
        <w:spacing w:line="29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C</w:t>
      </w:r>
      <w:r w:rsidR="00954C22" w:rsidRPr="00954C22">
        <w:rPr>
          <w:rFonts w:ascii="Book Antiqua" w:eastAsia="Book Antiqua" w:hAnsi="Book Antiqua" w:cs="Book Antiqua"/>
          <w:color w:val="000000" w:themeColor="text1"/>
          <w:lang w:val="es-ES"/>
        </w:rPr>
        <w:t>omo parte de la evaluación del P. de la C. 1</w:t>
      </w:r>
      <w:r w:rsidR="00AF449A">
        <w:rPr>
          <w:rFonts w:ascii="Book Antiqua" w:eastAsia="Book Antiqua" w:hAnsi="Book Antiqua" w:cs="Book Antiqua"/>
          <w:color w:val="000000" w:themeColor="text1"/>
          <w:lang w:val="es-ES"/>
        </w:rPr>
        <w:t>7</w:t>
      </w:r>
      <w:r w:rsidR="00382AD9">
        <w:rPr>
          <w:rFonts w:ascii="Book Antiqua" w:eastAsia="Book Antiqua" w:hAnsi="Book Antiqua" w:cs="Book Antiqua"/>
          <w:color w:val="000000" w:themeColor="text1"/>
          <w:lang w:val="es-ES"/>
        </w:rPr>
        <w:t>3</w:t>
      </w:r>
      <w:r w:rsidR="00954C22" w:rsidRPr="00954C22">
        <w:rPr>
          <w:rFonts w:ascii="Book Antiqua" w:eastAsia="Book Antiqua" w:hAnsi="Book Antiqua" w:cs="Book Antiqua"/>
          <w:color w:val="000000" w:themeColor="text1"/>
          <w:lang w:val="es-ES"/>
        </w:rPr>
        <w:t xml:space="preserve">, </w:t>
      </w:r>
      <w:r>
        <w:rPr>
          <w:rFonts w:ascii="Book Antiqua" w:eastAsia="Book Antiqua" w:hAnsi="Book Antiqua" w:cs="Book Antiqua"/>
          <w:color w:val="000000" w:themeColor="text1"/>
          <w:lang w:val="es-ES"/>
        </w:rPr>
        <w:t>l</w:t>
      </w:r>
      <w:r w:rsidRPr="00954C22">
        <w:rPr>
          <w:rFonts w:ascii="Book Antiqua" w:eastAsia="Book Antiqua" w:hAnsi="Book Antiqua" w:cs="Book Antiqua"/>
          <w:color w:val="000000" w:themeColor="text1"/>
          <w:lang w:val="es-ES"/>
        </w:rPr>
        <w:t xml:space="preserve">a Comisión de </w:t>
      </w:r>
      <w:r>
        <w:rPr>
          <w:rFonts w:ascii="Book Antiqua" w:eastAsia="Book Antiqua" w:hAnsi="Book Antiqua" w:cs="Book Antiqua"/>
          <w:color w:val="000000" w:themeColor="text1"/>
          <w:lang w:val="es-ES"/>
        </w:rPr>
        <w:t>l</w:t>
      </w:r>
      <w:r w:rsidRPr="00954C22">
        <w:rPr>
          <w:rFonts w:ascii="Book Antiqua" w:eastAsia="Book Antiqua" w:hAnsi="Book Antiqua" w:cs="Book Antiqua"/>
          <w:color w:val="000000" w:themeColor="text1"/>
          <w:lang w:val="es-ES"/>
        </w:rPr>
        <w:t>o Jurídico</w:t>
      </w:r>
      <w:r>
        <w:rPr>
          <w:rFonts w:ascii="Book Antiqua" w:eastAsia="Book Antiqua" w:hAnsi="Book Antiqua" w:cs="Book Antiqua"/>
          <w:color w:val="000000" w:themeColor="text1"/>
          <w:lang w:val="es-ES"/>
        </w:rPr>
        <w:t xml:space="preserve"> </w:t>
      </w:r>
      <w:r w:rsidR="00954C22" w:rsidRPr="00954C22">
        <w:rPr>
          <w:rFonts w:ascii="Book Antiqua" w:eastAsia="Book Antiqua" w:hAnsi="Book Antiqua" w:cs="Book Antiqua"/>
          <w:color w:val="000000" w:themeColor="text1"/>
          <w:lang w:val="es-ES"/>
        </w:rPr>
        <w:t xml:space="preserve">examinó el Informe Positivo de la Comisión </w:t>
      </w:r>
      <w:r w:rsidR="00AF449A">
        <w:rPr>
          <w:rFonts w:ascii="Book Antiqua" w:eastAsia="Book Antiqua" w:hAnsi="Book Antiqua" w:cs="Book Antiqua"/>
          <w:color w:val="000000" w:themeColor="text1"/>
          <w:lang w:val="es-ES"/>
        </w:rPr>
        <w:t xml:space="preserve">de lo Jurídico de la Cámara de Representantes sobre el </w:t>
      </w:r>
      <w:r w:rsidR="00633335">
        <w:rPr>
          <w:rFonts w:ascii="Book Antiqua" w:eastAsia="Book Antiqua" w:hAnsi="Book Antiqua" w:cs="Book Antiqua"/>
          <w:color w:val="000000" w:themeColor="text1"/>
          <w:lang w:val="es-ES"/>
        </w:rPr>
        <w:t>Proyecto de</w:t>
      </w:r>
      <w:r w:rsidR="00AF449A">
        <w:rPr>
          <w:rFonts w:ascii="Book Antiqua" w:eastAsia="Book Antiqua" w:hAnsi="Book Antiqua" w:cs="Book Antiqua"/>
          <w:color w:val="000000" w:themeColor="text1"/>
          <w:lang w:val="es-ES"/>
        </w:rPr>
        <w:t xml:space="preserve"> la Cámara 128</w:t>
      </w:r>
      <w:r w:rsidR="00382AD9">
        <w:rPr>
          <w:rFonts w:ascii="Book Antiqua" w:eastAsia="Book Antiqua" w:hAnsi="Book Antiqua" w:cs="Book Antiqua"/>
          <w:color w:val="000000" w:themeColor="text1"/>
          <w:lang w:val="es-ES"/>
        </w:rPr>
        <w:t>8</w:t>
      </w:r>
      <w:r w:rsidR="0085134D">
        <w:rPr>
          <w:rFonts w:ascii="Book Antiqua" w:eastAsia="Book Antiqua" w:hAnsi="Book Antiqua" w:cs="Book Antiqua"/>
          <w:color w:val="000000" w:themeColor="text1"/>
          <w:lang w:val="es-ES"/>
        </w:rPr>
        <w:t>.</w:t>
      </w:r>
      <w:r w:rsidR="00AF449A">
        <w:rPr>
          <w:rStyle w:val="FootnoteReference"/>
          <w:rFonts w:ascii="Book Antiqua" w:eastAsia="Book Antiqua" w:hAnsi="Book Antiqua" w:cs="Book Antiqua"/>
          <w:color w:val="000000" w:themeColor="text1"/>
          <w:lang w:val="es-ES"/>
        </w:rPr>
        <w:footnoteReference w:id="3"/>
      </w:r>
      <w:r w:rsidR="00954C22" w:rsidRPr="00954C22">
        <w:rPr>
          <w:rFonts w:ascii="Book Antiqua" w:eastAsia="Book Antiqua" w:hAnsi="Book Antiqua" w:cs="Book Antiqua"/>
          <w:color w:val="000000" w:themeColor="text1"/>
          <w:lang w:val="es-ES"/>
        </w:rPr>
        <w:t xml:space="preserve"> Este contiene la comparecencia de las siguientes entidades: 1) el Departamento de Justicia, </w:t>
      </w:r>
      <w:r w:rsidR="00AF449A">
        <w:rPr>
          <w:rFonts w:ascii="Book Antiqua" w:eastAsia="Book Antiqua" w:hAnsi="Book Antiqua" w:cs="Book Antiqua"/>
          <w:color w:val="000000" w:themeColor="text1"/>
          <w:lang w:val="es-ES"/>
        </w:rPr>
        <w:t xml:space="preserve">y </w:t>
      </w:r>
      <w:r w:rsidR="00954C22" w:rsidRPr="00954C22">
        <w:rPr>
          <w:rFonts w:ascii="Book Antiqua" w:eastAsia="Book Antiqua" w:hAnsi="Book Antiqua" w:cs="Book Antiqua"/>
          <w:color w:val="000000" w:themeColor="text1"/>
          <w:lang w:val="es-ES"/>
        </w:rPr>
        <w:t xml:space="preserve">2) </w:t>
      </w:r>
      <w:r w:rsidR="00AF449A">
        <w:rPr>
          <w:rFonts w:ascii="Book Antiqua" w:eastAsia="Book Antiqua" w:hAnsi="Book Antiqua" w:cs="Book Antiqua"/>
          <w:color w:val="000000" w:themeColor="text1"/>
          <w:lang w:val="es-ES"/>
        </w:rPr>
        <w:t xml:space="preserve">el Colegio de Abogados y Abogadas </w:t>
      </w:r>
      <w:r w:rsidR="00954C22" w:rsidRPr="00954C22">
        <w:rPr>
          <w:rFonts w:ascii="Book Antiqua" w:eastAsia="Book Antiqua" w:hAnsi="Book Antiqua" w:cs="Book Antiqua"/>
          <w:color w:val="000000" w:themeColor="text1"/>
          <w:lang w:val="es-ES"/>
        </w:rPr>
        <w:t xml:space="preserve">de Puerto Rico. </w:t>
      </w:r>
      <w:r w:rsidR="00AF449A">
        <w:rPr>
          <w:rFonts w:ascii="Book Antiqua" w:eastAsia="Book Antiqua" w:hAnsi="Book Antiqua" w:cs="Book Antiqua"/>
          <w:color w:val="000000" w:themeColor="text1"/>
          <w:lang w:val="es-ES"/>
        </w:rPr>
        <w:t>Según dicho Informe, ambas entidades “favorecieron entusiastamente su aprobación.”</w:t>
      </w:r>
      <w:r w:rsidR="00954C22" w:rsidRPr="00954C22">
        <w:rPr>
          <w:rFonts w:ascii="Book Antiqua" w:eastAsia="Book Antiqua" w:hAnsi="Book Antiqua" w:cs="Book Antiqua"/>
          <w:color w:val="000000" w:themeColor="text1"/>
          <w:lang w:val="es-ES"/>
        </w:rPr>
        <w:t xml:space="preserve"> </w:t>
      </w:r>
    </w:p>
    <w:p w14:paraId="0C95D678" w14:textId="2C1D30DF" w:rsidR="00AF449A" w:rsidRDefault="00AF449A" w:rsidP="00954C22">
      <w:pPr>
        <w:ind w:firstLine="720"/>
        <w:jc w:val="both"/>
        <w:rPr>
          <w:rFonts w:ascii="Book Antiqua" w:eastAsia="Book Antiqua" w:hAnsi="Book Antiqua" w:cs="Book Antiqua"/>
          <w:color w:val="000000" w:themeColor="text1"/>
          <w:lang w:val="es-ES"/>
        </w:rPr>
      </w:pPr>
    </w:p>
    <w:p w14:paraId="54868DDF" w14:textId="4EE31B59" w:rsidR="00AF449A" w:rsidRPr="00AF76A9" w:rsidRDefault="00164E0B" w:rsidP="0085134D">
      <w:pPr>
        <w:spacing w:after="240" w:line="298" w:lineRule="auto"/>
        <w:ind w:firstLine="720"/>
        <w:jc w:val="both"/>
        <w:rPr>
          <w:rFonts w:ascii="Book Antiqua" w:eastAsia="Book Antiqua" w:hAnsi="Book Antiqua" w:cs="Book Antiqua"/>
          <w:color w:val="000000" w:themeColor="text1"/>
          <w:szCs w:val="24"/>
          <w:lang w:val="es-ES"/>
        </w:rPr>
      </w:pPr>
      <w:r>
        <w:rPr>
          <w:rFonts w:ascii="Book Antiqua" w:eastAsia="Book Antiqua" w:hAnsi="Book Antiqua" w:cs="Book Antiqua"/>
          <w:color w:val="000000" w:themeColor="text1"/>
          <w:lang w:val="es-ES"/>
        </w:rPr>
        <w:t xml:space="preserve">Los comentarios más importantes de estas entidades, ambas creadas por ley, son </w:t>
      </w:r>
      <w:r w:rsidRPr="00AF76A9">
        <w:rPr>
          <w:rFonts w:ascii="Book Antiqua" w:eastAsia="Book Antiqua" w:hAnsi="Book Antiqua" w:cs="Book Antiqua"/>
          <w:color w:val="000000" w:themeColor="text1"/>
          <w:szCs w:val="24"/>
          <w:lang w:val="es-ES"/>
        </w:rPr>
        <w:t xml:space="preserve">los siguientes: </w:t>
      </w:r>
    </w:p>
    <w:p w14:paraId="0DD2C665" w14:textId="09F1FAD8" w:rsidR="00164E0B" w:rsidRPr="00AF76A9" w:rsidRDefault="00164E0B" w:rsidP="00AF76A9">
      <w:pPr>
        <w:ind w:left="360" w:right="360"/>
        <w:rPr>
          <w:rFonts w:ascii="Book Antiqua" w:hAnsi="Book Antiqua"/>
          <w:b/>
          <w:color w:val="000000"/>
          <w:szCs w:val="24"/>
          <w:u w:val="single"/>
          <w:shd w:val="clear" w:color="auto" w:fill="FFFFFF"/>
          <w:lang w:val="es-PR"/>
        </w:rPr>
      </w:pPr>
      <w:r w:rsidRPr="00AF76A9">
        <w:rPr>
          <w:rFonts w:ascii="Book Antiqua" w:hAnsi="Book Antiqua"/>
          <w:b/>
          <w:color w:val="000000"/>
          <w:szCs w:val="24"/>
          <w:u w:val="single"/>
          <w:shd w:val="clear" w:color="auto" w:fill="FFFFFF"/>
          <w:lang w:val="es-PR"/>
        </w:rPr>
        <w:t>“Colegio de Abogados</w:t>
      </w:r>
    </w:p>
    <w:p w14:paraId="6A11B601" w14:textId="77777777" w:rsidR="00164E0B" w:rsidRPr="00AF76A9" w:rsidRDefault="00164E0B" w:rsidP="00AF76A9">
      <w:pPr>
        <w:ind w:left="360" w:right="360"/>
        <w:rPr>
          <w:rFonts w:ascii="Book Antiqua" w:hAnsi="Book Antiqua"/>
          <w:color w:val="000000"/>
          <w:szCs w:val="24"/>
          <w:u w:val="single"/>
          <w:shd w:val="clear" w:color="auto" w:fill="FFFFFF"/>
          <w:lang w:val="es-PR"/>
        </w:rPr>
      </w:pPr>
    </w:p>
    <w:p w14:paraId="44802FBC" w14:textId="77777777" w:rsidR="00164E0B" w:rsidRPr="00AF76A9" w:rsidRDefault="00164E0B" w:rsidP="00AF76A9">
      <w:pPr>
        <w:autoSpaceDE w:val="0"/>
        <w:autoSpaceDN w:val="0"/>
        <w:adjustRightInd w:val="0"/>
        <w:ind w:left="360" w:right="360" w:firstLine="720"/>
        <w:jc w:val="both"/>
        <w:rPr>
          <w:rFonts w:ascii="Book Antiqua" w:eastAsia="Calibri" w:hAnsi="Book Antiqua" w:cs="Century"/>
          <w:i/>
          <w:szCs w:val="24"/>
          <w:lang w:val="es-PR"/>
        </w:rPr>
      </w:pPr>
      <w:r w:rsidRPr="00AF76A9">
        <w:rPr>
          <w:rFonts w:ascii="Book Antiqua" w:hAnsi="Book Antiqua"/>
          <w:color w:val="000000"/>
          <w:szCs w:val="24"/>
          <w:shd w:val="clear" w:color="auto" w:fill="FFFFFF"/>
          <w:lang w:val="es-PR"/>
        </w:rPr>
        <w:t xml:space="preserve">El Colegio de Abogados y Abogadas nos dice que: </w:t>
      </w:r>
      <w:r w:rsidRPr="00AF76A9">
        <w:rPr>
          <w:rFonts w:ascii="Book Antiqua" w:eastAsia="Calibri" w:hAnsi="Book Antiqua" w:cs="Century"/>
          <w:i/>
          <w:szCs w:val="24"/>
          <w:lang w:val="es-PR"/>
        </w:rPr>
        <w:t>El Código de Enjuiciamiento Civil de Puerto Rico en su artículo número 675 define el injunction como un mandamiento judicial expedido por escrito, bajo el sello de un tribunal, por el que se le requiere a una persona que se abstenga de hacer, o de permitir que se haga por otras bajo su intervención, determinada cosa que infrinja o perjudique el derecho de otra" 32 L.P.R.A. sec. 3521.</w:t>
      </w:r>
    </w:p>
    <w:p w14:paraId="04B4244E" w14:textId="77777777" w:rsidR="00164E0B" w:rsidRPr="00AF76A9" w:rsidRDefault="00164E0B" w:rsidP="00AF76A9">
      <w:pPr>
        <w:autoSpaceDE w:val="0"/>
        <w:autoSpaceDN w:val="0"/>
        <w:adjustRightInd w:val="0"/>
        <w:ind w:left="360" w:right="360"/>
        <w:jc w:val="both"/>
        <w:rPr>
          <w:rFonts w:ascii="Book Antiqua" w:hAnsi="Book Antiqua"/>
          <w:szCs w:val="24"/>
          <w:lang w:val="es-PR"/>
        </w:rPr>
      </w:pPr>
    </w:p>
    <w:p w14:paraId="0DE1721F" w14:textId="3D22D323" w:rsidR="00164E0B" w:rsidRPr="00AF76A9" w:rsidRDefault="00164E0B" w:rsidP="00AF76A9">
      <w:pPr>
        <w:autoSpaceDE w:val="0"/>
        <w:autoSpaceDN w:val="0"/>
        <w:adjustRightInd w:val="0"/>
        <w:ind w:left="360" w:right="360" w:firstLine="720"/>
        <w:jc w:val="both"/>
        <w:rPr>
          <w:rFonts w:ascii="Book Antiqua" w:hAnsi="Book Antiqua" w:cs="Century"/>
          <w:i/>
          <w:szCs w:val="24"/>
          <w:lang w:val="es-PR"/>
        </w:rPr>
      </w:pPr>
      <w:r w:rsidRPr="00AF76A9">
        <w:rPr>
          <w:rFonts w:ascii="Book Antiqua" w:hAnsi="Book Antiqua"/>
          <w:szCs w:val="24"/>
          <w:lang w:val="es-PR"/>
        </w:rPr>
        <w:t xml:space="preserve">El Colegio explica que en la actualidad; </w:t>
      </w:r>
      <w:r w:rsidRPr="00AF76A9">
        <w:rPr>
          <w:rFonts w:ascii="Book Antiqua" w:hAnsi="Book Antiqua" w:cs="Century"/>
          <w:i/>
          <w:szCs w:val="24"/>
          <w:lang w:val="es-PR"/>
        </w:rPr>
        <w:t xml:space="preserve">La Regla 57 titulada "Injunction" de las Reglas de Procedimiento Civil de Puerto Rico, según enmendadas, discute los elementos requeridos para que los tribunales de Puerto Rico emitan un entredicho provisional. De una revisión de las Reglas se confirma que en efecto las Reglas de Procedimiento Civil de </w:t>
      </w:r>
      <w:r w:rsidRPr="00AF76A9">
        <w:rPr>
          <w:rFonts w:ascii="Book Antiqua" w:hAnsi="Book Antiqua" w:cs="Century"/>
          <w:i/>
          <w:szCs w:val="24"/>
          <w:lang w:val="es-PR"/>
        </w:rPr>
        <w:lastRenderedPageBreak/>
        <w:t>Puerto Rico, según enmendadas, no enumeran los requisitos que jurisprudencialmente se establecieron para le emisión de un interdicto permanente.”</w:t>
      </w:r>
      <w:r w:rsidRPr="00AF76A9">
        <w:rPr>
          <w:rStyle w:val="FootnoteReference"/>
          <w:rFonts w:ascii="Book Antiqua" w:hAnsi="Book Antiqua" w:cs="Century"/>
          <w:i/>
          <w:szCs w:val="24"/>
          <w:lang w:val="es-PR"/>
        </w:rPr>
        <w:footnoteReference w:id="4"/>
      </w:r>
    </w:p>
    <w:p w14:paraId="287584B4" w14:textId="55942AC6" w:rsidR="00164E0B" w:rsidRPr="00AF76A9" w:rsidRDefault="00164E0B" w:rsidP="00AF76A9">
      <w:pPr>
        <w:autoSpaceDE w:val="0"/>
        <w:autoSpaceDN w:val="0"/>
        <w:adjustRightInd w:val="0"/>
        <w:ind w:left="360" w:right="360"/>
        <w:jc w:val="both"/>
        <w:rPr>
          <w:rFonts w:ascii="Book Antiqua" w:hAnsi="Book Antiqua" w:cs="Century"/>
          <w:iCs/>
          <w:szCs w:val="24"/>
          <w:lang w:val="es-PR"/>
        </w:rPr>
      </w:pPr>
    </w:p>
    <w:p w14:paraId="369D009D" w14:textId="02F78EB9" w:rsidR="00164E0B" w:rsidRPr="00AF76A9" w:rsidRDefault="00164E0B" w:rsidP="00AF76A9">
      <w:pPr>
        <w:autoSpaceDE w:val="0"/>
        <w:autoSpaceDN w:val="0"/>
        <w:adjustRightInd w:val="0"/>
        <w:ind w:left="360" w:right="360"/>
        <w:jc w:val="both"/>
        <w:rPr>
          <w:rFonts w:ascii="Book Antiqua" w:eastAsia="Calibri" w:hAnsi="Book Antiqua" w:cs="Century"/>
          <w:iCs/>
          <w:szCs w:val="24"/>
          <w:lang w:val="es-PR"/>
        </w:rPr>
      </w:pPr>
      <w:r w:rsidRPr="00AF76A9">
        <w:rPr>
          <w:rFonts w:ascii="Book Antiqua" w:hAnsi="Book Antiqua" w:cs="Century"/>
          <w:iCs/>
          <w:szCs w:val="24"/>
          <w:lang w:val="es-PR"/>
        </w:rPr>
        <w:t xml:space="preserve">Luego el Colegio de Abogados y Abogadas procede a indicar que los criterios que se establecen en aquel Proyecto de la Cámara 1288 (que son idénticos a los que pretende incluir el P. de la C. 173) fueron establecidos por el Tribunal Supremo de Puerto Rico en el citado caso </w:t>
      </w:r>
      <w:r w:rsidRPr="00AF76A9">
        <w:rPr>
          <w:rFonts w:ascii="Book Antiqua" w:eastAsia="Calibri" w:hAnsi="Book Antiqua" w:cs="Century"/>
          <w:i/>
          <w:szCs w:val="24"/>
          <w:lang w:val="es-PR"/>
        </w:rPr>
        <w:t>Autoridad De Tierras v, Moreno Ruiz</w:t>
      </w:r>
      <w:r w:rsidRPr="00AF76A9">
        <w:rPr>
          <w:rFonts w:ascii="Book Antiqua" w:eastAsia="Calibri" w:hAnsi="Book Antiqua" w:cs="Century"/>
          <w:iCs/>
          <w:szCs w:val="24"/>
          <w:lang w:val="es-PR"/>
        </w:rPr>
        <w:t xml:space="preserve"> y que todavía no ha sido hecho formar parte de nuestras normas estatutarias sobre estos casos judiciales. El Colegio concluyó indicando que esta adición de las Reglas de Procedimiento Civil es útil y razonable: “[este] ejercicio es uno que robustece la intención de las Reglas y apoya el ejercicio de la abogacía por lo que se solicita a este Cuerpo Legislativo que avale el mismo.”</w:t>
      </w:r>
    </w:p>
    <w:p w14:paraId="03CABCFA" w14:textId="77777777" w:rsidR="00164E0B" w:rsidRPr="00AF76A9" w:rsidRDefault="00164E0B" w:rsidP="00AF76A9">
      <w:pPr>
        <w:autoSpaceDE w:val="0"/>
        <w:autoSpaceDN w:val="0"/>
        <w:adjustRightInd w:val="0"/>
        <w:ind w:left="360" w:right="360"/>
        <w:jc w:val="both"/>
        <w:rPr>
          <w:rFonts w:ascii="Book Antiqua" w:eastAsia="Calibri" w:hAnsi="Book Antiqua" w:cs="Century"/>
          <w:iCs/>
          <w:szCs w:val="24"/>
          <w:lang w:val="es-PR"/>
        </w:rPr>
      </w:pPr>
    </w:p>
    <w:p w14:paraId="57E36629" w14:textId="0EB9D081" w:rsidR="00164E0B" w:rsidRPr="00AF76A9" w:rsidRDefault="00164E0B" w:rsidP="00AF76A9">
      <w:pPr>
        <w:autoSpaceDE w:val="0"/>
        <w:autoSpaceDN w:val="0"/>
        <w:adjustRightInd w:val="0"/>
        <w:ind w:left="360" w:right="360"/>
        <w:jc w:val="both"/>
        <w:rPr>
          <w:rFonts w:ascii="Book Antiqua" w:hAnsi="Book Antiqua" w:cs="Century"/>
          <w:iCs/>
          <w:szCs w:val="24"/>
          <w:lang w:val="es-PR"/>
        </w:rPr>
      </w:pPr>
      <w:r w:rsidRPr="00AF76A9">
        <w:rPr>
          <w:rFonts w:ascii="Book Antiqua" w:eastAsia="Calibri" w:hAnsi="Book Antiqua" w:cs="Century"/>
          <w:iCs/>
          <w:szCs w:val="24"/>
          <w:lang w:val="es-PR"/>
        </w:rPr>
        <w:t xml:space="preserve">Por su parte el Departamento de Justicia, </w:t>
      </w:r>
      <w:r w:rsidR="00712592" w:rsidRPr="00AF76A9">
        <w:rPr>
          <w:rFonts w:ascii="Book Antiqua" w:eastAsia="Calibri" w:hAnsi="Book Antiqua" w:cs="Century"/>
          <w:iCs/>
          <w:szCs w:val="24"/>
          <w:lang w:val="es-PR"/>
        </w:rPr>
        <w:t xml:space="preserve">indica que </w:t>
      </w:r>
      <w:r w:rsidR="00712592" w:rsidRPr="00AF76A9">
        <w:rPr>
          <w:rFonts w:ascii="Book Antiqua" w:hAnsi="Book Antiqua" w:cs="Century"/>
          <w:szCs w:val="24"/>
          <w:lang w:val="es-PR"/>
        </w:rPr>
        <w:t>"procede un injunction permanente cuando quien lo solicita demuestra que no tiene otro remedio en ley para evitar el daño irreparable o multiplicidad de procedimientos". J. A. Cuevas Segarra, Tratado de Derecho Procesal Civil, 2da Ed., San Juan, Publicaciones JTS, 2011, Tomo V, pág. 1683. También, se debe otorgar el remedio extraordinario de injunction, "si el remedio existente en el curso ordinario de la ley es inadecuado".</w:t>
      </w:r>
      <w:r w:rsidR="00712592" w:rsidRPr="00AF76A9">
        <w:rPr>
          <w:rStyle w:val="FootnoteReference"/>
          <w:rFonts w:ascii="Book Antiqua" w:hAnsi="Book Antiqua" w:cs="Century"/>
          <w:szCs w:val="24"/>
          <w:lang w:val="es-PR"/>
        </w:rPr>
        <w:footnoteReference w:id="5"/>
      </w:r>
    </w:p>
    <w:p w14:paraId="160D3722" w14:textId="2722E1DC" w:rsidR="00164E0B" w:rsidRPr="00712592" w:rsidRDefault="00164E0B" w:rsidP="00954C22">
      <w:pPr>
        <w:ind w:firstLine="720"/>
        <w:jc w:val="both"/>
        <w:rPr>
          <w:rFonts w:ascii="Book Antiqua" w:eastAsia="Book Antiqua" w:hAnsi="Book Antiqua" w:cs="Book Antiqua"/>
          <w:color w:val="000000" w:themeColor="text1"/>
          <w:szCs w:val="24"/>
          <w:lang w:val="es-PR"/>
        </w:rPr>
      </w:pPr>
    </w:p>
    <w:p w14:paraId="20403027" w14:textId="4FA379AB" w:rsidR="00591C6D" w:rsidRDefault="00712592" w:rsidP="0085134D">
      <w:pPr>
        <w:spacing w:line="298" w:lineRule="auto"/>
        <w:ind w:firstLine="720"/>
        <w:jc w:val="both"/>
        <w:rPr>
          <w:rFonts w:ascii="Book Antiqua" w:eastAsia="Book Antiqua" w:hAnsi="Book Antiqua" w:cs="Book Antiqua"/>
          <w:color w:val="000000" w:themeColor="text1"/>
          <w:szCs w:val="24"/>
          <w:lang w:val="es-ES"/>
        </w:rPr>
      </w:pPr>
      <w:r w:rsidRPr="00712592">
        <w:rPr>
          <w:rFonts w:ascii="Book Antiqua" w:eastAsia="Book Antiqua" w:hAnsi="Book Antiqua" w:cs="Book Antiqua"/>
          <w:color w:val="000000" w:themeColor="text1"/>
          <w:szCs w:val="24"/>
          <w:lang w:val="es-ES"/>
        </w:rPr>
        <w:t xml:space="preserve">Nos convencen los </w:t>
      </w:r>
      <w:r>
        <w:rPr>
          <w:rFonts w:ascii="Book Antiqua" w:eastAsia="Book Antiqua" w:hAnsi="Book Antiqua" w:cs="Book Antiqua"/>
          <w:color w:val="000000" w:themeColor="text1"/>
          <w:szCs w:val="24"/>
          <w:lang w:val="es-ES"/>
        </w:rPr>
        <w:t xml:space="preserve">argumentos planteados por ambas entidades y entendemos </w:t>
      </w:r>
      <w:r w:rsidR="00EA3579">
        <w:rPr>
          <w:rFonts w:ascii="Book Antiqua" w:eastAsia="Book Antiqua" w:hAnsi="Book Antiqua" w:cs="Book Antiqua"/>
          <w:color w:val="000000" w:themeColor="text1"/>
          <w:szCs w:val="24"/>
          <w:lang w:val="es-ES"/>
        </w:rPr>
        <w:t>que,</w:t>
      </w:r>
      <w:r>
        <w:rPr>
          <w:rFonts w:ascii="Book Antiqua" w:eastAsia="Book Antiqua" w:hAnsi="Book Antiqua" w:cs="Book Antiqua"/>
          <w:color w:val="000000" w:themeColor="text1"/>
          <w:szCs w:val="24"/>
          <w:lang w:val="es-ES"/>
        </w:rPr>
        <w:t xml:space="preserve"> por haberse ya analizado esta intención legislativa, no es necesario celebrar vistas públicas sobre este proyecto de ley. </w:t>
      </w:r>
    </w:p>
    <w:p w14:paraId="7AD8F806" w14:textId="77777777" w:rsidR="00712592" w:rsidRDefault="00712592" w:rsidP="0085134D">
      <w:pPr>
        <w:spacing w:line="298" w:lineRule="auto"/>
        <w:ind w:firstLine="720"/>
        <w:jc w:val="both"/>
        <w:rPr>
          <w:rFonts w:ascii="Book Antiqua" w:eastAsia="Book Antiqua" w:hAnsi="Book Antiqua" w:cs="Book Antiqua"/>
          <w:color w:val="000000" w:themeColor="text1"/>
          <w:szCs w:val="24"/>
          <w:lang w:val="es-ES"/>
        </w:rPr>
      </w:pPr>
    </w:p>
    <w:p w14:paraId="3F5006ED" w14:textId="41CE1229" w:rsidR="009B02C7" w:rsidRDefault="009B02C7" w:rsidP="0085134D">
      <w:pPr>
        <w:spacing w:after="240" w:line="298" w:lineRule="auto"/>
        <w:ind w:firstLine="720"/>
        <w:jc w:val="both"/>
        <w:rPr>
          <w:rFonts w:ascii="Book Antiqua" w:hAnsi="Book Antiqua"/>
          <w:color w:val="000000" w:themeColor="text1"/>
          <w:szCs w:val="24"/>
          <w:lang w:val="es-ES_tradnl"/>
        </w:rPr>
      </w:pPr>
      <w:r>
        <w:rPr>
          <w:rFonts w:ascii="Book Antiqua" w:hAnsi="Book Antiqua"/>
          <w:color w:val="000000" w:themeColor="text1"/>
          <w:szCs w:val="24"/>
          <w:lang w:val="es-ES_tradnl"/>
        </w:rPr>
        <w:t xml:space="preserve">Además de todo lo anterior, </w:t>
      </w:r>
      <w:r w:rsidR="00FA1532">
        <w:rPr>
          <w:rFonts w:ascii="Book Antiqua" w:hAnsi="Book Antiqua"/>
          <w:color w:val="000000" w:themeColor="text1"/>
          <w:szCs w:val="24"/>
          <w:lang w:val="es-ES_tradnl"/>
        </w:rPr>
        <w:t xml:space="preserve">esta Comisión </w:t>
      </w:r>
      <w:r w:rsidR="00712592">
        <w:rPr>
          <w:rFonts w:ascii="Book Antiqua" w:hAnsi="Book Antiqua"/>
          <w:color w:val="000000" w:themeColor="text1"/>
          <w:szCs w:val="24"/>
          <w:lang w:val="es-ES_tradnl"/>
        </w:rPr>
        <w:t xml:space="preserve">reproduce lo que se ha dicho en al menos un análisis académico del remedio extraordinario sobre el que versa el P. de la C. 173, indicando: </w:t>
      </w:r>
    </w:p>
    <w:p w14:paraId="33C1AE36" w14:textId="5B17ADE7" w:rsidR="00712592" w:rsidRPr="00981289" w:rsidRDefault="00712592" w:rsidP="00981289">
      <w:pPr>
        <w:ind w:left="360" w:right="360" w:firstLine="720"/>
        <w:jc w:val="both"/>
        <w:rPr>
          <w:rFonts w:ascii="Book Antiqua" w:hAnsi="Book Antiqua"/>
          <w:color w:val="000000" w:themeColor="text1"/>
          <w:szCs w:val="24"/>
          <w:lang w:val="es-ES"/>
        </w:rPr>
      </w:pPr>
      <w:r w:rsidRPr="00981289">
        <w:rPr>
          <w:rFonts w:ascii="Book Antiqua" w:hAnsi="Book Antiqua"/>
          <w:color w:val="000000" w:themeColor="text1"/>
          <w:szCs w:val="24"/>
          <w:lang w:val="es-ES"/>
        </w:rPr>
        <w:t>“[el] derecho adjetivo en Puerto Rico, es decir, la normativa de justicia procesal en materia de medidas cautelares que aquí se les llama “recursos extraordinarios”, se atiene a conceptos arcaicos del antiguo régimen del canciller de Inglaterra que les dio origen. Sentencia nuestro Tribunal Supremo: “Por razón del origen del injunction en las cortes de equidad inglesas, el principio de equidad que gobierna su concesión o denegación </w:t>
      </w:r>
      <w:r w:rsidRPr="00981289">
        <w:rPr>
          <w:rFonts w:ascii="Book Antiqua" w:hAnsi="Book Antiqua"/>
          <w:b/>
          <w:bCs/>
          <w:color w:val="000000" w:themeColor="text1"/>
          <w:szCs w:val="24"/>
          <w:lang w:val="es-ES"/>
        </w:rPr>
        <w:t>exige</w:t>
      </w:r>
      <w:r w:rsidRPr="00981289">
        <w:rPr>
          <w:rFonts w:ascii="Book Antiqua" w:hAnsi="Book Antiqua"/>
          <w:color w:val="000000" w:themeColor="text1"/>
          <w:szCs w:val="24"/>
          <w:lang w:val="es-ES"/>
        </w:rPr>
        <w:t xml:space="preserve"> que la parte promovente demuestre </w:t>
      </w:r>
      <w:r w:rsidR="00EA3579" w:rsidRPr="00981289">
        <w:rPr>
          <w:rFonts w:ascii="Book Antiqua" w:hAnsi="Book Antiqua"/>
          <w:color w:val="000000" w:themeColor="text1"/>
          <w:szCs w:val="24"/>
          <w:lang w:val="es-ES"/>
        </w:rPr>
        <w:t>la ausencia</w:t>
      </w:r>
      <w:r w:rsidRPr="00981289">
        <w:rPr>
          <w:rFonts w:ascii="Book Antiqua" w:hAnsi="Book Antiqua"/>
          <w:color w:val="000000" w:themeColor="text1"/>
          <w:szCs w:val="24"/>
          <w:lang w:val="es-ES"/>
        </w:rPr>
        <w:t xml:space="preserve"> de un remedio adecuado en ley.” Esa reiterativa afirmación de nuestra doctrina, es radicalmente falsa. Nada “exige” aquí en Puerto Rico, como tampoco en Estados Unidos o Inglaterra, que se agoten procesos llamados ordinarios en un tribunal de “</w:t>
      </w:r>
      <w:r w:rsidRPr="00981289">
        <w:rPr>
          <w:rFonts w:ascii="Book Antiqua" w:hAnsi="Book Antiqua"/>
          <w:i/>
          <w:iCs/>
          <w:color w:val="000000" w:themeColor="text1"/>
          <w:szCs w:val="24"/>
          <w:lang w:val="es-ES"/>
        </w:rPr>
        <w:t>law</w:t>
      </w:r>
      <w:r w:rsidRPr="00981289">
        <w:rPr>
          <w:rFonts w:ascii="Book Antiqua" w:hAnsi="Book Antiqua"/>
          <w:color w:val="000000" w:themeColor="text1"/>
          <w:szCs w:val="24"/>
          <w:lang w:val="es-ES"/>
        </w:rPr>
        <w:t xml:space="preserve">” antes de pedir una medida cautelar “extraordinaria” en un </w:t>
      </w:r>
      <w:r w:rsidRPr="00981289">
        <w:rPr>
          <w:rFonts w:ascii="Book Antiqua" w:hAnsi="Book Antiqua"/>
          <w:color w:val="000000" w:themeColor="text1"/>
          <w:szCs w:val="24"/>
          <w:lang w:val="es-ES"/>
        </w:rPr>
        <w:lastRenderedPageBreak/>
        <w:t>tribunal de “</w:t>
      </w:r>
      <w:r w:rsidRPr="00981289">
        <w:rPr>
          <w:rFonts w:ascii="Book Antiqua" w:hAnsi="Book Antiqua"/>
          <w:i/>
          <w:iCs/>
          <w:color w:val="000000" w:themeColor="text1"/>
          <w:szCs w:val="24"/>
          <w:lang w:val="es-ES"/>
        </w:rPr>
        <w:t>equity</w:t>
      </w:r>
      <w:r w:rsidRPr="00981289">
        <w:rPr>
          <w:rFonts w:ascii="Book Antiqua" w:hAnsi="Book Antiqua"/>
          <w:color w:val="000000" w:themeColor="text1"/>
          <w:szCs w:val="24"/>
          <w:lang w:val="es-ES"/>
        </w:rPr>
        <w:t>” como lo hacía, siglos ha, el canciller británico. Con ironía Hernández Colón en su tratado de derecho procesal critica:</w:t>
      </w:r>
    </w:p>
    <w:p w14:paraId="28450B6F" w14:textId="4447CB7D" w:rsidR="00712592" w:rsidRPr="00981289" w:rsidRDefault="00712592" w:rsidP="00AF76A9">
      <w:pPr>
        <w:tabs>
          <w:tab w:val="left" w:pos="540"/>
        </w:tabs>
        <w:ind w:left="720" w:right="720" w:firstLine="720"/>
        <w:jc w:val="both"/>
        <w:rPr>
          <w:rFonts w:ascii="Book Antiqua" w:hAnsi="Book Antiqua"/>
          <w:color w:val="000000" w:themeColor="text1"/>
          <w:szCs w:val="24"/>
          <w:lang w:val="es-ES"/>
        </w:rPr>
      </w:pPr>
      <w:r w:rsidRPr="00981289">
        <w:rPr>
          <w:rFonts w:ascii="Book Antiqua" w:hAnsi="Book Antiqua"/>
          <w:color w:val="000000" w:themeColor="text1"/>
          <w:szCs w:val="24"/>
          <w:lang w:val="es-ES"/>
        </w:rPr>
        <w:t xml:space="preserve">El TS no sólo incorporó los principios jurisprudenciales, sino también la terminología creando una enorme confusión conceptual que al día de hoy pervive en sus opiniones. Se hace referencia a “remedios en ley” tal y como si hubiera otra clase de remedios en Puerto Rico. Obviamente se está usando ese anglicismo jurídico sin razonamiento crítico y sin propiedad lingüística. </w:t>
      </w:r>
    </w:p>
    <w:p w14:paraId="7BD4758A" w14:textId="77777777" w:rsidR="00712592" w:rsidRPr="00981289" w:rsidRDefault="00712592" w:rsidP="00981289">
      <w:pPr>
        <w:ind w:left="360" w:right="360" w:firstLine="720"/>
        <w:jc w:val="both"/>
        <w:rPr>
          <w:rFonts w:ascii="Book Antiqua" w:hAnsi="Book Antiqua"/>
          <w:color w:val="000000" w:themeColor="text1"/>
          <w:szCs w:val="24"/>
          <w:lang w:val="es-ES"/>
        </w:rPr>
      </w:pPr>
      <w:r w:rsidRPr="00981289">
        <w:rPr>
          <w:rFonts w:ascii="Book Antiqua" w:hAnsi="Book Antiqua"/>
          <w:color w:val="000000" w:themeColor="text1"/>
          <w:szCs w:val="24"/>
          <w:lang w:val="es-ES"/>
        </w:rPr>
        <w:t>También Cuevas Segarra alza su voz en favor de las medidas cautelares y en contra del anacronismo absurdo de la doctrina jurisprudencial sobre esta materia:</w:t>
      </w:r>
    </w:p>
    <w:p w14:paraId="20AE35A2" w14:textId="37D2FB98" w:rsidR="00712592" w:rsidRPr="00981289" w:rsidRDefault="00712592" w:rsidP="00AF76A9">
      <w:pPr>
        <w:ind w:left="720" w:right="720" w:firstLine="720"/>
        <w:jc w:val="both"/>
        <w:rPr>
          <w:rFonts w:ascii="Book Antiqua" w:hAnsi="Book Antiqua"/>
          <w:color w:val="000000" w:themeColor="text1"/>
          <w:szCs w:val="24"/>
          <w:lang w:val="es-ES"/>
        </w:rPr>
      </w:pPr>
      <w:r w:rsidRPr="00981289">
        <w:rPr>
          <w:rFonts w:ascii="Book Antiqua" w:hAnsi="Book Antiqua"/>
          <w:color w:val="000000" w:themeColor="text1"/>
          <w:szCs w:val="24"/>
          <w:lang w:val="es-ES"/>
        </w:rPr>
        <w:t>El interdicto en Puerto Rico ha dejado de ser un recurso extraordinario, en el uso común de la palabra, y se ha convertido en uno de los instrumentos más eficaces con que el abogado postulante cuenta para obtener remedios que su cliente necesita. El derecho procesal puertorriqueño disfruta de un grado de flexibilidad mayor que el procedimiento civil europeo y que el del Common Law. Nuestra doctrina jurisprudencial y los estatutos vigentes en lo que respecta al interdicto, no han tomado plena conciencia de este hecho, por lo que continuamos atados a conceptualizaciones arcaicas al momento de decidir por lo menos en teoría si procede el remedio de interdicto o dicho de otro modo, el auto ha estado inexorablemente atado a su abolengo de equidad.”</w:t>
      </w:r>
      <w:r w:rsidR="00F169E1" w:rsidRPr="00981289">
        <w:rPr>
          <w:rFonts w:ascii="Book Antiqua" w:hAnsi="Book Antiqua"/>
          <w:color w:val="000000" w:themeColor="text1"/>
          <w:szCs w:val="24"/>
          <w:lang w:val="es-ES"/>
        </w:rPr>
        <w:t xml:space="preserve"> Obtenido de </w:t>
      </w:r>
      <w:r w:rsidR="00F169E1" w:rsidRPr="00981289">
        <w:rPr>
          <w:rFonts w:ascii="Book Antiqua" w:hAnsi="Book Antiqua"/>
          <w:i/>
          <w:iCs/>
          <w:color w:val="000000" w:themeColor="text1"/>
          <w:szCs w:val="24"/>
          <w:lang w:val="es-ES"/>
        </w:rPr>
        <w:t>El “Injcunction en Broma y en Serio</w:t>
      </w:r>
      <w:r w:rsidR="00F169E1" w:rsidRPr="00981289">
        <w:rPr>
          <w:rFonts w:ascii="Book Antiqua" w:hAnsi="Book Antiqua"/>
          <w:color w:val="000000" w:themeColor="text1"/>
          <w:szCs w:val="24"/>
          <w:lang w:val="es-ES"/>
        </w:rPr>
        <w:t xml:space="preserve">, artículo de la Revista de Derecho Puertorriqueño, José A. Morales Rodríguez y Wilfred O. Resto Rodríguez, 57 Rev. Der. P.R. 211, 213-214 (2018); citas en el original, omitidas. </w:t>
      </w:r>
    </w:p>
    <w:p w14:paraId="2250B4A4" w14:textId="77777777" w:rsidR="00712592" w:rsidRDefault="00712592" w:rsidP="00FA1532">
      <w:pPr>
        <w:ind w:firstLine="720"/>
        <w:jc w:val="both"/>
        <w:rPr>
          <w:rFonts w:ascii="Book Antiqua" w:hAnsi="Book Antiqua"/>
          <w:color w:val="000000" w:themeColor="text1"/>
          <w:szCs w:val="24"/>
          <w:lang w:val="es-ES_tradnl"/>
        </w:rPr>
      </w:pPr>
    </w:p>
    <w:p w14:paraId="4FCD2175" w14:textId="3BA7BEB5" w:rsidR="00712592" w:rsidRPr="00712592" w:rsidRDefault="00AB3722" w:rsidP="00424576">
      <w:pPr>
        <w:spacing w:line="298" w:lineRule="auto"/>
        <w:ind w:firstLine="720"/>
        <w:jc w:val="both"/>
        <w:rPr>
          <w:rFonts w:ascii="Book Antiqua" w:hAnsi="Book Antiqua"/>
          <w:color w:val="000000" w:themeColor="text1"/>
          <w:szCs w:val="24"/>
          <w:lang w:val="es-ES_tradnl"/>
        </w:rPr>
      </w:pPr>
      <w:r>
        <w:rPr>
          <w:rFonts w:ascii="Book Antiqua" w:hAnsi="Book Antiqua"/>
          <w:color w:val="000000" w:themeColor="text1"/>
          <w:szCs w:val="24"/>
          <w:lang w:val="es-ES_tradnl"/>
        </w:rPr>
        <w:t>P</w:t>
      </w:r>
      <w:r w:rsidR="00712592">
        <w:rPr>
          <w:rFonts w:ascii="Book Antiqua" w:hAnsi="Book Antiqua"/>
          <w:color w:val="000000" w:themeColor="text1"/>
          <w:szCs w:val="24"/>
          <w:lang w:val="es-ES_tradnl"/>
        </w:rPr>
        <w:t>odemos diferir un tanto de lo que se plantea por estos ilustrados juristas</w:t>
      </w:r>
      <w:r w:rsidR="00EA3579">
        <w:rPr>
          <w:rFonts w:ascii="Book Antiqua" w:hAnsi="Book Antiqua"/>
          <w:color w:val="000000" w:themeColor="text1"/>
          <w:szCs w:val="24"/>
          <w:lang w:val="es-ES_tradnl"/>
        </w:rPr>
        <w:t xml:space="preserve"> sobre el uso de este remedio extraordinario en nuestra práctica legal</w:t>
      </w:r>
      <w:r>
        <w:rPr>
          <w:rFonts w:ascii="Book Antiqua" w:hAnsi="Book Antiqua"/>
          <w:color w:val="000000" w:themeColor="text1"/>
          <w:szCs w:val="24"/>
          <w:lang w:val="es-ES_tradnl"/>
        </w:rPr>
        <w:t>. No obstante,</w:t>
      </w:r>
      <w:r w:rsidR="00712592">
        <w:rPr>
          <w:rFonts w:ascii="Book Antiqua" w:hAnsi="Book Antiqua"/>
          <w:color w:val="000000" w:themeColor="text1"/>
          <w:szCs w:val="24"/>
          <w:lang w:val="es-ES_tradnl"/>
        </w:rPr>
        <w:t xml:space="preserve"> </w:t>
      </w:r>
      <w:r>
        <w:rPr>
          <w:rFonts w:ascii="Book Antiqua" w:hAnsi="Book Antiqua"/>
          <w:color w:val="000000" w:themeColor="text1"/>
          <w:szCs w:val="24"/>
          <w:lang w:val="es-ES_tradnl"/>
        </w:rPr>
        <w:t>tal</w:t>
      </w:r>
      <w:r w:rsidR="00712592">
        <w:rPr>
          <w:rFonts w:ascii="Book Antiqua" w:hAnsi="Book Antiqua"/>
          <w:color w:val="000000" w:themeColor="text1"/>
          <w:szCs w:val="24"/>
          <w:lang w:val="es-ES_tradnl"/>
        </w:rPr>
        <w:t xml:space="preserve"> razonamiento nos </w:t>
      </w:r>
      <w:r w:rsidR="003B06E7">
        <w:rPr>
          <w:rFonts w:ascii="Book Antiqua" w:hAnsi="Book Antiqua"/>
          <w:color w:val="000000" w:themeColor="text1"/>
          <w:szCs w:val="24"/>
          <w:lang w:val="es-ES_tradnl"/>
        </w:rPr>
        <w:t xml:space="preserve">convence </w:t>
      </w:r>
      <w:r w:rsidR="00712592">
        <w:rPr>
          <w:rFonts w:ascii="Book Antiqua" w:hAnsi="Book Antiqua"/>
          <w:color w:val="000000" w:themeColor="text1"/>
          <w:szCs w:val="24"/>
          <w:lang w:val="es-ES_tradnl"/>
        </w:rPr>
        <w:t xml:space="preserve">sobre la necesidad de enmendar el Art. 677 del Código de Enjuiciamiento Civil, con el objetivo de que quede clara la intención legislativa de que el remedio del </w:t>
      </w:r>
      <w:r w:rsidR="00712592">
        <w:rPr>
          <w:rFonts w:ascii="Book Antiqua" w:hAnsi="Book Antiqua"/>
          <w:i/>
          <w:iCs/>
          <w:color w:val="000000" w:themeColor="text1"/>
          <w:szCs w:val="24"/>
          <w:lang w:val="es-ES_tradnl"/>
        </w:rPr>
        <w:t>injunction</w:t>
      </w:r>
      <w:r w:rsidR="00712592">
        <w:rPr>
          <w:rFonts w:ascii="Book Antiqua" w:hAnsi="Book Antiqua"/>
          <w:color w:val="000000" w:themeColor="text1"/>
          <w:szCs w:val="24"/>
          <w:lang w:val="es-ES_tradnl"/>
        </w:rPr>
        <w:t xml:space="preserve"> sea evaluado por el tribunal a la luz de los criterios ya establecidos por el Tribunal Supremo en el citado caso de la </w:t>
      </w:r>
      <w:r w:rsidR="00712592">
        <w:rPr>
          <w:rFonts w:ascii="Book Antiqua" w:hAnsi="Book Antiqua"/>
          <w:i/>
          <w:iCs/>
          <w:color w:val="000000" w:themeColor="text1"/>
          <w:szCs w:val="24"/>
          <w:lang w:val="es-ES_tradnl"/>
        </w:rPr>
        <w:t>Autoridad de Tierras</w:t>
      </w:r>
      <w:r w:rsidR="00712592">
        <w:rPr>
          <w:rFonts w:ascii="Book Antiqua" w:hAnsi="Book Antiqua"/>
          <w:color w:val="000000" w:themeColor="text1"/>
          <w:szCs w:val="24"/>
          <w:lang w:val="es-ES_tradnl"/>
        </w:rPr>
        <w:t xml:space="preserve">. </w:t>
      </w:r>
    </w:p>
    <w:p w14:paraId="0E3C9490" w14:textId="77777777" w:rsidR="00F169E1" w:rsidRDefault="00F169E1" w:rsidP="00F91378">
      <w:pPr>
        <w:jc w:val="center"/>
        <w:rPr>
          <w:rFonts w:ascii="Book Antiqua" w:eastAsia="Book Antiqua" w:hAnsi="Book Antiqua" w:cs="Book Antiqua"/>
          <w:b/>
          <w:bCs/>
          <w:color w:val="000000" w:themeColor="text1"/>
          <w:szCs w:val="24"/>
          <w:lang w:val="es-PR"/>
        </w:rPr>
      </w:pPr>
    </w:p>
    <w:p w14:paraId="528F8908" w14:textId="171EA8C0" w:rsidR="003B38A4" w:rsidRPr="004A1B30" w:rsidRDefault="003B38A4" w:rsidP="004A1B30">
      <w:pPr>
        <w:spacing w:after="240"/>
        <w:jc w:val="center"/>
        <w:rPr>
          <w:rFonts w:ascii="Book Antiqua" w:eastAsia="Book Antiqua" w:hAnsi="Book Antiqua" w:cs="Book Antiqua"/>
          <w:b/>
          <w:bCs/>
          <w:color w:val="000000" w:themeColor="text1"/>
          <w:spacing w:val="12"/>
          <w:szCs w:val="24"/>
          <w:lang w:val="es-PR"/>
        </w:rPr>
      </w:pPr>
      <w:r w:rsidRPr="004A1B30">
        <w:rPr>
          <w:rFonts w:ascii="Book Antiqua" w:eastAsia="Book Antiqua" w:hAnsi="Book Antiqua" w:cs="Book Antiqua"/>
          <w:b/>
          <w:bCs/>
          <w:color w:val="000000" w:themeColor="text1"/>
          <w:spacing w:val="12"/>
          <w:szCs w:val="24"/>
          <w:lang w:val="es-PR"/>
        </w:rPr>
        <w:t>CONCLUSIÓN</w:t>
      </w:r>
      <w:r w:rsidR="00F0476A" w:rsidRPr="004A1B30">
        <w:rPr>
          <w:rFonts w:ascii="Book Antiqua" w:eastAsia="Book Antiqua" w:hAnsi="Book Antiqua" w:cs="Book Antiqua"/>
          <w:b/>
          <w:bCs/>
          <w:color w:val="000000" w:themeColor="text1"/>
          <w:spacing w:val="12"/>
          <w:szCs w:val="24"/>
          <w:lang w:val="es-PR"/>
        </w:rPr>
        <w:t xml:space="preserve"> Y RECOMENDAC</w:t>
      </w:r>
      <w:r w:rsidR="001711E6" w:rsidRPr="004A1B30">
        <w:rPr>
          <w:rFonts w:ascii="Book Antiqua" w:eastAsia="Book Antiqua" w:hAnsi="Book Antiqua" w:cs="Book Antiqua"/>
          <w:b/>
          <w:bCs/>
          <w:color w:val="000000" w:themeColor="text1"/>
          <w:spacing w:val="12"/>
          <w:szCs w:val="24"/>
          <w:lang w:val="es-PR"/>
        </w:rPr>
        <w:t>I</w:t>
      </w:r>
      <w:r w:rsidR="00F0476A" w:rsidRPr="004A1B30">
        <w:rPr>
          <w:rFonts w:ascii="Book Antiqua" w:eastAsia="Book Antiqua" w:hAnsi="Book Antiqua" w:cs="Book Antiqua"/>
          <w:b/>
          <w:bCs/>
          <w:color w:val="000000" w:themeColor="text1"/>
          <w:spacing w:val="12"/>
          <w:szCs w:val="24"/>
          <w:lang w:val="es-PR"/>
        </w:rPr>
        <w:t>ÓN</w:t>
      </w:r>
    </w:p>
    <w:p w14:paraId="48543D46" w14:textId="20A76795" w:rsidR="00DC2214" w:rsidRPr="001711E6" w:rsidRDefault="009B02C7" w:rsidP="00010F97">
      <w:pPr>
        <w:spacing w:line="29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El </w:t>
      </w:r>
      <w:r w:rsidR="00F169E1">
        <w:rPr>
          <w:rFonts w:ascii="Book Antiqua" w:eastAsia="Book Antiqua" w:hAnsi="Book Antiqua" w:cs="Book Antiqua"/>
          <w:bCs/>
          <w:color w:val="000000" w:themeColor="text1"/>
          <w:szCs w:val="24"/>
          <w:lang w:val="es-PR"/>
        </w:rPr>
        <w:t>injunction es un remedio extraordinario, disponible para toda persona que</w:t>
      </w:r>
      <w:r w:rsidR="00EA3579">
        <w:rPr>
          <w:rFonts w:ascii="Book Antiqua" w:eastAsia="Book Antiqua" w:hAnsi="Book Antiqua" w:cs="Book Antiqua"/>
          <w:bCs/>
          <w:color w:val="000000" w:themeColor="text1"/>
          <w:szCs w:val="24"/>
          <w:lang w:val="es-PR"/>
        </w:rPr>
        <w:t xml:space="preserve"> a satisfacción del tribunal</w:t>
      </w:r>
      <w:r w:rsidR="00F169E1">
        <w:rPr>
          <w:rFonts w:ascii="Book Antiqua" w:eastAsia="Book Antiqua" w:hAnsi="Book Antiqua" w:cs="Book Antiqua"/>
          <w:bCs/>
          <w:color w:val="000000" w:themeColor="text1"/>
          <w:szCs w:val="24"/>
          <w:lang w:val="es-PR"/>
        </w:rPr>
        <w:t xml:space="preserve"> cumpla con los requisitos que la ley y la jurisprudencia estableci</w:t>
      </w:r>
      <w:r w:rsidR="0030144B">
        <w:rPr>
          <w:rFonts w:ascii="Book Antiqua" w:eastAsia="Book Antiqua" w:hAnsi="Book Antiqua" w:cs="Book Antiqua"/>
          <w:bCs/>
          <w:color w:val="000000" w:themeColor="text1"/>
          <w:szCs w:val="24"/>
          <w:lang w:val="es-PR"/>
        </w:rPr>
        <w:t>er</w:t>
      </w:r>
      <w:r w:rsidR="00F169E1">
        <w:rPr>
          <w:rFonts w:ascii="Book Antiqua" w:eastAsia="Book Antiqua" w:hAnsi="Book Antiqua" w:cs="Book Antiqua"/>
          <w:bCs/>
          <w:color w:val="000000" w:themeColor="text1"/>
          <w:szCs w:val="24"/>
          <w:lang w:val="es-PR"/>
        </w:rPr>
        <w:t>o</w:t>
      </w:r>
      <w:r w:rsidR="0030144B">
        <w:rPr>
          <w:rFonts w:ascii="Book Antiqua" w:eastAsia="Book Antiqua" w:hAnsi="Book Antiqua" w:cs="Book Antiqua"/>
          <w:bCs/>
          <w:color w:val="000000" w:themeColor="text1"/>
          <w:szCs w:val="24"/>
          <w:lang w:val="es-PR"/>
        </w:rPr>
        <w:t>n</w:t>
      </w:r>
      <w:r>
        <w:rPr>
          <w:rFonts w:ascii="Book Antiqua" w:eastAsia="Book Antiqua" w:hAnsi="Book Antiqua" w:cs="Book Antiqua"/>
          <w:bCs/>
          <w:color w:val="000000" w:themeColor="text1"/>
          <w:szCs w:val="24"/>
          <w:lang w:val="es-PR"/>
        </w:rPr>
        <w:t>.</w:t>
      </w:r>
      <w:r w:rsidR="00F169E1">
        <w:rPr>
          <w:rFonts w:ascii="Book Antiqua" w:eastAsia="Book Antiqua" w:hAnsi="Book Antiqua" w:cs="Book Antiqua"/>
          <w:bCs/>
          <w:color w:val="000000" w:themeColor="text1"/>
          <w:szCs w:val="24"/>
          <w:lang w:val="es-PR"/>
        </w:rPr>
        <w:t xml:space="preserve"> </w:t>
      </w:r>
      <w:r w:rsidR="0030144B">
        <w:rPr>
          <w:rFonts w:ascii="Book Antiqua" w:eastAsia="Book Antiqua" w:hAnsi="Book Antiqua" w:cs="Book Antiqua"/>
          <w:bCs/>
          <w:color w:val="000000" w:themeColor="text1"/>
          <w:szCs w:val="24"/>
          <w:lang w:val="es-PR"/>
        </w:rPr>
        <w:t xml:space="preserve">En vista de </w:t>
      </w:r>
      <w:r w:rsidR="00F169E1">
        <w:rPr>
          <w:rFonts w:ascii="Book Antiqua" w:eastAsia="Book Antiqua" w:hAnsi="Book Antiqua" w:cs="Book Antiqua"/>
          <w:bCs/>
          <w:color w:val="000000" w:themeColor="text1"/>
          <w:szCs w:val="24"/>
          <w:lang w:val="es-PR"/>
        </w:rPr>
        <w:t xml:space="preserve">que el caso de </w:t>
      </w:r>
      <w:r w:rsidR="00F169E1" w:rsidRPr="00F169E1">
        <w:rPr>
          <w:rFonts w:ascii="Book Antiqua" w:eastAsia="Book Antiqua" w:hAnsi="Book Antiqua" w:cs="Book Antiqua"/>
          <w:bCs/>
          <w:i/>
          <w:iCs/>
          <w:color w:val="000000" w:themeColor="text1"/>
          <w:szCs w:val="24"/>
          <w:lang w:val="es-PR"/>
        </w:rPr>
        <w:t>Autoridad de Tierras v. Moreno &amp; Ruiz</w:t>
      </w:r>
      <w:r w:rsidR="00F169E1">
        <w:rPr>
          <w:rFonts w:ascii="Book Antiqua" w:eastAsia="Book Antiqua" w:hAnsi="Book Antiqua" w:cs="Book Antiqua"/>
          <w:bCs/>
          <w:color w:val="000000" w:themeColor="text1"/>
          <w:szCs w:val="24"/>
          <w:lang w:val="es-PR"/>
        </w:rPr>
        <w:t xml:space="preserve">, 174 DPR 409 (2008) establece unos criterios muy razonables para todo litigante, entendemos que los mismos deben incorporarse a nuestras normas codificadas. </w:t>
      </w:r>
      <w:r>
        <w:rPr>
          <w:rFonts w:ascii="Book Antiqua" w:eastAsia="Book Antiqua" w:hAnsi="Book Antiqua" w:cs="Book Antiqua"/>
          <w:bCs/>
          <w:color w:val="000000" w:themeColor="text1"/>
          <w:szCs w:val="24"/>
          <w:lang w:val="es-PR"/>
        </w:rPr>
        <w:t xml:space="preserve"> </w:t>
      </w:r>
    </w:p>
    <w:p w14:paraId="7B534C0C" w14:textId="77777777" w:rsidR="001711E6" w:rsidRPr="001711E6" w:rsidRDefault="001711E6" w:rsidP="00010F97">
      <w:pPr>
        <w:spacing w:line="298" w:lineRule="auto"/>
        <w:ind w:firstLine="720"/>
        <w:jc w:val="both"/>
        <w:rPr>
          <w:rFonts w:ascii="Book Antiqua" w:eastAsia="Book Antiqua" w:hAnsi="Book Antiqua" w:cs="Book Antiqua"/>
          <w:bCs/>
          <w:color w:val="000000" w:themeColor="text1"/>
          <w:szCs w:val="24"/>
          <w:lang w:val="es-PR"/>
        </w:rPr>
      </w:pPr>
    </w:p>
    <w:p w14:paraId="2149ED6C" w14:textId="77777777" w:rsidR="003B06E7" w:rsidRDefault="00FD6179" w:rsidP="00010F97">
      <w:pPr>
        <w:spacing w:line="298" w:lineRule="auto"/>
        <w:ind w:firstLine="720"/>
        <w:jc w:val="both"/>
        <w:rPr>
          <w:rFonts w:ascii="Book Antiqua" w:eastAsia="Book Antiqua" w:hAnsi="Book Antiqua" w:cs="Book Antiqua"/>
          <w:bCs/>
          <w:color w:val="000000" w:themeColor="text1"/>
          <w:szCs w:val="24"/>
          <w:lang w:val="es-PR"/>
        </w:rPr>
      </w:pPr>
      <w:r w:rsidRPr="001711E6">
        <w:rPr>
          <w:rFonts w:ascii="Book Antiqua" w:eastAsia="Book Antiqua" w:hAnsi="Book Antiqua" w:cs="Book Antiqua"/>
          <w:bCs/>
          <w:color w:val="000000" w:themeColor="text1"/>
          <w:szCs w:val="24"/>
          <w:lang w:val="es-PR"/>
        </w:rPr>
        <w:lastRenderedPageBreak/>
        <w:t>Por los fundamentos antes expuestos, la Comisión de</w:t>
      </w:r>
      <w:r w:rsidR="007761C9" w:rsidRPr="001711E6">
        <w:rPr>
          <w:rFonts w:ascii="Book Antiqua" w:eastAsia="Book Antiqua" w:hAnsi="Book Antiqua" w:cs="Book Antiqua"/>
          <w:bCs/>
          <w:color w:val="000000" w:themeColor="text1"/>
          <w:szCs w:val="24"/>
          <w:lang w:val="es-PR"/>
        </w:rPr>
        <w:t xml:space="preserve"> </w:t>
      </w:r>
      <w:r w:rsidR="0030144B">
        <w:rPr>
          <w:rFonts w:ascii="Book Antiqua" w:eastAsia="Book Antiqua" w:hAnsi="Book Antiqua" w:cs="Book Antiqua"/>
          <w:bCs/>
          <w:color w:val="000000" w:themeColor="text1"/>
          <w:szCs w:val="24"/>
          <w:lang w:val="es-PR"/>
        </w:rPr>
        <w:t>l</w:t>
      </w:r>
      <w:r w:rsidR="007761C9" w:rsidRPr="001711E6">
        <w:rPr>
          <w:rFonts w:ascii="Book Antiqua" w:eastAsia="Book Antiqua" w:hAnsi="Book Antiqua" w:cs="Book Antiqua"/>
          <w:bCs/>
          <w:color w:val="000000" w:themeColor="text1"/>
          <w:szCs w:val="24"/>
          <w:lang w:val="es-PR"/>
        </w:rPr>
        <w:t>o Jurídico</w:t>
      </w:r>
      <w:r w:rsidRPr="001711E6">
        <w:rPr>
          <w:rFonts w:ascii="Book Antiqua" w:eastAsia="Book Antiqua" w:hAnsi="Book Antiqua" w:cs="Book Antiqua"/>
          <w:bCs/>
          <w:color w:val="000000" w:themeColor="text1"/>
          <w:szCs w:val="24"/>
          <w:lang w:val="es-PR"/>
        </w:rPr>
        <w:t xml:space="preserve"> </w:t>
      </w:r>
      <w:r w:rsidR="0030144B">
        <w:rPr>
          <w:rFonts w:ascii="Book Antiqua" w:eastAsia="Book Antiqua" w:hAnsi="Book Antiqua" w:cs="Book Antiqua"/>
          <w:bCs/>
          <w:color w:val="000000" w:themeColor="text1"/>
          <w:szCs w:val="24"/>
          <w:lang w:val="es-PR"/>
        </w:rPr>
        <w:t xml:space="preserve">presenta </w:t>
      </w:r>
      <w:r w:rsidRPr="001711E6">
        <w:rPr>
          <w:rFonts w:ascii="Book Antiqua" w:eastAsia="Book Antiqua" w:hAnsi="Book Antiqua" w:cs="Book Antiqua"/>
          <w:bCs/>
          <w:color w:val="000000" w:themeColor="text1"/>
          <w:szCs w:val="24"/>
          <w:lang w:val="es-PR"/>
        </w:rPr>
        <w:t xml:space="preserve">el presente Informe Positivo en el </w:t>
      </w:r>
      <w:r w:rsidR="00A57025">
        <w:rPr>
          <w:rFonts w:ascii="Book Antiqua" w:eastAsia="Book Antiqua" w:hAnsi="Book Antiqua" w:cs="Book Antiqua"/>
          <w:bCs/>
          <w:color w:val="000000" w:themeColor="text1"/>
          <w:szCs w:val="24"/>
          <w:lang w:val="es-PR"/>
        </w:rPr>
        <w:t>cual le</w:t>
      </w:r>
      <w:r w:rsidRPr="001711E6">
        <w:rPr>
          <w:rFonts w:ascii="Book Antiqua" w:eastAsia="Book Antiqua" w:hAnsi="Book Antiqua" w:cs="Book Antiqua"/>
          <w:bCs/>
          <w:color w:val="000000" w:themeColor="text1"/>
          <w:szCs w:val="24"/>
          <w:lang w:val="es-PR"/>
        </w:rPr>
        <w:t xml:space="preserve"> recom</w:t>
      </w:r>
      <w:r w:rsidR="00A57025">
        <w:rPr>
          <w:rFonts w:ascii="Book Antiqua" w:eastAsia="Book Antiqua" w:hAnsi="Book Antiqua" w:cs="Book Antiqua"/>
          <w:bCs/>
          <w:color w:val="000000" w:themeColor="text1"/>
          <w:szCs w:val="24"/>
          <w:lang w:val="es-PR"/>
        </w:rPr>
        <w:t>i</w:t>
      </w:r>
      <w:r w:rsidRPr="001711E6">
        <w:rPr>
          <w:rFonts w:ascii="Book Antiqua" w:eastAsia="Book Antiqua" w:hAnsi="Book Antiqua" w:cs="Book Antiqua"/>
          <w:bCs/>
          <w:color w:val="000000" w:themeColor="text1"/>
          <w:szCs w:val="24"/>
          <w:lang w:val="es-PR"/>
        </w:rPr>
        <w:t xml:space="preserve">enda a este Honorable Cuerpo la aprobación del P. de la C. </w:t>
      </w:r>
      <w:r w:rsidR="009B02C7">
        <w:rPr>
          <w:rFonts w:ascii="Book Antiqua" w:eastAsia="Book Antiqua" w:hAnsi="Book Antiqua" w:cs="Book Antiqua"/>
          <w:bCs/>
          <w:color w:val="000000" w:themeColor="text1"/>
          <w:szCs w:val="24"/>
          <w:lang w:val="es-PR"/>
        </w:rPr>
        <w:t>17</w:t>
      </w:r>
      <w:r w:rsidR="00F169E1">
        <w:rPr>
          <w:rFonts w:ascii="Book Antiqua" w:eastAsia="Book Antiqua" w:hAnsi="Book Antiqua" w:cs="Book Antiqua"/>
          <w:bCs/>
          <w:color w:val="000000" w:themeColor="text1"/>
          <w:szCs w:val="24"/>
          <w:lang w:val="es-PR"/>
        </w:rPr>
        <w:t>3</w:t>
      </w:r>
      <w:r w:rsidR="00F0476A" w:rsidRPr="001711E6">
        <w:rPr>
          <w:rFonts w:ascii="Book Antiqua" w:eastAsia="Book Antiqua" w:hAnsi="Book Antiqua" w:cs="Book Antiqua"/>
          <w:bCs/>
          <w:color w:val="000000" w:themeColor="text1"/>
          <w:szCs w:val="24"/>
          <w:lang w:val="es-PR"/>
        </w:rPr>
        <w:t>, con las enmiendas en el entirillado electrónico que se acompaña junto al presente informe</w:t>
      </w:r>
      <w:r w:rsidR="00F17F1C" w:rsidRPr="001711E6">
        <w:rPr>
          <w:rFonts w:ascii="Book Antiqua" w:eastAsia="Book Antiqua" w:hAnsi="Book Antiqua" w:cs="Book Antiqua"/>
          <w:bCs/>
          <w:color w:val="000000" w:themeColor="text1"/>
          <w:szCs w:val="24"/>
          <w:lang w:val="es-PR"/>
        </w:rPr>
        <w:t>.</w:t>
      </w:r>
    </w:p>
    <w:p w14:paraId="3BE57315" w14:textId="5BD54F24" w:rsidR="004512E8" w:rsidRPr="001711E6" w:rsidRDefault="004512E8" w:rsidP="00010F97">
      <w:pPr>
        <w:spacing w:line="298" w:lineRule="auto"/>
        <w:ind w:firstLine="720"/>
        <w:jc w:val="both"/>
        <w:rPr>
          <w:rFonts w:ascii="Book Antiqua" w:eastAsia="Book Antiqua" w:hAnsi="Book Antiqua" w:cs="Book Antiqua"/>
          <w:bCs/>
          <w:color w:val="000000" w:themeColor="text1"/>
          <w:szCs w:val="24"/>
          <w:lang w:val="es-PR"/>
        </w:rPr>
      </w:pPr>
      <w:r w:rsidRPr="001711E6">
        <w:rPr>
          <w:rFonts w:ascii="Book Antiqua" w:eastAsia="Book Antiqua" w:hAnsi="Book Antiqua" w:cs="Book Antiqua"/>
          <w:bCs/>
          <w:color w:val="000000" w:themeColor="text1"/>
          <w:szCs w:val="24"/>
          <w:lang w:val="es-PR"/>
        </w:rPr>
        <w:t xml:space="preserve"> </w:t>
      </w:r>
    </w:p>
    <w:p w14:paraId="6C8FC9E5" w14:textId="572FADD8"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F169E1">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r w:rsidR="00F169E1">
        <w:rPr>
          <w:rFonts w:ascii="Book Antiqua" w:eastAsia="Book Antiqua" w:hAnsi="Book Antiqua" w:cs="Book Antiqua"/>
          <w:color w:val="000000" w:themeColor="text1"/>
          <w:szCs w:val="24"/>
          <w:lang w:val="es-PR"/>
        </w:rPr>
        <w:t xml:space="preserve"> ante esta Cámara de Representantes</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1711E6" w:rsidRDefault="0044722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José</w:t>
      </w:r>
      <w:r w:rsidR="00D60D6E" w:rsidRPr="001711E6">
        <w:rPr>
          <w:rFonts w:ascii="Book Antiqua" w:eastAsia="Book Antiqua" w:hAnsi="Book Antiqua" w:cs="Book Antiqua"/>
          <w:color w:val="000000" w:themeColor="text1"/>
          <w:szCs w:val="24"/>
          <w:lang w:val="es-PR"/>
        </w:rPr>
        <w:t xml:space="preserve"> J. </w:t>
      </w:r>
      <w:r w:rsidRPr="001711E6">
        <w:rPr>
          <w:rFonts w:ascii="Book Antiqua" w:eastAsia="Book Antiqua" w:hAnsi="Book Antiqua" w:cs="Book Antiqua"/>
          <w:color w:val="000000" w:themeColor="text1"/>
          <w:szCs w:val="24"/>
          <w:lang w:val="es-PR"/>
        </w:rPr>
        <w:t>Pérez</w:t>
      </w:r>
      <w:r w:rsidR="00D60D6E" w:rsidRPr="001711E6">
        <w:rPr>
          <w:rFonts w:ascii="Book Antiqua" w:eastAsia="Book Antiqua" w:hAnsi="Book Antiqua" w:cs="Book Antiqua"/>
          <w:color w:val="000000" w:themeColor="text1"/>
          <w:szCs w:val="24"/>
          <w:lang w:val="es-PR"/>
        </w:rPr>
        <w:t xml:space="preserve"> Cordero</w:t>
      </w:r>
      <w:r w:rsidR="003B38A4" w:rsidRPr="001711E6">
        <w:rPr>
          <w:rFonts w:ascii="Book Antiqua" w:eastAsia="Book Antiqua" w:hAnsi="Book Antiqua" w:cs="Book Antiqua"/>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3B6A5A42" w14:textId="4B031E30" w:rsidR="00F0476A" w:rsidRPr="001711E6" w:rsidRDefault="003B38A4" w:rsidP="00EA3579">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010F97">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sectPr w:rsidR="00F0476A" w:rsidRPr="001711E6"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C14A0" w14:textId="77777777" w:rsidR="007965B1" w:rsidRDefault="007965B1">
      <w:r>
        <w:separator/>
      </w:r>
    </w:p>
  </w:endnote>
  <w:endnote w:type="continuationSeparator" w:id="0">
    <w:p w14:paraId="01498893" w14:textId="77777777" w:rsidR="007965B1" w:rsidRDefault="00796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C8DBA" w14:textId="77777777" w:rsidR="007965B1" w:rsidRDefault="007965B1">
      <w:r>
        <w:separator/>
      </w:r>
    </w:p>
  </w:footnote>
  <w:footnote w:type="continuationSeparator" w:id="0">
    <w:p w14:paraId="39D9E7AB" w14:textId="77777777" w:rsidR="007965B1" w:rsidRDefault="007965B1">
      <w:r>
        <w:continuationSeparator/>
      </w:r>
    </w:p>
  </w:footnote>
  <w:footnote w:id="1">
    <w:p w14:paraId="413B4CFE" w14:textId="3CB4DB6E" w:rsidR="00382AD9" w:rsidRPr="00164E0B" w:rsidRDefault="00382AD9" w:rsidP="00382AD9">
      <w:pPr>
        <w:pStyle w:val="FootnoteText"/>
        <w:jc w:val="both"/>
        <w:rPr>
          <w:i/>
          <w:iCs/>
        </w:rPr>
      </w:pPr>
      <w:r w:rsidRPr="00164E0B">
        <w:rPr>
          <w:rStyle w:val="FootnoteReference"/>
        </w:rPr>
        <w:footnoteRef/>
      </w:r>
      <w:r w:rsidRPr="00164E0B">
        <w:t xml:space="preserve"> El P. de la C. 173 específicamente pretende recoger la determinación del Tribunal Supremo de Puerto Rico en </w:t>
      </w:r>
      <w:r w:rsidRPr="00164E0B">
        <w:rPr>
          <w:i/>
          <w:iCs/>
        </w:rPr>
        <w:t>Aut. Tierras v. Moreno &amp; Ruiz</w:t>
      </w:r>
      <w:r w:rsidRPr="00164E0B">
        <w:t xml:space="preserve">, 174 DPR 409 (2008). La normativa se recogería en una nueva Regla 57.5, renumerando las reglas siguientes. Por los fundamentos que más adelante se acompañan se recomienda también enmendar el Art. 677 del Código de Enjuiciamiento Civil para, a modo de contrarreferencia poder codificar esta norma de manera más completa. </w:t>
      </w:r>
    </w:p>
  </w:footnote>
  <w:footnote w:id="2">
    <w:p w14:paraId="0ABC75FE" w14:textId="637F6563" w:rsidR="00954C22" w:rsidRPr="00164E0B" w:rsidRDefault="00954C22" w:rsidP="00382AD9">
      <w:pPr>
        <w:pStyle w:val="FootnoteText"/>
        <w:jc w:val="both"/>
        <w:rPr>
          <w:rFonts w:asciiTheme="majorBidi" w:hAnsiTheme="majorBidi" w:cstheme="majorBidi"/>
        </w:rPr>
      </w:pPr>
      <w:r w:rsidRPr="00164E0B">
        <w:rPr>
          <w:rStyle w:val="FootnoteReference"/>
          <w:rFonts w:asciiTheme="majorBidi" w:hAnsiTheme="majorBidi" w:cstheme="majorBidi"/>
        </w:rPr>
        <w:footnoteRef/>
      </w:r>
      <w:r w:rsidRPr="00164E0B">
        <w:rPr>
          <w:rFonts w:asciiTheme="majorBidi" w:hAnsiTheme="majorBidi" w:cstheme="majorBidi"/>
        </w:rPr>
        <w:t xml:space="preserve"> El Proyecto de la Cámara 128</w:t>
      </w:r>
      <w:r w:rsidR="00382AD9" w:rsidRPr="00164E0B">
        <w:rPr>
          <w:rFonts w:asciiTheme="majorBidi" w:hAnsiTheme="majorBidi" w:cstheme="majorBidi"/>
        </w:rPr>
        <w:t>8</w:t>
      </w:r>
      <w:r w:rsidRPr="00164E0B">
        <w:rPr>
          <w:rFonts w:asciiTheme="majorBidi" w:hAnsiTheme="majorBidi" w:cstheme="majorBidi"/>
        </w:rPr>
        <w:t xml:space="preserve"> fue presentado por el</w:t>
      </w:r>
      <w:r w:rsidR="00AF449A" w:rsidRPr="00164E0B">
        <w:rPr>
          <w:rFonts w:asciiTheme="majorBidi" w:hAnsiTheme="majorBidi" w:cstheme="majorBidi"/>
        </w:rPr>
        <w:t xml:space="preserve"> compañero </w:t>
      </w:r>
      <w:r w:rsidRPr="00164E0B">
        <w:rPr>
          <w:rFonts w:asciiTheme="majorBidi" w:hAnsiTheme="majorBidi" w:cstheme="majorBidi"/>
          <w:i/>
          <w:iCs/>
        </w:rPr>
        <w:t>Torres Zamora</w:t>
      </w:r>
      <w:r w:rsidRPr="00164E0B">
        <w:rPr>
          <w:rFonts w:asciiTheme="majorBidi" w:hAnsiTheme="majorBidi" w:cstheme="majorBidi"/>
        </w:rPr>
        <w:t xml:space="preserve"> el 2 de noviembre de 2017. </w:t>
      </w:r>
    </w:p>
  </w:footnote>
  <w:footnote w:id="3">
    <w:p w14:paraId="4FDB00EE" w14:textId="1D22EE95" w:rsidR="00AF449A" w:rsidRPr="00164E0B" w:rsidRDefault="00AF449A" w:rsidP="00382AD9">
      <w:pPr>
        <w:pStyle w:val="FootnoteText"/>
        <w:jc w:val="both"/>
        <w:rPr>
          <w:rFonts w:asciiTheme="majorBidi" w:hAnsiTheme="majorBidi" w:cstheme="majorBidi"/>
        </w:rPr>
      </w:pPr>
      <w:r w:rsidRPr="00164E0B">
        <w:rPr>
          <w:rStyle w:val="FootnoteReference"/>
          <w:rFonts w:asciiTheme="majorBidi" w:hAnsiTheme="majorBidi" w:cstheme="majorBidi"/>
        </w:rPr>
        <w:footnoteRef/>
      </w:r>
      <w:r w:rsidRPr="00164E0B">
        <w:rPr>
          <w:rFonts w:asciiTheme="majorBidi" w:hAnsiTheme="majorBidi" w:cstheme="majorBidi"/>
        </w:rPr>
        <w:t xml:space="preserve"> Informe positivo, con enmiendas, presentado por la Comisión de lo Jurídico del 1</w:t>
      </w:r>
      <w:r w:rsidR="00382AD9" w:rsidRPr="00164E0B">
        <w:rPr>
          <w:rFonts w:asciiTheme="majorBidi" w:hAnsiTheme="majorBidi" w:cstheme="majorBidi"/>
        </w:rPr>
        <w:t>4</w:t>
      </w:r>
      <w:r w:rsidRPr="00164E0B">
        <w:rPr>
          <w:rFonts w:asciiTheme="majorBidi" w:hAnsiTheme="majorBidi" w:cstheme="majorBidi"/>
        </w:rPr>
        <w:t xml:space="preserve"> de </w:t>
      </w:r>
      <w:r w:rsidR="00382AD9" w:rsidRPr="00164E0B">
        <w:rPr>
          <w:rFonts w:asciiTheme="majorBidi" w:hAnsiTheme="majorBidi" w:cstheme="majorBidi"/>
        </w:rPr>
        <w:t>noviemb</w:t>
      </w:r>
      <w:r w:rsidRPr="00164E0B">
        <w:rPr>
          <w:rFonts w:asciiTheme="majorBidi" w:hAnsiTheme="majorBidi" w:cstheme="majorBidi"/>
        </w:rPr>
        <w:t>r</w:t>
      </w:r>
      <w:r w:rsidR="00382AD9" w:rsidRPr="00164E0B">
        <w:rPr>
          <w:rFonts w:asciiTheme="majorBidi" w:hAnsiTheme="majorBidi" w:cstheme="majorBidi"/>
        </w:rPr>
        <w:t>e</w:t>
      </w:r>
      <w:r w:rsidRPr="00164E0B">
        <w:rPr>
          <w:rFonts w:asciiTheme="majorBidi" w:hAnsiTheme="majorBidi" w:cstheme="majorBidi"/>
        </w:rPr>
        <w:t xml:space="preserve"> de 2019. </w:t>
      </w:r>
    </w:p>
  </w:footnote>
  <w:footnote w:id="4">
    <w:p w14:paraId="7C0ACB3D" w14:textId="29BA9103" w:rsidR="00164E0B" w:rsidRPr="00164E0B" w:rsidRDefault="00164E0B">
      <w:pPr>
        <w:pStyle w:val="FootnoteText"/>
      </w:pPr>
      <w:r w:rsidRPr="00164E0B">
        <w:rPr>
          <w:rStyle w:val="FootnoteReference"/>
        </w:rPr>
        <w:footnoteRef/>
      </w:r>
      <w:r w:rsidRPr="00164E0B">
        <w:t xml:space="preserve"> Citado Informe positiv</w:t>
      </w:r>
      <w:r w:rsidR="00712592">
        <w:t>o</w:t>
      </w:r>
      <w:r w:rsidRPr="00164E0B">
        <w:t xml:space="preserve">, Página 2. </w:t>
      </w:r>
    </w:p>
  </w:footnote>
  <w:footnote w:id="5">
    <w:p w14:paraId="0980AEAC" w14:textId="1A54DCEF" w:rsidR="00712592" w:rsidRPr="00712592" w:rsidRDefault="00712592">
      <w:pPr>
        <w:pStyle w:val="FootnoteText"/>
        <w:rPr>
          <w:lang w:val="es-ES"/>
        </w:rPr>
      </w:pPr>
      <w:r>
        <w:rPr>
          <w:rStyle w:val="FootnoteReference"/>
        </w:rPr>
        <w:footnoteRef/>
      </w:r>
      <w:r>
        <w:t xml:space="preserve"> </w:t>
      </w:r>
      <w:r w:rsidRPr="00164E0B">
        <w:t>Citado Informe positiv</w:t>
      </w:r>
      <w:r>
        <w:t>o</w:t>
      </w:r>
      <w:r w:rsidRPr="00164E0B">
        <w:t xml:space="preserve">, Página </w:t>
      </w:r>
      <w:r>
        <w:t xml:space="preserve">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60CBED30"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900740">
      <w:rPr>
        <w:rFonts w:ascii="Calibri" w:eastAsia="Calibri" w:hAnsi="Calibri"/>
        <w:b/>
        <w:i/>
        <w:sz w:val="22"/>
        <w:szCs w:val="22"/>
        <w:lang w:val="es-PR"/>
      </w:rPr>
      <w:t xml:space="preserve"> Positivo</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532F3A">
      <w:rPr>
        <w:rFonts w:ascii="Calibri" w:eastAsia="Calibri" w:hAnsi="Calibri"/>
        <w:b/>
        <w:i/>
        <w:sz w:val="22"/>
        <w:szCs w:val="22"/>
        <w:lang w:val="es-PR"/>
      </w:rPr>
      <w:t>1</w:t>
    </w:r>
    <w:r w:rsidR="00954C22">
      <w:rPr>
        <w:rFonts w:ascii="Calibri" w:eastAsia="Calibri" w:hAnsi="Calibri"/>
        <w:b/>
        <w:i/>
        <w:sz w:val="22"/>
        <w:szCs w:val="22"/>
        <w:lang w:val="es-PR"/>
      </w:rPr>
      <w:t>7</w:t>
    </w:r>
    <w:r w:rsidR="00382AD9">
      <w:rPr>
        <w:rFonts w:ascii="Calibri" w:eastAsia="Calibri" w:hAnsi="Calibri"/>
        <w:b/>
        <w:i/>
        <w:sz w:val="22"/>
        <w:szCs w:val="22"/>
        <w:lang w:val="es-PR"/>
      </w:rPr>
      <w:t>3</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0F97"/>
    <w:rsid w:val="00015228"/>
    <w:rsid w:val="000307E4"/>
    <w:rsid w:val="00041144"/>
    <w:rsid w:val="00042E4B"/>
    <w:rsid w:val="00050E9A"/>
    <w:rsid w:val="0009035A"/>
    <w:rsid w:val="000968F0"/>
    <w:rsid w:val="000A0600"/>
    <w:rsid w:val="000A4C87"/>
    <w:rsid w:val="000A5AF1"/>
    <w:rsid w:val="000B0D43"/>
    <w:rsid w:val="000B6B0E"/>
    <w:rsid w:val="000C66A9"/>
    <w:rsid w:val="000D2BDF"/>
    <w:rsid w:val="000D5F7E"/>
    <w:rsid w:val="000D68D0"/>
    <w:rsid w:val="000D68FC"/>
    <w:rsid w:val="000E5D36"/>
    <w:rsid w:val="000F67BD"/>
    <w:rsid w:val="001015D5"/>
    <w:rsid w:val="00101C99"/>
    <w:rsid w:val="001049CF"/>
    <w:rsid w:val="001070BB"/>
    <w:rsid w:val="001209AD"/>
    <w:rsid w:val="00126659"/>
    <w:rsid w:val="001311BA"/>
    <w:rsid w:val="00140F2B"/>
    <w:rsid w:val="00141605"/>
    <w:rsid w:val="00141703"/>
    <w:rsid w:val="0014554D"/>
    <w:rsid w:val="00153D68"/>
    <w:rsid w:val="001601C3"/>
    <w:rsid w:val="00164E0B"/>
    <w:rsid w:val="0017100B"/>
    <w:rsid w:val="001711E6"/>
    <w:rsid w:val="00171FDF"/>
    <w:rsid w:val="001A5A3D"/>
    <w:rsid w:val="001D5EE7"/>
    <w:rsid w:val="001D6791"/>
    <w:rsid w:val="001E4FEC"/>
    <w:rsid w:val="001E7C2B"/>
    <w:rsid w:val="001F5243"/>
    <w:rsid w:val="00203D0D"/>
    <w:rsid w:val="00206D79"/>
    <w:rsid w:val="00216AC7"/>
    <w:rsid w:val="00221403"/>
    <w:rsid w:val="00227846"/>
    <w:rsid w:val="0023302B"/>
    <w:rsid w:val="00256C0A"/>
    <w:rsid w:val="00275876"/>
    <w:rsid w:val="002864AF"/>
    <w:rsid w:val="002939AA"/>
    <w:rsid w:val="002A795A"/>
    <w:rsid w:val="002C5A4C"/>
    <w:rsid w:val="002D2AD0"/>
    <w:rsid w:val="002F16BF"/>
    <w:rsid w:val="0030144B"/>
    <w:rsid w:val="00304248"/>
    <w:rsid w:val="00320138"/>
    <w:rsid w:val="0032185C"/>
    <w:rsid w:val="003344C6"/>
    <w:rsid w:val="003361A3"/>
    <w:rsid w:val="0034229A"/>
    <w:rsid w:val="00342992"/>
    <w:rsid w:val="00354EC7"/>
    <w:rsid w:val="00364147"/>
    <w:rsid w:val="00371331"/>
    <w:rsid w:val="00382AD9"/>
    <w:rsid w:val="0038510E"/>
    <w:rsid w:val="00392CEF"/>
    <w:rsid w:val="00393ADF"/>
    <w:rsid w:val="003B06E7"/>
    <w:rsid w:val="003B38A4"/>
    <w:rsid w:val="003B3DEE"/>
    <w:rsid w:val="003D601E"/>
    <w:rsid w:val="003E4335"/>
    <w:rsid w:val="003E529E"/>
    <w:rsid w:val="003E6E10"/>
    <w:rsid w:val="003E7648"/>
    <w:rsid w:val="003F10BB"/>
    <w:rsid w:val="003F2674"/>
    <w:rsid w:val="00407674"/>
    <w:rsid w:val="0042168B"/>
    <w:rsid w:val="00424576"/>
    <w:rsid w:val="00431F68"/>
    <w:rsid w:val="00447224"/>
    <w:rsid w:val="004512E8"/>
    <w:rsid w:val="00451F27"/>
    <w:rsid w:val="004523CD"/>
    <w:rsid w:val="00452D84"/>
    <w:rsid w:val="00467CB0"/>
    <w:rsid w:val="004A1B30"/>
    <w:rsid w:val="004A5A18"/>
    <w:rsid w:val="004A6A4F"/>
    <w:rsid w:val="004B4977"/>
    <w:rsid w:val="004D28B0"/>
    <w:rsid w:val="004E356B"/>
    <w:rsid w:val="004E7F19"/>
    <w:rsid w:val="004F3AEE"/>
    <w:rsid w:val="004F4A0B"/>
    <w:rsid w:val="004F79AB"/>
    <w:rsid w:val="00516AB2"/>
    <w:rsid w:val="0052624F"/>
    <w:rsid w:val="00532F3A"/>
    <w:rsid w:val="005432C2"/>
    <w:rsid w:val="00566BF6"/>
    <w:rsid w:val="00582CE9"/>
    <w:rsid w:val="00584753"/>
    <w:rsid w:val="00591C6D"/>
    <w:rsid w:val="00592D59"/>
    <w:rsid w:val="005A1F13"/>
    <w:rsid w:val="005B19F7"/>
    <w:rsid w:val="005B42F2"/>
    <w:rsid w:val="005B69A9"/>
    <w:rsid w:val="005B750B"/>
    <w:rsid w:val="00602E29"/>
    <w:rsid w:val="00603FE4"/>
    <w:rsid w:val="00611979"/>
    <w:rsid w:val="00633335"/>
    <w:rsid w:val="006430D4"/>
    <w:rsid w:val="006620D1"/>
    <w:rsid w:val="0066649B"/>
    <w:rsid w:val="0069342C"/>
    <w:rsid w:val="00694718"/>
    <w:rsid w:val="006B2F9D"/>
    <w:rsid w:val="006B4F55"/>
    <w:rsid w:val="006E649B"/>
    <w:rsid w:val="006F6951"/>
    <w:rsid w:val="0070305E"/>
    <w:rsid w:val="00712592"/>
    <w:rsid w:val="00715AB6"/>
    <w:rsid w:val="00721820"/>
    <w:rsid w:val="007250C9"/>
    <w:rsid w:val="00733E40"/>
    <w:rsid w:val="00744264"/>
    <w:rsid w:val="0076029D"/>
    <w:rsid w:val="00760D00"/>
    <w:rsid w:val="007623FC"/>
    <w:rsid w:val="0077131A"/>
    <w:rsid w:val="00773FDD"/>
    <w:rsid w:val="0077444F"/>
    <w:rsid w:val="007761C9"/>
    <w:rsid w:val="00782A64"/>
    <w:rsid w:val="007842E6"/>
    <w:rsid w:val="0078548C"/>
    <w:rsid w:val="007965B1"/>
    <w:rsid w:val="007B257D"/>
    <w:rsid w:val="007B2F4F"/>
    <w:rsid w:val="007C5122"/>
    <w:rsid w:val="007D22F5"/>
    <w:rsid w:val="007D79C4"/>
    <w:rsid w:val="007E2AC1"/>
    <w:rsid w:val="007E6834"/>
    <w:rsid w:val="00801B1B"/>
    <w:rsid w:val="00802900"/>
    <w:rsid w:val="008142DA"/>
    <w:rsid w:val="008162A8"/>
    <w:rsid w:val="00821551"/>
    <w:rsid w:val="00822FEF"/>
    <w:rsid w:val="00826766"/>
    <w:rsid w:val="008270AA"/>
    <w:rsid w:val="008326DB"/>
    <w:rsid w:val="0083492B"/>
    <w:rsid w:val="00844E45"/>
    <w:rsid w:val="0085134D"/>
    <w:rsid w:val="00851E49"/>
    <w:rsid w:val="00862B38"/>
    <w:rsid w:val="008714C1"/>
    <w:rsid w:val="00877968"/>
    <w:rsid w:val="00887F45"/>
    <w:rsid w:val="008A268E"/>
    <w:rsid w:val="008B25F8"/>
    <w:rsid w:val="008B701E"/>
    <w:rsid w:val="008C1517"/>
    <w:rsid w:val="008F1AA4"/>
    <w:rsid w:val="00900740"/>
    <w:rsid w:val="0090114E"/>
    <w:rsid w:val="00910DF8"/>
    <w:rsid w:val="00926C28"/>
    <w:rsid w:val="009347CF"/>
    <w:rsid w:val="009412C4"/>
    <w:rsid w:val="00950E91"/>
    <w:rsid w:val="009535ED"/>
    <w:rsid w:val="00954C22"/>
    <w:rsid w:val="0097085B"/>
    <w:rsid w:val="00977DC2"/>
    <w:rsid w:val="00981289"/>
    <w:rsid w:val="009970E2"/>
    <w:rsid w:val="009971DC"/>
    <w:rsid w:val="009A6C55"/>
    <w:rsid w:val="009B02C7"/>
    <w:rsid w:val="009B56D7"/>
    <w:rsid w:val="009C2101"/>
    <w:rsid w:val="009D6D72"/>
    <w:rsid w:val="009E55BD"/>
    <w:rsid w:val="009E66CF"/>
    <w:rsid w:val="009F5A85"/>
    <w:rsid w:val="00A11658"/>
    <w:rsid w:val="00A1240D"/>
    <w:rsid w:val="00A22725"/>
    <w:rsid w:val="00A26824"/>
    <w:rsid w:val="00A45537"/>
    <w:rsid w:val="00A57025"/>
    <w:rsid w:val="00A77BD5"/>
    <w:rsid w:val="00A87BAA"/>
    <w:rsid w:val="00A87C62"/>
    <w:rsid w:val="00AA3A37"/>
    <w:rsid w:val="00AB3722"/>
    <w:rsid w:val="00AC3E49"/>
    <w:rsid w:val="00AE5181"/>
    <w:rsid w:val="00AF17B1"/>
    <w:rsid w:val="00AF449A"/>
    <w:rsid w:val="00AF76A9"/>
    <w:rsid w:val="00B16378"/>
    <w:rsid w:val="00B241A8"/>
    <w:rsid w:val="00B34F68"/>
    <w:rsid w:val="00B4018B"/>
    <w:rsid w:val="00B45797"/>
    <w:rsid w:val="00B51406"/>
    <w:rsid w:val="00B51DB1"/>
    <w:rsid w:val="00B55DDB"/>
    <w:rsid w:val="00B57898"/>
    <w:rsid w:val="00B62EFA"/>
    <w:rsid w:val="00B67472"/>
    <w:rsid w:val="00B85B25"/>
    <w:rsid w:val="00B9324A"/>
    <w:rsid w:val="00BA0B5D"/>
    <w:rsid w:val="00BC0B39"/>
    <w:rsid w:val="00BC108E"/>
    <w:rsid w:val="00BC32C8"/>
    <w:rsid w:val="00BD28BD"/>
    <w:rsid w:val="00BE2D33"/>
    <w:rsid w:val="00BF5BE0"/>
    <w:rsid w:val="00C17189"/>
    <w:rsid w:val="00C43FB3"/>
    <w:rsid w:val="00C50A72"/>
    <w:rsid w:val="00C53206"/>
    <w:rsid w:val="00C54AD6"/>
    <w:rsid w:val="00C87850"/>
    <w:rsid w:val="00C9100A"/>
    <w:rsid w:val="00CC1984"/>
    <w:rsid w:val="00CC26FF"/>
    <w:rsid w:val="00CC6626"/>
    <w:rsid w:val="00CE1153"/>
    <w:rsid w:val="00CE16EE"/>
    <w:rsid w:val="00CE2077"/>
    <w:rsid w:val="00CE54D8"/>
    <w:rsid w:val="00CE7486"/>
    <w:rsid w:val="00CF2FE6"/>
    <w:rsid w:val="00D00F5B"/>
    <w:rsid w:val="00D44A4A"/>
    <w:rsid w:val="00D50870"/>
    <w:rsid w:val="00D5157A"/>
    <w:rsid w:val="00D60D6E"/>
    <w:rsid w:val="00D60DA4"/>
    <w:rsid w:val="00D7288F"/>
    <w:rsid w:val="00D84FD0"/>
    <w:rsid w:val="00D85064"/>
    <w:rsid w:val="00D86F2E"/>
    <w:rsid w:val="00D93990"/>
    <w:rsid w:val="00D95C66"/>
    <w:rsid w:val="00DB6542"/>
    <w:rsid w:val="00DC2214"/>
    <w:rsid w:val="00DC2703"/>
    <w:rsid w:val="00DC738B"/>
    <w:rsid w:val="00DE5DAA"/>
    <w:rsid w:val="00DF7D86"/>
    <w:rsid w:val="00E05E49"/>
    <w:rsid w:val="00E271CF"/>
    <w:rsid w:val="00E31CEC"/>
    <w:rsid w:val="00E434BC"/>
    <w:rsid w:val="00E50D55"/>
    <w:rsid w:val="00E5593E"/>
    <w:rsid w:val="00E638A7"/>
    <w:rsid w:val="00E84C3D"/>
    <w:rsid w:val="00E94262"/>
    <w:rsid w:val="00E9522A"/>
    <w:rsid w:val="00E97D41"/>
    <w:rsid w:val="00EA3579"/>
    <w:rsid w:val="00EB5319"/>
    <w:rsid w:val="00EB6C32"/>
    <w:rsid w:val="00EC7D5C"/>
    <w:rsid w:val="00F0476A"/>
    <w:rsid w:val="00F169E1"/>
    <w:rsid w:val="00F17F1C"/>
    <w:rsid w:val="00F248D5"/>
    <w:rsid w:val="00F25FE5"/>
    <w:rsid w:val="00F41AC8"/>
    <w:rsid w:val="00F52F26"/>
    <w:rsid w:val="00F53669"/>
    <w:rsid w:val="00F66656"/>
    <w:rsid w:val="00F75150"/>
    <w:rsid w:val="00F82809"/>
    <w:rsid w:val="00F91378"/>
    <w:rsid w:val="00F91B1D"/>
    <w:rsid w:val="00F9450C"/>
    <w:rsid w:val="00FA1532"/>
    <w:rsid w:val="00FD6179"/>
    <w:rsid w:val="00FE1B6F"/>
    <w:rsid w:val="00FE6C72"/>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1753156564">
              <w:marLeft w:val="0"/>
              <w:marRight w:val="0"/>
              <w:marTop w:val="0"/>
              <w:marBottom w:val="0"/>
              <w:divBdr>
                <w:top w:val="none" w:sz="0" w:space="0" w:color="auto"/>
                <w:left w:val="none" w:sz="0" w:space="0" w:color="auto"/>
                <w:bottom w:val="none" w:sz="0" w:space="0" w:color="auto"/>
                <w:right w:val="none" w:sz="0" w:space="0" w:color="auto"/>
              </w:divBdr>
            </w:div>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96529427">
              <w:marLeft w:val="0"/>
              <w:marRight w:val="0"/>
              <w:marTop w:val="0"/>
              <w:marBottom w:val="0"/>
              <w:divBdr>
                <w:top w:val="none" w:sz="0" w:space="0" w:color="auto"/>
                <w:left w:val="none" w:sz="0" w:space="0" w:color="auto"/>
                <w:bottom w:val="none" w:sz="0" w:space="0" w:color="auto"/>
                <w:right w:val="none" w:sz="0" w:space="0" w:color="auto"/>
              </w:divBdr>
            </w:div>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1247</Words>
  <Characters>7114</Characters>
  <Application>Microsoft Office Word</Application>
  <DocSecurity>0</DocSecurity>
  <Lines>59</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Victor E. Vélez Cucuta</cp:lastModifiedBy>
  <cp:revision>3</cp:revision>
  <cp:lastPrinted>2025-02-26T14:29:00Z</cp:lastPrinted>
  <dcterms:created xsi:type="dcterms:W3CDTF">2025-04-23T18:39:00Z</dcterms:created>
  <dcterms:modified xsi:type="dcterms:W3CDTF">2025-04-23T18:42:00Z</dcterms:modified>
</cp:coreProperties>
</file>