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428B1" w14:textId="77777777" w:rsidR="001F3A33" w:rsidRPr="001F3A33" w:rsidRDefault="001F3A33" w:rsidP="001F3A3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1F3A33">
        <w:rPr>
          <w:rFonts w:ascii="Book Antiqua" w:hAnsi="Book Antiqua"/>
          <w:b/>
          <w:bCs/>
          <w:lang w:val="es-PR"/>
        </w:rPr>
        <w:t>(TEXTO DE APROBACIÓN FINAL POR LA CÁMARA)</w:t>
      </w:r>
      <w:r w:rsidRPr="001F3A33">
        <w:fldChar w:fldCharType="begin"/>
      </w:r>
      <w:r w:rsidRPr="001F3A33">
        <w:rPr>
          <w:rFonts w:ascii="Book Antiqua" w:hAnsi="Book Antiqua"/>
          <w:b/>
          <w:bCs/>
          <w:lang w:val="es-PR"/>
        </w:rPr>
        <w:instrText xml:space="preserve">PRIVATE </w:instrText>
      </w:r>
      <w:r w:rsidRPr="001F3A33">
        <w:fldChar w:fldCharType="end"/>
      </w:r>
    </w:p>
    <w:p w14:paraId="4A39C4EC" w14:textId="77777777" w:rsidR="001F3A33" w:rsidRPr="001F3A33" w:rsidRDefault="001F3A33" w:rsidP="001F3A3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1F3A33">
        <w:rPr>
          <w:rFonts w:ascii="Book Antiqua" w:hAnsi="Book Antiqua"/>
          <w:b/>
          <w:bCs/>
          <w:lang w:val="es-PR"/>
        </w:rPr>
        <w:t>(28 DE ABRIL DE 2025)</w:t>
      </w:r>
    </w:p>
    <w:p w14:paraId="25447B89" w14:textId="77777777" w:rsidR="001F3A33" w:rsidRPr="001F3A33" w:rsidRDefault="001F3A33" w:rsidP="001F3A3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 w:rsidRPr="001F3A33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F43FC87" wp14:editId="7E3BA50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2753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D778D71" w14:textId="06613B0F" w:rsidR="00B30ECA" w:rsidRPr="00BD1B29" w:rsidRDefault="00962739" w:rsidP="00962739">
      <w:pPr>
        <w:ind w:firstLine="720"/>
        <w:jc w:val="center"/>
        <w:rPr>
          <w:rFonts w:ascii="Book Antiqua" w:hAnsi="Book Antiqua"/>
          <w:sz w:val="28"/>
          <w:szCs w:val="28"/>
          <w:lang w:val="es-PR"/>
        </w:rPr>
      </w:pPr>
      <w:r w:rsidRPr="00026D38">
        <w:rPr>
          <w:rFonts w:ascii="Book Antiqua" w:hAnsi="Book Antiqua"/>
          <w:spacing w:val="12"/>
          <w:sz w:val="28"/>
          <w:szCs w:val="28"/>
          <w:lang w:val="es-PR"/>
        </w:rPr>
        <w:t>GOBIERNO</w:t>
      </w:r>
      <w:r w:rsidR="00BD1B29" w:rsidRPr="00026D38">
        <w:rPr>
          <w:rFonts w:ascii="Book Antiqua" w:hAnsi="Book Antiqua"/>
          <w:spacing w:val="12"/>
          <w:sz w:val="28"/>
          <w:szCs w:val="28"/>
          <w:lang w:val="es-PR"/>
        </w:rPr>
        <w:t xml:space="preserve"> DE</w:t>
      </w:r>
      <w:r w:rsidR="00B30ECA" w:rsidRPr="00026D38">
        <w:rPr>
          <w:rFonts w:ascii="Book Antiqua" w:hAnsi="Book Antiqua"/>
          <w:spacing w:val="12"/>
          <w:sz w:val="28"/>
          <w:szCs w:val="28"/>
          <w:lang w:val="es-PR"/>
        </w:rPr>
        <w:t xml:space="preserve"> PUERTO RICO</w:t>
      </w:r>
    </w:p>
    <w:p w14:paraId="2E7A0E08" w14:textId="77777777" w:rsidR="00B30ECA" w:rsidRPr="00862B43" w:rsidRDefault="00B30ECA" w:rsidP="00B30ECA">
      <w:pPr>
        <w:suppressLineNumbers/>
        <w:tabs>
          <w:tab w:val="center" w:pos="4680"/>
        </w:tabs>
        <w:jc w:val="center"/>
        <w:rPr>
          <w:rFonts w:ascii="Book Antiqua" w:hAnsi="Book Antiqua"/>
          <w:lang w:val="es-PR"/>
        </w:rPr>
      </w:pPr>
    </w:p>
    <w:p w14:paraId="1B79048D" w14:textId="2A986642" w:rsidR="00B30ECA" w:rsidRPr="00862B43" w:rsidRDefault="00962739" w:rsidP="00B30ECA">
      <w:pPr>
        <w:suppressLineNumbers/>
        <w:tabs>
          <w:tab w:val="left" w:pos="756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</w:t>
      </w:r>
      <w:r w:rsidR="00B30ECA">
        <w:rPr>
          <w:rFonts w:ascii="Book Antiqua" w:hAnsi="Book Antiqua"/>
          <w:lang w:val="es-PR"/>
        </w:rPr>
        <w:t>. Asamblea</w:t>
      </w:r>
      <w:r w:rsidR="00B30ECA">
        <w:rPr>
          <w:rFonts w:ascii="Book Antiqua" w:hAnsi="Book Antiqua"/>
          <w:lang w:val="es-PR"/>
        </w:rPr>
        <w:tab/>
        <w:t xml:space="preserve">    </w:t>
      </w:r>
      <w:r w:rsidR="00BD1B29">
        <w:rPr>
          <w:rFonts w:ascii="Book Antiqua" w:hAnsi="Book Antiqua"/>
          <w:lang w:val="es-PR"/>
        </w:rPr>
        <w:t>1r</w:t>
      </w:r>
      <w:r w:rsidR="00B30ECA">
        <w:rPr>
          <w:rFonts w:ascii="Book Antiqua" w:hAnsi="Book Antiqua"/>
          <w:lang w:val="es-PR"/>
        </w:rPr>
        <w:t>a.</w:t>
      </w:r>
      <w:r w:rsidR="00B30ECA" w:rsidRPr="00862B43">
        <w:rPr>
          <w:rFonts w:ascii="Book Antiqua" w:hAnsi="Book Antiqua"/>
          <w:lang w:val="es-PR"/>
        </w:rPr>
        <w:t xml:space="preserve"> Sesión </w:t>
      </w:r>
    </w:p>
    <w:p w14:paraId="0CB05F2E" w14:textId="5F21A6DA" w:rsidR="00B30ECA" w:rsidRPr="00862B43" w:rsidRDefault="00B30ECA" w:rsidP="00B30ECA">
      <w:pPr>
        <w:suppressLineNumbers/>
        <w:tabs>
          <w:tab w:val="left" w:pos="8100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Legislativa</w:t>
      </w:r>
      <w:proofErr w:type="gramStart"/>
      <w:r>
        <w:rPr>
          <w:rFonts w:ascii="Book Antiqua" w:hAnsi="Book Antiqua"/>
          <w:lang w:val="es-PR"/>
        </w:rPr>
        <w:tab/>
        <w:t xml:space="preserve">  O</w:t>
      </w:r>
      <w:r w:rsidRPr="00862B43">
        <w:rPr>
          <w:rFonts w:ascii="Book Antiqua" w:hAnsi="Book Antiqua"/>
          <w:lang w:val="es-PR"/>
        </w:rPr>
        <w:t>rdinaria</w:t>
      </w:r>
      <w:proofErr w:type="gramEnd"/>
    </w:p>
    <w:p w14:paraId="654025E6" w14:textId="77777777" w:rsidR="00B30ECA" w:rsidRPr="00862B43" w:rsidRDefault="00B30ECA" w:rsidP="00B30ECA">
      <w:pPr>
        <w:suppressLineNumbers/>
        <w:rPr>
          <w:rFonts w:ascii="Book Antiqua" w:hAnsi="Book Antiqua"/>
          <w:lang w:val="es-PR"/>
        </w:rPr>
      </w:pPr>
      <w:r w:rsidRPr="00862B43">
        <w:rPr>
          <w:rFonts w:ascii="Book Antiqua" w:hAnsi="Book Antiqua"/>
          <w:lang w:val="es-PR"/>
        </w:rPr>
        <w:t xml:space="preserve">       </w:t>
      </w:r>
    </w:p>
    <w:p w14:paraId="68FADF9D" w14:textId="77777777" w:rsidR="00B30ECA" w:rsidRPr="00026D38" w:rsidRDefault="00B30ECA" w:rsidP="00B30ECA">
      <w:pPr>
        <w:pStyle w:val="NoSpacing"/>
        <w:suppressLineNumbers/>
        <w:jc w:val="center"/>
        <w:rPr>
          <w:rFonts w:ascii="Book Antiqua" w:hAnsi="Book Antiqua"/>
          <w:b/>
          <w:spacing w:val="12"/>
          <w:sz w:val="36"/>
          <w:szCs w:val="36"/>
        </w:rPr>
      </w:pPr>
      <w:r w:rsidRPr="00026D38">
        <w:rPr>
          <w:rFonts w:ascii="Book Antiqua" w:hAnsi="Book Antiqua"/>
          <w:b/>
          <w:spacing w:val="12"/>
          <w:sz w:val="36"/>
          <w:szCs w:val="36"/>
        </w:rPr>
        <w:t>CÁMARA DE REPRESENTANTES</w:t>
      </w:r>
    </w:p>
    <w:p w14:paraId="7B617BEC" w14:textId="77777777" w:rsidR="00B30ECA" w:rsidRPr="00682F00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65DC1088" w14:textId="28DF18D3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862B43">
        <w:rPr>
          <w:rFonts w:ascii="Book Antiqua" w:hAnsi="Book Antiqua"/>
          <w:b/>
          <w:sz w:val="52"/>
          <w:szCs w:val="52"/>
        </w:rPr>
        <w:t xml:space="preserve">P. de la C. </w:t>
      </w:r>
      <w:r w:rsidR="007B4F82">
        <w:rPr>
          <w:rFonts w:ascii="Book Antiqua" w:hAnsi="Book Antiqua"/>
          <w:b/>
          <w:sz w:val="52"/>
          <w:szCs w:val="52"/>
        </w:rPr>
        <w:t>173</w:t>
      </w:r>
    </w:p>
    <w:p w14:paraId="46731EBA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496E9FEF" w14:textId="44C59380" w:rsidR="00B30ECA" w:rsidRPr="00862B43" w:rsidRDefault="007B4F82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9 </w:t>
      </w:r>
      <w:r w:rsidR="00962739">
        <w:rPr>
          <w:rFonts w:ascii="Book Antiqua" w:hAnsi="Book Antiqua"/>
          <w:sz w:val="24"/>
          <w:szCs w:val="24"/>
        </w:rPr>
        <w:t>DE ENERO DE 2025</w:t>
      </w:r>
    </w:p>
    <w:p w14:paraId="33FA6FEA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i/>
          <w:sz w:val="24"/>
          <w:szCs w:val="24"/>
        </w:rPr>
      </w:pPr>
    </w:p>
    <w:p w14:paraId="29A4208D" w14:textId="77777777" w:rsidR="00B30ECA" w:rsidRPr="00862B43" w:rsidRDefault="00B30ECA" w:rsidP="00B30ECA">
      <w:pPr>
        <w:pStyle w:val="NoSpacing"/>
        <w:suppressLineNumbers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Presentado por el</w:t>
      </w:r>
      <w:r w:rsidRPr="00862B43">
        <w:rPr>
          <w:rFonts w:ascii="Book Antiqua" w:hAnsi="Book Antiqua"/>
          <w:sz w:val="24"/>
          <w:szCs w:val="24"/>
        </w:rPr>
        <w:t xml:space="preserve"> rep</w:t>
      </w:r>
      <w:r>
        <w:rPr>
          <w:rFonts w:ascii="Book Antiqua" w:hAnsi="Book Antiqua"/>
          <w:sz w:val="24"/>
          <w:szCs w:val="24"/>
        </w:rPr>
        <w:t>resentante</w:t>
      </w:r>
      <w:r>
        <w:rPr>
          <w:rFonts w:ascii="Book Antiqua" w:hAnsi="Book Antiqua"/>
          <w:i/>
          <w:sz w:val="24"/>
          <w:szCs w:val="24"/>
        </w:rPr>
        <w:t xml:space="preserve"> Torres Zamora</w:t>
      </w:r>
    </w:p>
    <w:p w14:paraId="18819213" w14:textId="77777777" w:rsidR="00B30ECA" w:rsidRPr="00862B43" w:rsidRDefault="00B30ECA" w:rsidP="00B30ECA">
      <w:pPr>
        <w:pStyle w:val="NoSpacing"/>
        <w:suppressLineNumbers/>
        <w:ind w:left="360" w:hanging="360"/>
        <w:jc w:val="both"/>
        <w:rPr>
          <w:rFonts w:ascii="Book Antiqua" w:hAnsi="Book Antiqua"/>
          <w:sz w:val="24"/>
          <w:szCs w:val="24"/>
        </w:rPr>
      </w:pPr>
    </w:p>
    <w:p w14:paraId="3DCD9601" w14:textId="104737E5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i/>
          <w:sz w:val="24"/>
        </w:rPr>
      </w:pPr>
      <w:r w:rsidRPr="00862B43">
        <w:rPr>
          <w:rFonts w:ascii="Book Antiqua" w:hAnsi="Book Antiqua"/>
          <w:sz w:val="24"/>
          <w:szCs w:val="24"/>
        </w:rPr>
        <w:t xml:space="preserve">Referido a </w:t>
      </w:r>
      <w:r>
        <w:rPr>
          <w:rFonts w:ascii="Book Antiqua" w:hAnsi="Book Antiqua"/>
          <w:sz w:val="24"/>
          <w:szCs w:val="24"/>
        </w:rPr>
        <w:t xml:space="preserve">la </w:t>
      </w:r>
      <w:r w:rsidRPr="00862B43">
        <w:rPr>
          <w:rFonts w:ascii="Book Antiqua" w:hAnsi="Book Antiqua"/>
          <w:sz w:val="24"/>
          <w:szCs w:val="24"/>
        </w:rPr>
        <w:t xml:space="preserve">Comisión </w:t>
      </w:r>
      <w:r w:rsidR="00C26BD6">
        <w:rPr>
          <w:rFonts w:ascii="Book Antiqua" w:hAnsi="Book Antiqua"/>
          <w:sz w:val="24"/>
          <w:szCs w:val="24"/>
        </w:rPr>
        <w:t>de</w:t>
      </w:r>
      <w:r w:rsidR="008721C1">
        <w:rPr>
          <w:rFonts w:ascii="Book Antiqua" w:hAnsi="Book Antiqua"/>
          <w:sz w:val="24"/>
          <w:szCs w:val="24"/>
        </w:rPr>
        <w:t xml:space="preserve"> lo Jurídico</w:t>
      </w:r>
    </w:p>
    <w:p w14:paraId="1300798F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14442A95" w14:textId="77777777" w:rsidR="00B30ECA" w:rsidRPr="00A317B2" w:rsidRDefault="00B30ECA" w:rsidP="00B30ECA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A317B2">
        <w:rPr>
          <w:rFonts w:ascii="Book Antiqua" w:hAnsi="Book Antiqua"/>
          <w:b/>
          <w:sz w:val="28"/>
          <w:szCs w:val="28"/>
        </w:rPr>
        <w:t>LEY</w:t>
      </w:r>
    </w:p>
    <w:p w14:paraId="1622627C" w14:textId="77777777" w:rsidR="001417A5" w:rsidRPr="00792D0C" w:rsidRDefault="001417A5" w:rsidP="001417A5">
      <w:pPr>
        <w:jc w:val="center"/>
        <w:rPr>
          <w:rFonts w:ascii="Book Antiqua" w:hAnsi="Book Antiqua"/>
          <w:lang w:val="es-PR"/>
        </w:rPr>
      </w:pPr>
    </w:p>
    <w:p w14:paraId="4028E60B" w14:textId="006ED1AE" w:rsidR="001417A5" w:rsidRPr="00792D0C" w:rsidRDefault="007C77EE" w:rsidP="00C26BD6">
      <w:pPr>
        <w:pStyle w:val="BodyTextIndent3"/>
        <w:spacing w:after="0"/>
        <w:ind w:left="567" w:hanging="567"/>
        <w:jc w:val="both"/>
        <w:rPr>
          <w:rFonts w:ascii="Book Antiqua" w:hAnsi="Book Antiqua"/>
          <w:sz w:val="24"/>
          <w:szCs w:val="24"/>
        </w:rPr>
      </w:pPr>
      <w:r w:rsidRPr="00682F00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D1F96" w:rsidRPr="00682F00">
        <w:rPr>
          <w:rFonts w:ascii="Book Antiqua" w:hAnsi="Book Antiqua"/>
          <w:sz w:val="24"/>
          <w:szCs w:val="24"/>
          <w:lang w:val="es-ES_tradnl"/>
        </w:rPr>
        <w:t xml:space="preserve">añadir una nueva </w:t>
      </w:r>
      <w:r w:rsidRPr="00682F00">
        <w:rPr>
          <w:rFonts w:ascii="Book Antiqua" w:hAnsi="Book Antiqua"/>
          <w:sz w:val="24"/>
          <w:szCs w:val="24"/>
          <w:lang w:val="es-ES_tradnl"/>
        </w:rPr>
        <w:t>Regla</w:t>
      </w:r>
      <w:r w:rsidR="00792D0C" w:rsidRPr="00682F00">
        <w:rPr>
          <w:rFonts w:ascii="Book Antiqua" w:hAnsi="Book Antiqua"/>
          <w:sz w:val="24"/>
          <w:szCs w:val="24"/>
          <w:lang w:val="es-ES_tradnl"/>
        </w:rPr>
        <w:t xml:space="preserve"> 57.</w:t>
      </w:r>
      <w:r w:rsidR="00BA2682" w:rsidRPr="00682F00">
        <w:rPr>
          <w:rFonts w:ascii="Book Antiqua" w:hAnsi="Book Antiqua"/>
          <w:sz w:val="24"/>
          <w:szCs w:val="24"/>
          <w:lang w:val="es-ES_tradnl"/>
        </w:rPr>
        <w:t>5</w:t>
      </w:r>
      <w:r w:rsidR="00AB3183" w:rsidRPr="00682F00">
        <w:rPr>
          <w:rFonts w:ascii="Book Antiqua" w:hAnsi="Book Antiqua"/>
          <w:sz w:val="24"/>
          <w:szCs w:val="24"/>
        </w:rPr>
        <w:t xml:space="preserve"> y renumerar las actuales Reglas </w:t>
      </w:r>
      <w:r w:rsidR="00BA2682" w:rsidRPr="00682F00">
        <w:rPr>
          <w:rFonts w:ascii="Book Antiqua" w:hAnsi="Book Antiqua"/>
          <w:sz w:val="24"/>
          <w:szCs w:val="24"/>
        </w:rPr>
        <w:t>57.5, 57.6 y 57.7</w:t>
      </w:r>
      <w:r w:rsidR="00AB3183" w:rsidRPr="00682F00">
        <w:rPr>
          <w:rFonts w:ascii="Book Antiqua" w:hAnsi="Book Antiqua"/>
          <w:sz w:val="24"/>
          <w:szCs w:val="24"/>
        </w:rPr>
        <w:t xml:space="preserve"> como Reglas </w:t>
      </w:r>
      <w:r w:rsidR="00EB1D7C" w:rsidRPr="00682F00">
        <w:rPr>
          <w:rFonts w:ascii="Book Antiqua" w:hAnsi="Book Antiqua"/>
          <w:sz w:val="24"/>
          <w:szCs w:val="24"/>
        </w:rPr>
        <w:t>57.6, 57.7 y 57.8 de</w:t>
      </w:r>
      <w:r w:rsidR="001417A5" w:rsidRPr="00682F0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92D0C" w:rsidRPr="00682F00">
        <w:rPr>
          <w:rFonts w:ascii="Book Antiqua" w:hAnsi="Book Antiqua"/>
          <w:sz w:val="24"/>
          <w:szCs w:val="24"/>
          <w:lang w:val="es-ES_tradnl"/>
        </w:rPr>
        <w:t xml:space="preserve">las de </w:t>
      </w:r>
      <w:r w:rsidR="001417A5" w:rsidRPr="00682F00">
        <w:rPr>
          <w:rFonts w:ascii="Book Antiqua" w:hAnsi="Book Antiqua"/>
          <w:sz w:val="24"/>
          <w:szCs w:val="24"/>
          <w:lang w:val="es-ES_tradnl"/>
        </w:rPr>
        <w:t xml:space="preserve">Procedimiento Civil de </w:t>
      </w:r>
      <w:r w:rsidR="00792D0C" w:rsidRPr="00682F00">
        <w:rPr>
          <w:rFonts w:ascii="Book Antiqua" w:hAnsi="Book Antiqua"/>
          <w:sz w:val="24"/>
          <w:szCs w:val="24"/>
          <w:lang w:val="es-ES_tradnl"/>
        </w:rPr>
        <w:t>Puerto Rico</w:t>
      </w:r>
      <w:r w:rsidR="001417A5" w:rsidRPr="00682F00">
        <w:rPr>
          <w:rFonts w:ascii="Book Antiqua" w:hAnsi="Book Antiqua"/>
          <w:sz w:val="24"/>
          <w:szCs w:val="24"/>
          <w:lang w:val="es-ES_tradnl"/>
        </w:rPr>
        <w:t>, según enmendada</w:t>
      </w:r>
      <w:r w:rsidR="00792D0C" w:rsidRPr="00682F00">
        <w:rPr>
          <w:rFonts w:ascii="Book Antiqua" w:hAnsi="Book Antiqua"/>
          <w:sz w:val="24"/>
          <w:szCs w:val="24"/>
          <w:lang w:val="es-ES_tradnl"/>
        </w:rPr>
        <w:t>s</w:t>
      </w:r>
      <w:r w:rsidR="00696106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231C9" w:rsidRPr="00682F00">
        <w:rPr>
          <w:rFonts w:ascii="Book Antiqua" w:hAnsi="Book Antiqua"/>
          <w:sz w:val="24"/>
          <w:szCs w:val="24"/>
          <w:lang w:val="es-ES_tradnl"/>
        </w:rPr>
        <w:t>enmendar el Artículo 677 del Código de Enjuiciamiento Civil de 1933, según enmendado,</w:t>
      </w:r>
      <w:r w:rsidR="001417A5" w:rsidRPr="00682F00">
        <w:rPr>
          <w:rFonts w:ascii="Book Antiqua" w:hAnsi="Book Antiqua"/>
          <w:sz w:val="24"/>
          <w:szCs w:val="24"/>
          <w:lang w:val="es-ES_tradnl"/>
        </w:rPr>
        <w:t xml:space="preserve"> </w:t>
      </w:r>
      <w:bookmarkStart w:id="1" w:name="_Hlk195956316"/>
      <w:r w:rsidR="001417A5" w:rsidRPr="00682F00">
        <w:rPr>
          <w:rFonts w:ascii="Book Antiqua" w:hAnsi="Book Antiqua"/>
          <w:sz w:val="24"/>
          <w:szCs w:val="24"/>
          <w:lang w:val="es-ES_tradnl"/>
        </w:rPr>
        <w:t xml:space="preserve">a los fines de </w:t>
      </w:r>
      <w:r w:rsidR="00AB3183" w:rsidRPr="00682F00">
        <w:rPr>
          <w:rFonts w:ascii="Book Antiqua" w:hAnsi="Book Antiqua"/>
          <w:sz w:val="24"/>
          <w:szCs w:val="24"/>
          <w:lang w:val="es-ES_tradnl"/>
        </w:rPr>
        <w:t>armonizar su lenguaje con la jurisprudencia del Tribunal</w:t>
      </w:r>
      <w:r w:rsidR="00AB3183" w:rsidRPr="00AB3183">
        <w:rPr>
          <w:rFonts w:ascii="Book Antiqua" w:hAnsi="Book Antiqua"/>
          <w:sz w:val="24"/>
          <w:szCs w:val="24"/>
          <w:lang w:val="es-ES_tradnl"/>
        </w:rPr>
        <w:t xml:space="preserve"> Supremo y disponer </w:t>
      </w:r>
      <w:r w:rsidR="00AB3183">
        <w:rPr>
          <w:rFonts w:ascii="Book Antiqua" w:hAnsi="Book Antiqua"/>
          <w:sz w:val="24"/>
          <w:szCs w:val="24"/>
          <w:lang w:val="es-ES_tradnl"/>
        </w:rPr>
        <w:t>los criterios que deberá considerar el tribunal antes de e</w:t>
      </w:r>
      <w:r w:rsidR="000B4CF1">
        <w:rPr>
          <w:rFonts w:ascii="Book Antiqua" w:hAnsi="Book Antiqua"/>
          <w:sz w:val="24"/>
          <w:szCs w:val="24"/>
          <w:lang w:val="es-ES_tradnl"/>
        </w:rPr>
        <w:t>xpedir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un </w:t>
      </w:r>
      <w:proofErr w:type="spellStart"/>
      <w:r w:rsidRPr="00AB3183">
        <w:rPr>
          <w:rFonts w:ascii="Book Antiqua" w:hAnsi="Book Antiqua"/>
          <w:i/>
          <w:sz w:val="24"/>
          <w:szCs w:val="24"/>
          <w:lang w:val="es-ES_tradnl"/>
        </w:rPr>
        <w:t>injunction</w:t>
      </w:r>
      <w:proofErr w:type="spellEnd"/>
      <w:r w:rsidRPr="00792D0C">
        <w:rPr>
          <w:rFonts w:ascii="Book Antiqua" w:hAnsi="Book Antiqua"/>
          <w:sz w:val="24"/>
          <w:szCs w:val="24"/>
          <w:lang w:val="es-ES_tradnl"/>
        </w:rPr>
        <w:t xml:space="preserve"> permanente</w:t>
      </w:r>
      <w:bookmarkEnd w:id="1"/>
      <w:r w:rsidR="00E460A9" w:rsidRPr="00792D0C">
        <w:rPr>
          <w:rFonts w:ascii="Book Antiqua" w:hAnsi="Book Antiqua"/>
          <w:sz w:val="24"/>
          <w:szCs w:val="24"/>
          <w:lang w:val="es-ES_tradnl"/>
        </w:rPr>
        <w:t>;</w:t>
      </w:r>
      <w:r w:rsidR="003231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>y para otros fines</w:t>
      </w:r>
      <w:r w:rsidR="004446A0">
        <w:rPr>
          <w:rFonts w:ascii="Book Antiqua" w:hAnsi="Book Antiqua"/>
          <w:sz w:val="24"/>
          <w:szCs w:val="24"/>
          <w:lang w:val="es-ES_tradnl"/>
        </w:rPr>
        <w:t xml:space="preserve"> relacionados</w:t>
      </w:r>
      <w:r w:rsidR="001417A5" w:rsidRPr="00792D0C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C0E1A45" w14:textId="77777777" w:rsidR="001417A5" w:rsidRPr="00792D0C" w:rsidRDefault="001417A5" w:rsidP="001417A5">
      <w:pPr>
        <w:pStyle w:val="BodyTextIndent3"/>
        <w:tabs>
          <w:tab w:val="left" w:pos="5565"/>
        </w:tabs>
        <w:spacing w:after="0"/>
        <w:ind w:left="720" w:hanging="720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</w:rPr>
        <w:tab/>
      </w:r>
      <w:r w:rsidRPr="00792D0C">
        <w:rPr>
          <w:rFonts w:ascii="Book Antiqua" w:hAnsi="Book Antiqua"/>
          <w:sz w:val="24"/>
          <w:szCs w:val="24"/>
        </w:rPr>
        <w:tab/>
      </w:r>
    </w:p>
    <w:p w14:paraId="4412C6F2" w14:textId="77777777" w:rsidR="001417A5" w:rsidRPr="00FA332F" w:rsidRDefault="001417A5" w:rsidP="001417A5">
      <w:pPr>
        <w:pStyle w:val="Heading3"/>
        <w:spacing w:before="0" w:after="0"/>
        <w:jc w:val="center"/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</w:pPr>
      <w:r w:rsidRPr="00FA332F"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  <w:t>EXPOSICIÓN DE MOTIVOS</w:t>
      </w:r>
    </w:p>
    <w:p w14:paraId="1F6711C0" w14:textId="77777777" w:rsidR="001417A5" w:rsidRPr="00792D0C" w:rsidRDefault="005B35EB" w:rsidP="005B35EB">
      <w:pPr>
        <w:tabs>
          <w:tab w:val="left" w:pos="4170"/>
        </w:tabs>
        <w:jc w:val="both"/>
        <w:rPr>
          <w:rFonts w:ascii="Book Antiqua" w:hAnsi="Book Antiqua"/>
          <w:lang w:val="es-PR"/>
        </w:rPr>
      </w:pPr>
      <w:r w:rsidRPr="00792D0C">
        <w:rPr>
          <w:rFonts w:ascii="Book Antiqua" w:hAnsi="Book Antiqua"/>
          <w:lang w:val="es-PR"/>
        </w:rPr>
        <w:tab/>
      </w:r>
    </w:p>
    <w:p w14:paraId="5020B270" w14:textId="77777777" w:rsidR="00EC7090" w:rsidRPr="00CC3C25" w:rsidRDefault="00EC7090" w:rsidP="00C26BD6">
      <w:pPr>
        <w:autoSpaceDE w:val="0"/>
        <w:autoSpaceDN w:val="0"/>
        <w:adjustRightInd w:val="0"/>
        <w:ind w:firstLine="567"/>
        <w:jc w:val="both"/>
        <w:rPr>
          <w:rFonts w:ascii="Book Antiqua" w:eastAsiaTheme="minorHAnsi" w:hAnsi="Book Antiqua" w:cs="Century"/>
          <w:i/>
          <w:u w:val="single"/>
          <w:lang w:val="es-PR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 de las</w:t>
      </w:r>
      <w:r w:rsidR="005B35EB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L.P.R.A. Ap. V, R. 57, </w:t>
      </w:r>
      <w:r w:rsidR="00CC3C25" w:rsidRPr="00776D14">
        <w:rPr>
          <w:rFonts w:ascii="Book Antiqua" w:eastAsiaTheme="minorHAnsi" w:hAnsi="Book Antiqua" w:cs="Century"/>
          <w:lang w:val="es-PR"/>
        </w:rPr>
        <w:t>y los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Artículos 675 al 687 del Código de Enjuiciamiento Civil,</w:t>
      </w:r>
      <w:r w:rsidRPr="00F621AB">
        <w:rPr>
          <w:rFonts w:ascii="Book Antiqua" w:hAnsi="Book Antiqua"/>
          <w:i/>
          <w:strike/>
          <w:color w:val="000000"/>
          <w:shd w:val="clear" w:color="auto" w:fill="FFFFFF"/>
          <w:lang w:val="es-PR"/>
        </w:rPr>
        <w:t xml:space="preserve"> </w:t>
      </w:r>
      <w:r w:rsidRPr="00F621AB">
        <w:rPr>
          <w:rFonts w:ascii="Book Antiqua" w:hAnsi="Book Antiqua"/>
          <w:color w:val="000000"/>
          <w:shd w:val="clear" w:color="auto" w:fill="FFFFFF"/>
          <w:lang w:val="es-PR"/>
        </w:rPr>
        <w:t>32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L.P.R.A. </w:t>
      </w:r>
      <w:proofErr w:type="spellStart"/>
      <w:r>
        <w:rPr>
          <w:rFonts w:ascii="Book Antiqua" w:hAnsi="Book Antiqua"/>
          <w:color w:val="000000"/>
          <w:shd w:val="clear" w:color="auto" w:fill="FFFFFF"/>
          <w:lang w:val="es-PR"/>
        </w:rPr>
        <w:t>secs</w:t>
      </w:r>
      <w:proofErr w:type="spellEnd"/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. 3521, </w:t>
      </w:r>
      <w:r>
        <w:rPr>
          <w:rFonts w:ascii="Book Antiqua" w:hAnsi="Book Antiqua"/>
          <w:i/>
          <w:color w:val="000000"/>
          <w:shd w:val="clear" w:color="auto" w:fill="FFFFFF"/>
          <w:lang w:val="es-PR"/>
        </w:rPr>
        <w:t xml:space="preserve">et </w:t>
      </w:r>
      <w:proofErr w:type="spellStart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seq</w:t>
      </w:r>
      <w:proofErr w:type="spellEnd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, son las disposiciones de ley que rigen el recurso del </w:t>
      </w:r>
      <w:proofErr w:type="spellStart"/>
      <w:r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en nuestro ordenamiento.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 La Regla 57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="0014038D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supra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establece las tres modalidades de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, entiéndase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: (i) el entredicho provisional;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(</w:t>
      </w:r>
      <w:proofErr w:type="spellStart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ii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) el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preliminar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,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y (</w:t>
      </w:r>
      <w:proofErr w:type="spellStart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iii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) el </w:t>
      </w:r>
      <w:proofErr w:type="spellStart"/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</w:p>
    <w:p w14:paraId="116A5BAA" w14:textId="77777777" w:rsidR="008F4B8F" w:rsidRDefault="008F4B8F" w:rsidP="00C26BD6">
      <w:pPr>
        <w:ind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5203E6A9" w14:textId="313A5E52" w:rsidR="00100391" w:rsidRDefault="008F4B8F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57.3</w:t>
      </w:r>
      <w:r w:rsidRPr="008F4B8F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32 LPRA Ap. V, R. 57.3, provee los criterios que el tribunal deberá considerar al determinar </w:t>
      </w:r>
      <w:r w:rsidR="00CC3C25" w:rsidRPr="00776D14">
        <w:rPr>
          <w:rFonts w:ascii="Book Antiqua" w:eastAsiaTheme="minorHAnsi" w:hAnsi="Book Antiqua" w:cs="Century"/>
          <w:lang w:val="es-PR"/>
        </w:rPr>
        <w:t>si se concede o no un entredicho provisional o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proofErr w:type="spellStart"/>
      <w:r w:rsidR="00CC3C25" w:rsidRPr="00776D14">
        <w:rPr>
          <w:rFonts w:ascii="Book Antiqua" w:eastAsiaTheme="minorHAnsi" w:hAnsi="Book Antiqua" w:cs="Century"/>
          <w:i/>
          <w:lang w:val="es-PR"/>
        </w:rPr>
        <w:t>injunction</w:t>
      </w:r>
      <w:proofErr w:type="spellEnd"/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prelimina</w:t>
      </w:r>
      <w:r w:rsidR="00ED0A48">
        <w:rPr>
          <w:rFonts w:ascii="Book Antiqua" w:eastAsiaTheme="minorHAnsi" w:hAnsi="Book Antiqua" w:cs="Century"/>
          <w:lang w:val="es-PR"/>
        </w:rPr>
        <w:t>r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Un examen de las reglas revela, sin embargo, que en las mismas no se recogen aquellos parámetros que el foro judicial deberá evaluar al </w:t>
      </w:r>
      <w:r w:rsidR="009E3B47">
        <w:rPr>
          <w:rFonts w:ascii="Book Antiqua" w:hAnsi="Book Antiqua"/>
          <w:color w:val="000000"/>
          <w:shd w:val="clear" w:color="auto" w:fill="FFFFFF"/>
          <w:lang w:val="es-PR"/>
        </w:rPr>
        <w:t>emitir el recurso de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proofErr w:type="spellStart"/>
      <w:r w:rsidR="007307D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proofErr w:type="spellEnd"/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  <w:r w:rsidR="00533286"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533286" w:rsidRPr="005E0ACB">
        <w:rPr>
          <w:rFonts w:ascii="Book Antiqua" w:hAnsi="Book Antiqua"/>
          <w:lang w:val="es-ES_tradnl"/>
        </w:rPr>
        <w:t xml:space="preserve">No obstante, el Tribunal Supremo </w:t>
      </w:r>
      <w:r w:rsidR="00533286" w:rsidRPr="005E0ACB">
        <w:rPr>
          <w:rFonts w:ascii="Book Antiqua" w:hAnsi="Book Antiqua"/>
          <w:lang w:val="es-ES_tradnl"/>
        </w:rPr>
        <w:lastRenderedPageBreak/>
        <w:t xml:space="preserve">de Puerto Rico ha </w:t>
      </w:r>
      <w:r w:rsidR="00533286">
        <w:rPr>
          <w:rFonts w:ascii="Book Antiqua" w:hAnsi="Book Antiqua"/>
          <w:lang w:val="es-ES_tradnl"/>
        </w:rPr>
        <w:t xml:space="preserve">dispuesto </w:t>
      </w:r>
      <w:r w:rsidR="00533286" w:rsidRPr="005E0ACB">
        <w:rPr>
          <w:rFonts w:ascii="Book Antiqua" w:hAnsi="Book Antiqua"/>
          <w:lang w:val="es-ES_tradnl"/>
        </w:rPr>
        <w:t xml:space="preserve">jurisprudencialmente </w:t>
      </w:r>
      <w:r w:rsidR="00533286">
        <w:rPr>
          <w:rFonts w:ascii="Book Antiqua" w:hAnsi="Book Antiqua"/>
          <w:lang w:val="es-ES_tradnl"/>
        </w:rPr>
        <w:t xml:space="preserve">aquellos factores que el </w:t>
      </w:r>
      <w:r w:rsidR="008D3679">
        <w:rPr>
          <w:rFonts w:ascii="Book Antiqua" w:hAnsi="Book Antiqua"/>
          <w:lang w:val="es-ES_tradnl"/>
        </w:rPr>
        <w:t>tribunal</w:t>
      </w:r>
      <w:r w:rsidR="00533286">
        <w:rPr>
          <w:rFonts w:ascii="Book Antiqua" w:hAnsi="Book Antiqua"/>
          <w:lang w:val="es-ES_tradnl"/>
        </w:rPr>
        <w:t xml:space="preserve"> debe atender al momento de expedir o no un </w:t>
      </w:r>
      <w:proofErr w:type="spellStart"/>
      <w:r w:rsidR="00533286">
        <w:rPr>
          <w:rFonts w:ascii="Book Antiqua" w:hAnsi="Book Antiqua"/>
          <w:i/>
          <w:lang w:val="es-ES_tradnl"/>
        </w:rPr>
        <w:t>injunction</w:t>
      </w:r>
      <w:proofErr w:type="spellEnd"/>
      <w:r w:rsidR="00533286">
        <w:rPr>
          <w:rFonts w:ascii="Book Antiqua" w:hAnsi="Book Antiqua"/>
          <w:i/>
          <w:lang w:val="es-ES_tradnl"/>
        </w:rPr>
        <w:t xml:space="preserve"> </w:t>
      </w:r>
      <w:r w:rsidR="00533286">
        <w:rPr>
          <w:rFonts w:ascii="Book Antiqua" w:hAnsi="Book Antiqua"/>
          <w:lang w:val="es-ES_tradnl"/>
        </w:rPr>
        <w:t>permanente.</w:t>
      </w:r>
    </w:p>
    <w:p w14:paraId="3C12DBC9" w14:textId="71AB41B0" w:rsidR="00533286" w:rsidRPr="005E0ACB" w:rsidRDefault="00533286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 w:rsidRPr="005E0ACB">
        <w:rPr>
          <w:rFonts w:ascii="Book Antiqua" w:hAnsi="Book Antiqua"/>
          <w:lang w:val="es-ES_tradnl"/>
        </w:rPr>
        <w:t xml:space="preserve"> </w:t>
      </w:r>
    </w:p>
    <w:p w14:paraId="3A867B32" w14:textId="6F43376C" w:rsidR="00533286" w:rsidRPr="005E0ACB" w:rsidRDefault="00533286" w:rsidP="00C26BD6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Conforme a</w:t>
      </w:r>
      <w:r w:rsidRPr="005E0ACB">
        <w:rPr>
          <w:rFonts w:ascii="Book Antiqua" w:hAnsi="Book Antiqua"/>
          <w:lang w:val="es-ES_tradnl"/>
        </w:rPr>
        <w:t xml:space="preserve"> la interpretación </w:t>
      </w:r>
      <w:r>
        <w:rPr>
          <w:rFonts w:ascii="Book Antiqua" w:hAnsi="Book Antiqua"/>
          <w:lang w:val="es-ES_tradnl"/>
        </w:rPr>
        <w:t>de nuestro Máximo Foro en</w:t>
      </w:r>
      <w:r w:rsidRPr="007A763D">
        <w:rPr>
          <w:rFonts w:ascii="Book Antiqua" w:hAnsi="Book Antiqua"/>
          <w:i/>
          <w:lang w:val="es-ES_tradnl"/>
        </w:rPr>
        <w:t xml:space="preserve"> </w:t>
      </w:r>
      <w:proofErr w:type="spellStart"/>
      <w:r w:rsidRPr="00792D0C">
        <w:rPr>
          <w:rFonts w:ascii="Book Antiqua" w:hAnsi="Book Antiqua"/>
          <w:i/>
          <w:lang w:val="es-ES_tradnl"/>
        </w:rPr>
        <w:t>Aut</w:t>
      </w:r>
      <w:proofErr w:type="spellEnd"/>
      <w:r>
        <w:rPr>
          <w:rFonts w:ascii="Book Antiqua" w:hAnsi="Book Antiqua"/>
          <w:i/>
          <w:lang w:val="es-ES_tradnl"/>
        </w:rPr>
        <w:t xml:space="preserve">. </w:t>
      </w:r>
      <w:r w:rsidRPr="00792D0C">
        <w:rPr>
          <w:rFonts w:ascii="Book Antiqua" w:hAnsi="Book Antiqua"/>
          <w:i/>
          <w:lang w:val="es-ES_tradnl"/>
        </w:rPr>
        <w:t>Tierras v. Moreno</w:t>
      </w:r>
      <w:r>
        <w:rPr>
          <w:rFonts w:ascii="Book Antiqua" w:hAnsi="Book Antiqua"/>
          <w:i/>
          <w:lang w:val="es-ES_tradnl"/>
        </w:rPr>
        <w:t xml:space="preserve"> &amp; Ruiz</w:t>
      </w:r>
      <w:r w:rsidRPr="0031335D">
        <w:rPr>
          <w:rFonts w:ascii="Book Antiqua" w:hAnsi="Book Antiqua"/>
          <w:lang w:val="es-ES_tradnl"/>
        </w:rPr>
        <w:t>, 174 DPR 409 (2008), esta Asamblea Legislativa considera</w:t>
      </w:r>
      <w:r>
        <w:rPr>
          <w:rFonts w:ascii="Book Antiqua" w:hAnsi="Book Antiqua"/>
          <w:lang w:val="es-ES_tradnl"/>
        </w:rPr>
        <w:t xml:space="preserve"> </w:t>
      </w:r>
      <w:r w:rsidRPr="005E0ACB">
        <w:rPr>
          <w:rFonts w:ascii="Book Antiqua" w:hAnsi="Book Antiqua"/>
          <w:lang w:val="es-ES_tradnl"/>
        </w:rPr>
        <w:t xml:space="preserve">necesario </w:t>
      </w:r>
      <w:r>
        <w:rPr>
          <w:rFonts w:ascii="Book Antiqua" w:hAnsi="Book Antiqua"/>
          <w:lang w:val="es-ES_tradnl"/>
        </w:rPr>
        <w:t>añadir una nueva Regla 57.</w:t>
      </w:r>
      <w:r w:rsidR="007C77DC">
        <w:rPr>
          <w:rFonts w:ascii="Book Antiqua" w:hAnsi="Book Antiqua"/>
          <w:lang w:val="es-ES_tradnl"/>
        </w:rPr>
        <w:t>5</w:t>
      </w:r>
      <w:r>
        <w:rPr>
          <w:rFonts w:ascii="Book Antiqua" w:hAnsi="Book Antiqua"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en la que se recojan los factores que el foro judicial deberá evaluar al emitir o no un </w:t>
      </w:r>
      <w:proofErr w:type="spellStart"/>
      <w:r w:rsidR="008D3679">
        <w:rPr>
          <w:rFonts w:ascii="Book Antiqua" w:hAnsi="Book Antiqua"/>
          <w:i/>
          <w:lang w:val="es-ES_tradnl"/>
        </w:rPr>
        <w:t>injunction</w:t>
      </w:r>
      <w:proofErr w:type="spellEnd"/>
      <w:r w:rsidR="008D3679">
        <w:rPr>
          <w:rFonts w:ascii="Book Antiqua" w:hAnsi="Book Antiqua"/>
          <w:i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permanente, ello </w:t>
      </w:r>
      <w:r>
        <w:rPr>
          <w:rFonts w:ascii="Book Antiqua" w:hAnsi="Book Antiqua"/>
          <w:lang w:val="es-ES_tradnl"/>
        </w:rPr>
        <w:t xml:space="preserve">acorde con la jurisprudencia, a fin de </w:t>
      </w:r>
      <w:r w:rsidR="003231C9" w:rsidRPr="00682F00">
        <w:rPr>
          <w:rFonts w:ascii="Book Antiqua" w:hAnsi="Book Antiqua"/>
          <w:lang w:val="es-ES_tradnl"/>
        </w:rPr>
        <w:t xml:space="preserve">evitar </w:t>
      </w:r>
      <w:r w:rsidRPr="005E0ACB">
        <w:rPr>
          <w:rFonts w:ascii="Book Antiqua" w:hAnsi="Book Antiqua"/>
          <w:lang w:val="es-ES_tradnl"/>
        </w:rPr>
        <w:t xml:space="preserve">cualquier confusión ulterior. </w:t>
      </w:r>
    </w:p>
    <w:p w14:paraId="54310A73" w14:textId="77777777" w:rsidR="001417A5" w:rsidRPr="00792D0C" w:rsidRDefault="001417A5" w:rsidP="00BD1B29">
      <w:pPr>
        <w:ind w:firstLine="720"/>
        <w:jc w:val="both"/>
        <w:rPr>
          <w:rFonts w:ascii="Book Antiqua" w:hAnsi="Book Antiqua" w:cs="Arial"/>
          <w:color w:val="000000"/>
          <w:spacing w:val="8"/>
          <w:shd w:val="clear" w:color="auto" w:fill="FFFFFF"/>
          <w:lang w:val="es-PR"/>
        </w:rPr>
      </w:pPr>
    </w:p>
    <w:p w14:paraId="786ABD15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i/>
          <w:lang w:val="es-ES_tradnl"/>
        </w:rPr>
      </w:pPr>
      <w:r w:rsidRPr="00792D0C">
        <w:rPr>
          <w:rFonts w:ascii="Book Antiqua" w:hAnsi="Book Antiqua"/>
          <w:bCs/>
          <w:i/>
          <w:lang w:val="es-ES_tradnl"/>
        </w:rPr>
        <w:t>DECRÉTASE POR LA ASAMBLEA LEGISLATIVA DE PUERTO RICO:</w:t>
      </w:r>
    </w:p>
    <w:p w14:paraId="31E4D0A1" w14:textId="77777777" w:rsidR="001417A5" w:rsidRPr="00792D0C" w:rsidRDefault="001417A5" w:rsidP="00B51505">
      <w:pPr>
        <w:spacing w:line="480" w:lineRule="auto"/>
        <w:jc w:val="both"/>
        <w:rPr>
          <w:rFonts w:ascii="Book Antiqua" w:hAnsi="Book Antiqua"/>
          <w:bCs/>
          <w:lang w:val="es-ES_tradnl"/>
        </w:rPr>
        <w:sectPr w:rsidR="001417A5" w:rsidRPr="00792D0C" w:rsidSect="00C244B3">
          <w:headerReference w:type="even" r:id="rId8"/>
          <w:head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32249006" w14:textId="2A549C0F" w:rsidR="001417A5" w:rsidRPr="00682F00" w:rsidRDefault="00ED0A48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Sección </w:t>
      </w:r>
      <w:r w:rsidR="001417A5" w:rsidRPr="00682F00">
        <w:rPr>
          <w:rFonts w:ascii="Book Antiqua" w:hAnsi="Book Antiqua"/>
          <w:lang w:val="es-ES_tradnl"/>
        </w:rPr>
        <w:t xml:space="preserve">1.-Se </w:t>
      </w:r>
      <w:r w:rsidR="004D1F96" w:rsidRPr="00682F00">
        <w:rPr>
          <w:rFonts w:ascii="Book Antiqua" w:hAnsi="Book Antiqua"/>
          <w:lang w:val="es-ES_tradnl"/>
        </w:rPr>
        <w:t>añade una nueva</w:t>
      </w:r>
      <w:r w:rsidR="001417A5" w:rsidRPr="00682F00">
        <w:rPr>
          <w:rFonts w:ascii="Book Antiqua" w:hAnsi="Book Antiqua"/>
          <w:lang w:val="es-ES_tradnl"/>
        </w:rPr>
        <w:t xml:space="preserve"> Regla </w:t>
      </w:r>
      <w:r w:rsidR="00B43584" w:rsidRPr="00682F00">
        <w:rPr>
          <w:rFonts w:ascii="Book Antiqua" w:hAnsi="Book Antiqua"/>
          <w:lang w:val="es-ES_tradnl"/>
        </w:rPr>
        <w:t>57.</w:t>
      </w:r>
      <w:r w:rsidR="00F5405A" w:rsidRPr="00682F00">
        <w:rPr>
          <w:rFonts w:ascii="Book Antiqua" w:hAnsi="Book Antiqua"/>
          <w:lang w:val="es-ES_tradnl"/>
        </w:rPr>
        <w:t>5</w:t>
      </w:r>
      <w:r w:rsidR="00270BE8" w:rsidRPr="00682F00">
        <w:rPr>
          <w:rFonts w:ascii="Book Antiqua" w:hAnsi="Book Antiqua"/>
          <w:lang w:val="es-ES_tradnl"/>
        </w:rPr>
        <w:t xml:space="preserve"> </w:t>
      </w:r>
      <w:r w:rsidR="004D1F96" w:rsidRPr="00682F00">
        <w:rPr>
          <w:rFonts w:ascii="Book Antiqua" w:hAnsi="Book Antiqua"/>
          <w:lang w:val="es-ES_tradnl"/>
        </w:rPr>
        <w:t>a</w:t>
      </w:r>
      <w:r w:rsidR="001417A5" w:rsidRPr="00682F00">
        <w:rPr>
          <w:rFonts w:ascii="Book Antiqua" w:hAnsi="Book Antiqua"/>
          <w:lang w:val="es-ES_tradnl"/>
        </w:rPr>
        <w:t xml:space="preserve"> las de Procedimiento Civil</w:t>
      </w:r>
      <w:r w:rsidR="00792D0C" w:rsidRPr="00682F00">
        <w:rPr>
          <w:rFonts w:ascii="Book Antiqua" w:hAnsi="Book Antiqua"/>
          <w:lang w:val="es-ES_tradnl"/>
        </w:rPr>
        <w:t xml:space="preserve"> de Puerto Rico</w:t>
      </w:r>
      <w:r w:rsidR="001417A5" w:rsidRPr="00682F00">
        <w:rPr>
          <w:rFonts w:ascii="Book Antiqua" w:hAnsi="Book Antiqua"/>
          <w:lang w:val="es-ES_tradnl"/>
        </w:rPr>
        <w:t>, según enmendada</w:t>
      </w:r>
      <w:r w:rsidR="00792D0C" w:rsidRPr="00682F00">
        <w:rPr>
          <w:rFonts w:ascii="Book Antiqua" w:hAnsi="Book Antiqua"/>
          <w:lang w:val="es-ES_tradnl"/>
        </w:rPr>
        <w:t>s</w:t>
      </w:r>
      <w:r w:rsidR="001417A5" w:rsidRPr="00682F00">
        <w:rPr>
          <w:rFonts w:ascii="Book Antiqua" w:hAnsi="Book Antiqua"/>
          <w:lang w:val="es-ES_tradnl"/>
        </w:rPr>
        <w:t xml:space="preserve">, para que </w:t>
      </w:r>
      <w:r w:rsidR="00792D0C" w:rsidRPr="00682F00">
        <w:rPr>
          <w:rFonts w:ascii="Book Antiqua" w:hAnsi="Book Antiqua"/>
          <w:lang w:val="es-ES_tradnl"/>
        </w:rPr>
        <w:t xml:space="preserve">se </w:t>
      </w:r>
      <w:r w:rsidR="001417A5" w:rsidRPr="00682F00">
        <w:rPr>
          <w:rFonts w:ascii="Book Antiqua" w:hAnsi="Book Antiqua"/>
          <w:lang w:val="es-ES_tradnl"/>
        </w:rPr>
        <w:t xml:space="preserve">lea como sigue: </w:t>
      </w:r>
    </w:p>
    <w:p w14:paraId="3FB6005C" w14:textId="77777777" w:rsidR="001417A5" w:rsidRPr="00682F00" w:rsidRDefault="001417A5" w:rsidP="00C26BD6">
      <w:pPr>
        <w:spacing w:line="480" w:lineRule="auto"/>
        <w:ind w:left="2160"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“</w:t>
      </w:r>
      <w:r w:rsidR="00792D0C" w:rsidRPr="00682F00">
        <w:rPr>
          <w:rFonts w:ascii="Book Antiqua" w:hAnsi="Book Antiqua"/>
          <w:bCs/>
          <w:caps/>
          <w:lang w:val="es-ES_tradnl"/>
        </w:rPr>
        <w:t>R</w:t>
      </w:r>
      <w:r w:rsidR="00792D0C" w:rsidRPr="00682F00">
        <w:rPr>
          <w:rFonts w:ascii="Book Antiqua" w:hAnsi="Book Antiqua"/>
          <w:bCs/>
          <w:lang w:val="es-ES_tradnl"/>
        </w:rPr>
        <w:t>egla</w:t>
      </w:r>
      <w:r w:rsidRPr="00682F00">
        <w:rPr>
          <w:rFonts w:ascii="Book Antiqua" w:hAnsi="Book Antiqua"/>
          <w:bCs/>
          <w:caps/>
          <w:lang w:val="es-ES_tradnl"/>
        </w:rPr>
        <w:t xml:space="preserve"> </w:t>
      </w:r>
      <w:r w:rsidR="00F5405A" w:rsidRPr="00682F00">
        <w:rPr>
          <w:rFonts w:ascii="Book Antiqua" w:hAnsi="Book Antiqua"/>
          <w:bCs/>
          <w:caps/>
          <w:lang w:val="es-ES_tradnl"/>
        </w:rPr>
        <w:t>57.5</w:t>
      </w:r>
      <w:r w:rsidRPr="00682F00">
        <w:rPr>
          <w:rFonts w:ascii="Book Antiqua" w:hAnsi="Book Antiqua"/>
          <w:bCs/>
          <w:caps/>
          <w:lang w:val="es-ES_tradnl"/>
        </w:rPr>
        <w:t xml:space="preserve">. </w:t>
      </w:r>
      <w:r w:rsidR="007C77EE" w:rsidRPr="00682F00">
        <w:rPr>
          <w:rFonts w:ascii="Book Antiqua" w:hAnsi="Book Antiqua"/>
          <w:lang w:val="es-PR"/>
        </w:rPr>
        <w:t>Criterios para expedir un</w:t>
      </w:r>
      <w:r w:rsidR="00AC5977" w:rsidRPr="00682F00">
        <w:rPr>
          <w:rFonts w:ascii="Book Antiqua" w:hAnsi="Book Antiqua"/>
          <w:lang w:val="es-PR"/>
        </w:rPr>
        <w:t xml:space="preserve"> </w:t>
      </w:r>
      <w:proofErr w:type="spellStart"/>
      <w:r w:rsidR="007C77EE" w:rsidRPr="00682F00">
        <w:rPr>
          <w:rFonts w:ascii="Book Antiqua" w:hAnsi="Book Antiqua"/>
          <w:lang w:val="es-PR"/>
        </w:rPr>
        <w:t>injunction</w:t>
      </w:r>
      <w:proofErr w:type="spellEnd"/>
      <w:r w:rsidR="007C77EE" w:rsidRPr="00682F00">
        <w:rPr>
          <w:rFonts w:ascii="Book Antiqua" w:hAnsi="Book Antiqua"/>
          <w:lang w:val="es-PR"/>
        </w:rPr>
        <w:t xml:space="preserve"> permanente</w:t>
      </w:r>
      <w:r w:rsidRPr="00682F00">
        <w:rPr>
          <w:rFonts w:ascii="Book Antiqua" w:hAnsi="Book Antiqua"/>
          <w:lang w:val="es-ES"/>
        </w:rPr>
        <w:t>.</w:t>
      </w:r>
    </w:p>
    <w:p w14:paraId="44389C84" w14:textId="77777777" w:rsidR="00A21A55" w:rsidRPr="00682F00" w:rsidRDefault="007C77EE" w:rsidP="00C26BD6">
      <w:pPr>
        <w:spacing w:line="480" w:lineRule="auto"/>
        <w:ind w:left="1440" w:firstLine="567"/>
        <w:jc w:val="both"/>
        <w:rPr>
          <w:rFonts w:ascii="Book Antiqua" w:hAnsi="Book Antiqua"/>
          <w:lang w:val="es-PR"/>
        </w:rPr>
      </w:pPr>
      <w:r w:rsidRPr="00682F00">
        <w:rPr>
          <w:rFonts w:ascii="Book Antiqua" w:hAnsi="Book Antiqua"/>
          <w:lang w:val="es-PR"/>
        </w:rPr>
        <w:t>Al decidir si expide un</w:t>
      </w:r>
      <w:r w:rsidR="004D1F96" w:rsidRPr="00682F00">
        <w:rPr>
          <w:rFonts w:ascii="Book Antiqua" w:hAnsi="Book Antiqua"/>
          <w:lang w:val="es-PR"/>
        </w:rPr>
        <w:t xml:space="preserve"> </w:t>
      </w:r>
      <w:proofErr w:type="spellStart"/>
      <w:r w:rsidR="004D1F96" w:rsidRPr="00682F00">
        <w:rPr>
          <w:rFonts w:ascii="Book Antiqua" w:hAnsi="Book Antiqua"/>
          <w:lang w:val="es-PR"/>
        </w:rPr>
        <w:t>injunction</w:t>
      </w:r>
      <w:proofErr w:type="spellEnd"/>
      <w:r w:rsidR="004D1F96" w:rsidRPr="00682F00">
        <w:rPr>
          <w:rFonts w:ascii="Book Antiqua" w:hAnsi="Book Antiqua"/>
          <w:lang w:val="es-PR"/>
        </w:rPr>
        <w:t xml:space="preserve"> permanente</w:t>
      </w:r>
      <w:r w:rsidRPr="00682F00">
        <w:rPr>
          <w:rFonts w:ascii="Book Antiqua" w:hAnsi="Book Antiqua"/>
          <w:lang w:val="es-PR"/>
        </w:rPr>
        <w:t xml:space="preserve">, el tribunal deberá considerar, entre otros, los </w:t>
      </w:r>
      <w:r w:rsidR="004D1F96" w:rsidRPr="00682F00">
        <w:rPr>
          <w:rFonts w:ascii="Book Antiqua" w:hAnsi="Book Antiqua"/>
          <w:lang w:val="es-PR"/>
        </w:rPr>
        <w:t xml:space="preserve">criterios </w:t>
      </w:r>
      <w:r w:rsidRPr="00682F00">
        <w:rPr>
          <w:rFonts w:ascii="Book Antiqua" w:hAnsi="Book Antiqua"/>
          <w:lang w:val="es-PR"/>
        </w:rPr>
        <w:t xml:space="preserve">siguientes: </w:t>
      </w:r>
      <w:r w:rsidR="00A21A55" w:rsidRPr="00682F00">
        <w:rPr>
          <w:rFonts w:ascii="Book Antiqua" w:hAnsi="Book Antiqua"/>
          <w:lang w:val="es-ES_tradnl"/>
        </w:rPr>
        <w:t xml:space="preserve"> </w:t>
      </w:r>
    </w:p>
    <w:p w14:paraId="4AD95EA7" w14:textId="77777777" w:rsidR="00A21A55" w:rsidRPr="00682F00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(a</w:t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si el demandante ha prevalecido en un juicio en sus méritos; </w:t>
      </w:r>
    </w:p>
    <w:p w14:paraId="1010F953" w14:textId="77777777" w:rsidR="00A21A55" w:rsidRPr="00682F00" w:rsidRDefault="00A21A55" w:rsidP="00C26BD6">
      <w:pPr>
        <w:spacing w:line="480" w:lineRule="auto"/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</w:t>
      </w:r>
      <w:r w:rsidR="00AC5977" w:rsidRPr="00682F00">
        <w:rPr>
          <w:rFonts w:ascii="Book Antiqua" w:hAnsi="Book Antiqua"/>
          <w:color w:val="000000"/>
          <w:shd w:val="clear" w:color="auto" w:fill="FFFFFF"/>
          <w:lang w:val="es-PR"/>
        </w:rPr>
        <w:t>b</w:t>
      </w: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si el demandante posee algún remedio adecuado en ley; </w:t>
      </w:r>
    </w:p>
    <w:p w14:paraId="763991A8" w14:textId="77777777" w:rsidR="00A21A55" w:rsidRPr="00682F00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(c</w:t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el interés público implicado, y </w:t>
      </w:r>
    </w:p>
    <w:p w14:paraId="1995D631" w14:textId="77777777" w:rsidR="001417A5" w:rsidRPr="00682F00" w:rsidRDefault="00AC5977" w:rsidP="00C26BD6">
      <w:pPr>
        <w:spacing w:line="480" w:lineRule="auto"/>
        <w:ind w:left="1440" w:firstLine="567"/>
        <w:jc w:val="both"/>
        <w:rPr>
          <w:rFonts w:ascii="Book Antiqua" w:hAnsi="Book Antiqua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(d</w:t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>el balance de equidades</w:t>
      </w:r>
      <w:r w:rsidR="00792D0C" w:rsidRPr="00682F00">
        <w:rPr>
          <w:rFonts w:ascii="Book Antiqua" w:hAnsi="Book Antiqua"/>
          <w:color w:val="000000"/>
          <w:shd w:val="clear" w:color="auto" w:fill="FFFFFF"/>
          <w:lang w:val="es-PR"/>
        </w:rPr>
        <w:t>.</w:t>
      </w:r>
      <w:r w:rsidR="001417A5" w:rsidRPr="00682F00">
        <w:rPr>
          <w:rFonts w:ascii="Book Antiqua" w:hAnsi="Book Antiqua"/>
          <w:lang w:val="es-PR"/>
        </w:rPr>
        <w:t>”</w:t>
      </w:r>
    </w:p>
    <w:p w14:paraId="2446C887" w14:textId="2B9CE9F8" w:rsidR="004D1F96" w:rsidRPr="00682F00" w:rsidRDefault="00ED0A48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Sección</w:t>
      </w:r>
      <w:r w:rsidR="00CE1B39" w:rsidRPr="00682F00">
        <w:rPr>
          <w:rFonts w:ascii="Book Antiqua" w:hAnsi="Book Antiqua"/>
          <w:bCs/>
          <w:lang w:val="es-ES_tradnl"/>
        </w:rPr>
        <w:t xml:space="preserve"> 2.-</w:t>
      </w:r>
      <w:r w:rsidR="00475B95" w:rsidRPr="00682F00">
        <w:rPr>
          <w:rFonts w:ascii="Book Antiqua" w:hAnsi="Book Antiqua"/>
          <w:lang w:val="es-ES_tradnl"/>
        </w:rPr>
        <w:t xml:space="preserve">Se renumeran las actuales Reglas </w:t>
      </w:r>
      <w:r w:rsidR="00234C82" w:rsidRPr="00682F00">
        <w:rPr>
          <w:rFonts w:ascii="Book Antiqua" w:hAnsi="Book Antiqua"/>
          <w:lang w:val="es-ES_tradnl"/>
        </w:rPr>
        <w:t>57.5, 57.6 y 57.7 como</w:t>
      </w:r>
      <w:r w:rsidR="00C9046A" w:rsidRPr="00682F00">
        <w:rPr>
          <w:rFonts w:ascii="Book Antiqua" w:hAnsi="Book Antiqua"/>
          <w:lang w:val="es-ES_tradnl"/>
        </w:rPr>
        <w:t xml:space="preserve"> las nuevas</w:t>
      </w:r>
      <w:r w:rsidR="00234C82" w:rsidRPr="00682F00">
        <w:rPr>
          <w:rFonts w:ascii="Book Antiqua" w:hAnsi="Book Antiqua"/>
          <w:lang w:val="es-ES_tradnl"/>
        </w:rPr>
        <w:t xml:space="preserve"> Reglas 57.6, 57.7 y 57.8</w:t>
      </w:r>
      <w:r w:rsidR="00C9046A" w:rsidRPr="00682F00">
        <w:rPr>
          <w:rFonts w:ascii="Book Antiqua" w:hAnsi="Book Antiqua"/>
          <w:lang w:val="es-ES_tradnl"/>
        </w:rPr>
        <w:t>, respectivamente,</w:t>
      </w:r>
      <w:r w:rsidR="00475B95" w:rsidRPr="00682F00">
        <w:rPr>
          <w:rFonts w:ascii="Book Antiqua" w:hAnsi="Book Antiqua"/>
          <w:lang w:val="es-ES_tradnl"/>
        </w:rPr>
        <w:t xml:space="preserve"> de las</w:t>
      </w:r>
      <w:r w:rsidR="00C9046A" w:rsidRPr="00682F00">
        <w:rPr>
          <w:rFonts w:ascii="Book Antiqua" w:hAnsi="Book Antiqua"/>
          <w:lang w:val="es-ES_tradnl"/>
        </w:rPr>
        <w:t xml:space="preserve"> Reglas</w:t>
      </w:r>
      <w:r w:rsidR="00475B95" w:rsidRPr="00682F00">
        <w:rPr>
          <w:rFonts w:ascii="Book Antiqua" w:hAnsi="Book Antiqua"/>
          <w:lang w:val="es-ES_tradnl"/>
        </w:rPr>
        <w:t xml:space="preserve"> de Procedimiento Civil de Puerto Rico, según enmendadas.</w:t>
      </w:r>
    </w:p>
    <w:p w14:paraId="6A14B597" w14:textId="54615F33" w:rsidR="00C9046A" w:rsidRPr="00682F00" w:rsidRDefault="00C9046A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Sección 3.- Se enmienda el Artículo 677 del Código de Enjuiciamiento Civil de Puerto Rico de 1933, según enmendado, para que se lea como sigue: </w:t>
      </w:r>
    </w:p>
    <w:p w14:paraId="13D6C987" w14:textId="0E55CE60" w:rsidR="00C9046A" w:rsidRPr="00682F00" w:rsidRDefault="00C9046A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“Artículo 677.- Cuándo podrá concederse. </w:t>
      </w:r>
    </w:p>
    <w:p w14:paraId="55CC9014" w14:textId="16998A99" w:rsidR="00C9046A" w:rsidRPr="00682F00" w:rsidRDefault="00C9046A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Puede concederse un </w:t>
      </w:r>
      <w:proofErr w:type="spellStart"/>
      <w:r w:rsidRPr="00682F00">
        <w:rPr>
          <w:rFonts w:ascii="Book Antiqua" w:hAnsi="Book Antiqua"/>
          <w:lang w:val="es-ES_tradnl"/>
        </w:rPr>
        <w:t>injunction</w:t>
      </w:r>
      <w:proofErr w:type="spellEnd"/>
      <w:r w:rsidRPr="00682F00">
        <w:rPr>
          <w:rFonts w:ascii="Book Antiqua" w:hAnsi="Book Antiqua"/>
          <w:lang w:val="es-ES_tradnl"/>
        </w:rPr>
        <w:t xml:space="preserve"> en los siguientes casos:</w:t>
      </w:r>
    </w:p>
    <w:p w14:paraId="3C8651A6" w14:textId="1B20CC8C" w:rsidR="00C9046A" w:rsidRPr="00682F00" w:rsidRDefault="00C9046A" w:rsidP="00C9046A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lastRenderedPageBreak/>
        <w:t>Cuando resultare de la petición…</w:t>
      </w:r>
    </w:p>
    <w:p w14:paraId="54C81117" w14:textId="7885DFDE" w:rsidR="00C9046A" w:rsidRPr="00682F00" w:rsidRDefault="00C9046A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…</w:t>
      </w:r>
    </w:p>
    <w:p w14:paraId="2570981C" w14:textId="006558BC" w:rsidR="00C9046A" w:rsidRPr="00682F00" w:rsidRDefault="00C9046A" w:rsidP="00C26BD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(8) Cuando se cumplan los requisitos establecidos en la Regla 57.5 de las Reglas de Procedimiento Civil, según enmendadas.”</w:t>
      </w:r>
    </w:p>
    <w:p w14:paraId="4A87BBC2" w14:textId="179CC4C8" w:rsidR="00CE1B39" w:rsidRPr="00682F00" w:rsidRDefault="00682F00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lang w:val="es-ES_tradnl"/>
        </w:rPr>
        <w:t>Sección</w:t>
      </w:r>
      <w:r w:rsidRPr="00682F00">
        <w:rPr>
          <w:rFonts w:ascii="Book Antiqua" w:hAnsi="Book Antiqua"/>
          <w:bCs/>
          <w:lang w:val="es-ES_tradnl"/>
        </w:rPr>
        <w:t xml:space="preserve"> 4</w:t>
      </w:r>
      <w:r w:rsidR="004D1F96" w:rsidRPr="00682F00">
        <w:rPr>
          <w:rFonts w:ascii="Book Antiqua" w:hAnsi="Book Antiqua"/>
          <w:bCs/>
          <w:lang w:val="es-ES_tradnl"/>
        </w:rPr>
        <w:t>.-</w:t>
      </w:r>
      <w:r w:rsidR="00CE1B39" w:rsidRPr="00682F00">
        <w:rPr>
          <w:rFonts w:ascii="Book Antiqua" w:hAnsi="Book Antiqua"/>
          <w:bCs/>
          <w:lang w:val="es-ES_tradnl"/>
        </w:rPr>
        <w:t>Separabilidad</w:t>
      </w:r>
      <w:r w:rsidR="004E533A" w:rsidRPr="00682F00">
        <w:rPr>
          <w:rFonts w:ascii="Book Antiqua" w:hAnsi="Book Antiqua"/>
          <w:bCs/>
          <w:lang w:val="es-ES_tradnl"/>
        </w:rPr>
        <w:t>.</w:t>
      </w:r>
    </w:p>
    <w:p w14:paraId="543ADDB6" w14:textId="77777777" w:rsidR="00CE1B39" w:rsidRPr="00682F00" w:rsidRDefault="00CE1B39" w:rsidP="00C26BD6">
      <w:pPr>
        <w:spacing w:line="480" w:lineRule="auto"/>
        <w:ind w:firstLine="567"/>
        <w:jc w:val="both"/>
        <w:outlineLvl w:val="0"/>
        <w:rPr>
          <w:rFonts w:ascii="Book Antiqua" w:eastAsia="Book Antiqua" w:hAnsi="Book Antiqua" w:cs="Book Antiqua"/>
          <w:color w:val="000000"/>
          <w:lang w:val="es-ES"/>
        </w:rPr>
      </w:pPr>
      <w:bookmarkStart w:id="2" w:name="_Hlk487472645"/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>Si cualquier cláusula, párrafo, oración, palabra, artículo, disposición, sección, o inciso de esta Ley es declarada nula o inconstitucional</w:t>
      </w:r>
      <w:r w:rsidRPr="00682F00">
        <w:rPr>
          <w:rFonts w:ascii="Book Antiqua" w:hAnsi="Book Antiqua"/>
          <w:color w:val="000000"/>
          <w:lang w:val="es-PR" w:eastAsia="es-PR"/>
        </w:rPr>
        <w:t xml:space="preserve"> por un Tribunal con jurisdicción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, la resolución, dictamen o sentencia a tal efecto dictada no afectará, perjudicará ni invalidará el remanente de esta Ley. El efecto de dicha resolución, dictamen o sentencia quedará limitado a la cláusula, párrafo, oración, palabra, artículo, disposición, sección, o inciso </w:t>
      </w:r>
      <w:r w:rsidRPr="00682F00">
        <w:rPr>
          <w:rFonts w:ascii="Book Antiqua" w:hAnsi="Book Antiqua"/>
          <w:color w:val="000000"/>
          <w:lang w:val="es-PR" w:eastAsia="es-PR"/>
        </w:rPr>
        <w:t xml:space="preserve">cuya nulidad o 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inconstitucionalidad </w:t>
      </w:r>
      <w:r w:rsidRPr="00682F00">
        <w:rPr>
          <w:rFonts w:ascii="Book Antiqua" w:hAnsi="Book Antiqua"/>
          <w:color w:val="000000"/>
          <w:lang w:val="es-PR" w:eastAsia="es-PR"/>
        </w:rPr>
        <w:t>haya sido declarada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.  </w:t>
      </w:r>
    </w:p>
    <w:bookmarkEnd w:id="2"/>
    <w:p w14:paraId="71587FF5" w14:textId="3A20BB91" w:rsidR="005B2D44" w:rsidRPr="00682F00" w:rsidRDefault="00682F00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lang w:val="es-ES_tradnl"/>
        </w:rPr>
        <w:t>Sección</w:t>
      </w:r>
      <w:r w:rsidRPr="00682F00">
        <w:rPr>
          <w:rFonts w:ascii="Book Antiqua" w:hAnsi="Book Antiqua"/>
          <w:bCs/>
          <w:lang w:val="es-ES_tradnl"/>
        </w:rPr>
        <w:t xml:space="preserve"> 5</w:t>
      </w:r>
      <w:r w:rsidR="00CE1B39" w:rsidRPr="00682F00">
        <w:rPr>
          <w:rFonts w:ascii="Book Antiqua" w:hAnsi="Book Antiqua"/>
          <w:bCs/>
          <w:lang w:val="es-ES_tradnl"/>
        </w:rPr>
        <w:t>.-</w:t>
      </w:r>
      <w:r w:rsidR="005B2D44" w:rsidRPr="00682F00">
        <w:rPr>
          <w:rFonts w:ascii="Book Antiqua" w:hAnsi="Book Antiqua"/>
          <w:bCs/>
          <w:lang w:val="es-ES_tradnl"/>
        </w:rPr>
        <w:t>Vigencia.</w:t>
      </w:r>
    </w:p>
    <w:p w14:paraId="6B31C8F8" w14:textId="77777777" w:rsidR="00970692" w:rsidRPr="00682F00" w:rsidRDefault="00CE1B39" w:rsidP="00C26BD6">
      <w:pPr>
        <w:spacing w:line="480" w:lineRule="auto"/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bCs/>
          <w:lang w:val="es-ES_tradnl"/>
        </w:rPr>
        <w:t>Esta Ley entrará en vigor inmediatamente después de su aprobación.</w:t>
      </w:r>
    </w:p>
    <w:sectPr w:rsidR="00970692" w:rsidRPr="00682F00" w:rsidSect="00D314F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2A64C" w14:textId="77777777" w:rsidR="005C126D" w:rsidRDefault="005C126D">
      <w:r>
        <w:separator/>
      </w:r>
    </w:p>
  </w:endnote>
  <w:endnote w:type="continuationSeparator" w:id="0">
    <w:p w14:paraId="5B364A2D" w14:textId="77777777" w:rsidR="005C126D" w:rsidRDefault="005C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17A5" w14:textId="77777777" w:rsidR="005C126D" w:rsidRDefault="005C126D">
      <w:r>
        <w:separator/>
      </w:r>
    </w:p>
  </w:footnote>
  <w:footnote w:type="continuationSeparator" w:id="0">
    <w:p w14:paraId="4525AA07" w14:textId="77777777" w:rsidR="005C126D" w:rsidRDefault="005C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3269" w14:textId="77777777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C8D14B" w14:textId="77777777" w:rsidR="00962739" w:rsidRDefault="00962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E27A" w14:textId="1970154C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5411">
      <w:rPr>
        <w:rStyle w:val="PageNumber"/>
        <w:noProof/>
      </w:rPr>
      <w:t>3</w:t>
    </w:r>
    <w:r>
      <w:rPr>
        <w:rStyle w:val="PageNumber"/>
      </w:rPr>
      <w:fldChar w:fldCharType="end"/>
    </w:r>
  </w:p>
  <w:p w14:paraId="2EA63A5D" w14:textId="77777777" w:rsidR="00962739" w:rsidRDefault="00962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406"/>
    <w:multiLevelType w:val="hybridMultilevel"/>
    <w:tmpl w:val="14209784"/>
    <w:lvl w:ilvl="0" w:tplc="4F2A94F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4673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A5"/>
    <w:rsid w:val="00003B8F"/>
    <w:rsid w:val="00026D38"/>
    <w:rsid w:val="00050B3B"/>
    <w:rsid w:val="00077275"/>
    <w:rsid w:val="000955EA"/>
    <w:rsid w:val="000B4CF1"/>
    <w:rsid w:val="00100391"/>
    <w:rsid w:val="00106407"/>
    <w:rsid w:val="00110398"/>
    <w:rsid w:val="00123140"/>
    <w:rsid w:val="0014038D"/>
    <w:rsid w:val="001417A5"/>
    <w:rsid w:val="00181B60"/>
    <w:rsid w:val="001F3A33"/>
    <w:rsid w:val="00234C82"/>
    <w:rsid w:val="00270B00"/>
    <w:rsid w:val="00270BE8"/>
    <w:rsid w:val="002716C0"/>
    <w:rsid w:val="002745CD"/>
    <w:rsid w:val="002971DC"/>
    <w:rsid w:val="002D1CC7"/>
    <w:rsid w:val="002E2B97"/>
    <w:rsid w:val="0031335D"/>
    <w:rsid w:val="003231C9"/>
    <w:rsid w:val="00383712"/>
    <w:rsid w:val="003C4684"/>
    <w:rsid w:val="00415C6B"/>
    <w:rsid w:val="00422434"/>
    <w:rsid w:val="004446A0"/>
    <w:rsid w:val="00475522"/>
    <w:rsid w:val="00475B95"/>
    <w:rsid w:val="00477192"/>
    <w:rsid w:val="004971DC"/>
    <w:rsid w:val="004D1F96"/>
    <w:rsid w:val="004D63C9"/>
    <w:rsid w:val="004E533A"/>
    <w:rsid w:val="004F7EF6"/>
    <w:rsid w:val="00533286"/>
    <w:rsid w:val="00570BE7"/>
    <w:rsid w:val="0057785C"/>
    <w:rsid w:val="00583BC3"/>
    <w:rsid w:val="005923D2"/>
    <w:rsid w:val="005B2D44"/>
    <w:rsid w:val="005B35EB"/>
    <w:rsid w:val="005C126D"/>
    <w:rsid w:val="005D4116"/>
    <w:rsid w:val="00605BF7"/>
    <w:rsid w:val="00613EFF"/>
    <w:rsid w:val="00624632"/>
    <w:rsid w:val="00682F00"/>
    <w:rsid w:val="00696106"/>
    <w:rsid w:val="006D09C3"/>
    <w:rsid w:val="006D1BFB"/>
    <w:rsid w:val="00700C5D"/>
    <w:rsid w:val="007307DD"/>
    <w:rsid w:val="0073484D"/>
    <w:rsid w:val="00776D14"/>
    <w:rsid w:val="0077761F"/>
    <w:rsid w:val="00792D0C"/>
    <w:rsid w:val="007A18A2"/>
    <w:rsid w:val="007A1A77"/>
    <w:rsid w:val="007A1DEB"/>
    <w:rsid w:val="007A763D"/>
    <w:rsid w:val="007B4F82"/>
    <w:rsid w:val="007B5411"/>
    <w:rsid w:val="007C4A3B"/>
    <w:rsid w:val="007C77DC"/>
    <w:rsid w:val="007C77EE"/>
    <w:rsid w:val="00807893"/>
    <w:rsid w:val="00815F5F"/>
    <w:rsid w:val="00826ED3"/>
    <w:rsid w:val="00832D2E"/>
    <w:rsid w:val="00865353"/>
    <w:rsid w:val="008721C1"/>
    <w:rsid w:val="00883D57"/>
    <w:rsid w:val="0089120A"/>
    <w:rsid w:val="008A42BE"/>
    <w:rsid w:val="008D3679"/>
    <w:rsid w:val="008F4B8F"/>
    <w:rsid w:val="008F6E73"/>
    <w:rsid w:val="009137D2"/>
    <w:rsid w:val="00944E1A"/>
    <w:rsid w:val="00962739"/>
    <w:rsid w:val="00967CCA"/>
    <w:rsid w:val="00970692"/>
    <w:rsid w:val="0097444D"/>
    <w:rsid w:val="009C4907"/>
    <w:rsid w:val="009E3B47"/>
    <w:rsid w:val="009E787F"/>
    <w:rsid w:val="00A21A55"/>
    <w:rsid w:val="00A71419"/>
    <w:rsid w:val="00A87BAA"/>
    <w:rsid w:val="00AB3183"/>
    <w:rsid w:val="00AC5977"/>
    <w:rsid w:val="00AE2FB1"/>
    <w:rsid w:val="00B1401C"/>
    <w:rsid w:val="00B167DB"/>
    <w:rsid w:val="00B2619D"/>
    <w:rsid w:val="00B30ECA"/>
    <w:rsid w:val="00B43584"/>
    <w:rsid w:val="00B51505"/>
    <w:rsid w:val="00B94E0E"/>
    <w:rsid w:val="00BA2682"/>
    <w:rsid w:val="00BC0B1F"/>
    <w:rsid w:val="00BC3AEA"/>
    <w:rsid w:val="00BD1B29"/>
    <w:rsid w:val="00BF7CB1"/>
    <w:rsid w:val="00C0331E"/>
    <w:rsid w:val="00C12DD1"/>
    <w:rsid w:val="00C26BD6"/>
    <w:rsid w:val="00C9046A"/>
    <w:rsid w:val="00CA394A"/>
    <w:rsid w:val="00CC3C25"/>
    <w:rsid w:val="00CE1B39"/>
    <w:rsid w:val="00D314F4"/>
    <w:rsid w:val="00D61807"/>
    <w:rsid w:val="00D71E2C"/>
    <w:rsid w:val="00D81397"/>
    <w:rsid w:val="00DE58F3"/>
    <w:rsid w:val="00E10C38"/>
    <w:rsid w:val="00E14F72"/>
    <w:rsid w:val="00E428AE"/>
    <w:rsid w:val="00E460A9"/>
    <w:rsid w:val="00EB1D7C"/>
    <w:rsid w:val="00EC7090"/>
    <w:rsid w:val="00ED0A48"/>
    <w:rsid w:val="00EF448B"/>
    <w:rsid w:val="00F1561A"/>
    <w:rsid w:val="00F337CA"/>
    <w:rsid w:val="00F5405A"/>
    <w:rsid w:val="00F621AB"/>
    <w:rsid w:val="00F75C42"/>
    <w:rsid w:val="00FA332F"/>
    <w:rsid w:val="00FC453D"/>
    <w:rsid w:val="00FC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CBBA50"/>
  <w15:docId w15:val="{DD918891-6B52-4CA3-8706-5051E692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417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17A5"/>
    <w:rPr>
      <w:rFonts w:ascii="Arial" w:eastAsia="Times New Roman" w:hAnsi="Arial" w:cs="Arial"/>
      <w:b/>
      <w:bCs/>
      <w:sz w:val="26"/>
      <w:szCs w:val="26"/>
    </w:rPr>
  </w:style>
  <w:style w:type="paragraph" w:styleId="BodyTextIndent3">
    <w:name w:val="Body Text Indent 3"/>
    <w:basedOn w:val="Normal"/>
    <w:link w:val="BodyTextIndent3Char"/>
    <w:rsid w:val="001417A5"/>
    <w:pPr>
      <w:spacing w:after="120"/>
      <w:ind w:left="283"/>
    </w:pPr>
    <w:rPr>
      <w:rFonts w:eastAsia="MS Mincho"/>
      <w:sz w:val="16"/>
      <w:szCs w:val="16"/>
      <w:lang w:val="es-PR"/>
    </w:rPr>
  </w:style>
  <w:style w:type="character" w:customStyle="1" w:styleId="BodyTextIndent3Char">
    <w:name w:val="Body Text Indent 3 Char"/>
    <w:basedOn w:val="DefaultParagraphFont"/>
    <w:link w:val="BodyTextIndent3"/>
    <w:rsid w:val="001417A5"/>
    <w:rPr>
      <w:rFonts w:ascii="Times New Roman" w:eastAsia="MS Mincho" w:hAnsi="Times New Roman" w:cs="Times New Roman"/>
      <w:sz w:val="16"/>
      <w:szCs w:val="16"/>
      <w:lang w:val="es-PR"/>
    </w:rPr>
  </w:style>
  <w:style w:type="paragraph" w:styleId="Header">
    <w:name w:val="header"/>
    <w:basedOn w:val="Normal"/>
    <w:link w:val="HeaderChar"/>
    <w:rsid w:val="001417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17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417A5"/>
  </w:style>
  <w:style w:type="paragraph" w:styleId="NoSpacing">
    <w:name w:val="No Spacing"/>
    <w:uiPriority w:val="99"/>
    <w:qFormat/>
    <w:rsid w:val="001417A5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1417A5"/>
  </w:style>
  <w:style w:type="character" w:customStyle="1" w:styleId="apple-converted-space">
    <w:name w:val="apple-converted-space"/>
    <w:rsid w:val="001417A5"/>
  </w:style>
  <w:style w:type="character" w:customStyle="1" w:styleId="subterms">
    <w:name w:val="subterms"/>
    <w:rsid w:val="001417A5"/>
  </w:style>
  <w:style w:type="paragraph" w:styleId="Footer">
    <w:name w:val="footer"/>
    <w:basedOn w:val="Normal"/>
    <w:link w:val="FooterChar"/>
    <w:uiPriority w:val="99"/>
    <w:unhideWhenUsed/>
    <w:rsid w:val="00383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71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2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75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0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0BB10-90F5-4449-BB1B-A287FD50C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Affairs PSC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Zamora</dc:creator>
  <cp:lastModifiedBy>Victor E. Vélez Cucuta</cp:lastModifiedBy>
  <cp:revision>2</cp:revision>
  <cp:lastPrinted>2025-04-29T15:45:00Z</cp:lastPrinted>
  <dcterms:created xsi:type="dcterms:W3CDTF">2025-04-29T15:45:00Z</dcterms:created>
  <dcterms:modified xsi:type="dcterms:W3CDTF">2025-04-29T15:45:00Z</dcterms:modified>
</cp:coreProperties>
</file>