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7C7A99"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7C7A99">
        <w:rPr>
          <w:rFonts w:ascii="Book Antiqua" w:hAnsi="Book Antiqua"/>
          <w:sz w:val="28"/>
          <w:szCs w:val="28"/>
          <w:lang w:val="es-ES"/>
        </w:rPr>
        <w:t>GOBIERNO DE PUERTO RICO</w:t>
      </w:r>
    </w:p>
    <w:p w14:paraId="24353140" w14:textId="77777777" w:rsidR="007535BB" w:rsidRPr="007C7A99"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7C7A99" w14:paraId="4DE77E24" w14:textId="77777777" w:rsidTr="00D95836">
        <w:trPr>
          <w:trHeight w:val="900"/>
        </w:trPr>
        <w:tc>
          <w:tcPr>
            <w:tcW w:w="3170" w:type="dxa"/>
          </w:tcPr>
          <w:p w14:paraId="27AF3912" w14:textId="77777777" w:rsidR="007535BB" w:rsidRPr="007C7A99" w:rsidRDefault="007535BB" w:rsidP="00D95836">
            <w:pPr>
              <w:rPr>
                <w:rFonts w:ascii="Book Antiqua" w:hAnsi="Book Antiqua"/>
                <w:lang w:val="es-ES"/>
              </w:rPr>
            </w:pPr>
            <w:r w:rsidRPr="007C7A99">
              <w:rPr>
                <w:rFonts w:ascii="Book Antiqua" w:hAnsi="Book Antiqua"/>
                <w:lang w:val="es-ES"/>
              </w:rPr>
              <w:t>20</w:t>
            </w:r>
            <w:r w:rsidRPr="007C7A99">
              <w:rPr>
                <w:rFonts w:ascii="Book Antiqua" w:hAnsi="Book Antiqua"/>
                <w:vertAlign w:val="superscript"/>
                <w:lang w:val="es-ES"/>
              </w:rPr>
              <w:t>ma.</w:t>
            </w:r>
            <w:r w:rsidRPr="007C7A99">
              <w:rPr>
                <w:rFonts w:ascii="Book Antiqua" w:hAnsi="Book Antiqua"/>
                <w:lang w:val="es-ES"/>
              </w:rPr>
              <w:tab/>
              <w:t>Asamblea</w:t>
            </w:r>
          </w:p>
          <w:p w14:paraId="082D32B2" w14:textId="77777777" w:rsidR="007535BB" w:rsidRPr="007C7A99" w:rsidRDefault="007535BB" w:rsidP="00D95836">
            <w:pPr>
              <w:rPr>
                <w:rFonts w:ascii="Book Antiqua" w:hAnsi="Book Antiqua"/>
                <w:sz w:val="36"/>
                <w:lang w:val="es-ES"/>
              </w:rPr>
            </w:pPr>
            <w:r w:rsidRPr="007C7A99">
              <w:rPr>
                <w:rFonts w:ascii="Book Antiqua" w:hAnsi="Book Antiqua"/>
                <w:lang w:val="es-ES"/>
              </w:rPr>
              <w:t xml:space="preserve">         </w:t>
            </w:r>
            <w:r w:rsidRPr="007C7A99">
              <w:rPr>
                <w:rFonts w:ascii="Book Antiqua" w:hAnsi="Book Antiqua"/>
                <w:lang w:val="es-ES"/>
              </w:rPr>
              <w:tab/>
              <w:t xml:space="preserve">Legislativa                                                                                                          </w:t>
            </w:r>
          </w:p>
        </w:tc>
        <w:tc>
          <w:tcPr>
            <w:tcW w:w="3171" w:type="dxa"/>
          </w:tcPr>
          <w:p w14:paraId="48FE9142" w14:textId="77777777" w:rsidR="007535BB" w:rsidRPr="007C7A99" w:rsidRDefault="007535BB" w:rsidP="00D95836">
            <w:pPr>
              <w:jc w:val="center"/>
              <w:rPr>
                <w:rFonts w:ascii="Book Antiqua" w:hAnsi="Book Antiqua"/>
                <w:sz w:val="36"/>
                <w:lang w:val="es-ES"/>
              </w:rPr>
            </w:pPr>
          </w:p>
        </w:tc>
        <w:tc>
          <w:tcPr>
            <w:tcW w:w="3268" w:type="dxa"/>
          </w:tcPr>
          <w:p w14:paraId="69176C76" w14:textId="2F06252B" w:rsidR="007535BB" w:rsidRPr="007C7A99" w:rsidRDefault="007535BB" w:rsidP="00D95836">
            <w:pPr>
              <w:rPr>
                <w:rFonts w:ascii="Book Antiqua" w:hAnsi="Book Antiqua"/>
                <w:lang w:val="es-ES"/>
              </w:rPr>
            </w:pPr>
            <w:r w:rsidRPr="007C7A99">
              <w:rPr>
                <w:rFonts w:ascii="Book Antiqua" w:hAnsi="Book Antiqua"/>
                <w:lang w:val="es-ES"/>
              </w:rPr>
              <w:tab/>
            </w:r>
            <w:r w:rsidR="00E17E3B" w:rsidRPr="007C7A99">
              <w:rPr>
                <w:rFonts w:ascii="Book Antiqua" w:hAnsi="Book Antiqua"/>
                <w:lang w:val="es-ES"/>
              </w:rPr>
              <w:t>2</w:t>
            </w:r>
            <w:r w:rsidR="00E17E3B" w:rsidRPr="007C7A99">
              <w:rPr>
                <w:rFonts w:ascii="Book Antiqua" w:hAnsi="Book Antiqua"/>
                <w:vertAlign w:val="superscript"/>
                <w:lang w:val="es-ES"/>
              </w:rPr>
              <w:t>d</w:t>
            </w:r>
            <w:r w:rsidRPr="007C7A99">
              <w:rPr>
                <w:rFonts w:ascii="Book Antiqua" w:hAnsi="Book Antiqua"/>
                <w:vertAlign w:val="superscript"/>
                <w:lang w:val="es-ES"/>
              </w:rPr>
              <w:t>a.</w:t>
            </w:r>
            <w:r w:rsidRPr="007C7A99">
              <w:rPr>
                <w:rFonts w:ascii="Book Antiqua" w:hAnsi="Book Antiqua"/>
                <w:lang w:val="es-ES"/>
              </w:rPr>
              <w:t xml:space="preserve"> Sesión</w:t>
            </w:r>
          </w:p>
          <w:p w14:paraId="42A8E2C1" w14:textId="6033C9E1" w:rsidR="007535BB" w:rsidRPr="007C7A99" w:rsidRDefault="007535BB" w:rsidP="00D95836">
            <w:pPr>
              <w:rPr>
                <w:rFonts w:ascii="Book Antiqua" w:hAnsi="Book Antiqua"/>
                <w:lang w:val="es-ES"/>
              </w:rPr>
            </w:pPr>
            <w:r w:rsidRPr="007C7A99">
              <w:rPr>
                <w:rFonts w:ascii="Book Antiqua" w:hAnsi="Book Antiqua"/>
                <w:lang w:val="es-ES"/>
              </w:rPr>
              <w:tab/>
              <w:t xml:space="preserve">      Ordinaria</w:t>
            </w:r>
          </w:p>
          <w:p w14:paraId="640FD190" w14:textId="77777777" w:rsidR="007535BB" w:rsidRPr="007C7A99" w:rsidRDefault="007535BB" w:rsidP="00D95836">
            <w:pPr>
              <w:jc w:val="center"/>
              <w:rPr>
                <w:rFonts w:ascii="Book Antiqua" w:hAnsi="Book Antiqua"/>
                <w:sz w:val="36"/>
                <w:lang w:val="es-ES"/>
              </w:rPr>
            </w:pPr>
          </w:p>
        </w:tc>
      </w:tr>
    </w:tbl>
    <w:bookmarkEnd w:id="0"/>
    <w:p w14:paraId="44DF1C72" w14:textId="77777777" w:rsidR="007535BB" w:rsidRPr="007C7A99" w:rsidRDefault="007535BB" w:rsidP="0027212A">
      <w:pPr>
        <w:spacing w:line="360" w:lineRule="auto"/>
        <w:jc w:val="center"/>
        <w:rPr>
          <w:rFonts w:ascii="Book Antiqua" w:hAnsi="Book Antiqua"/>
          <w:b/>
          <w:sz w:val="36"/>
          <w:lang w:val="es-ES"/>
        </w:rPr>
      </w:pPr>
      <w:r w:rsidRPr="007C7A99">
        <w:rPr>
          <w:rFonts w:ascii="Book Antiqua" w:hAnsi="Book Antiqua"/>
          <w:b/>
          <w:sz w:val="36"/>
          <w:lang w:val="es-ES"/>
        </w:rPr>
        <w:t>SENADO DE PUERTO RICO</w:t>
      </w:r>
      <w:bookmarkEnd w:id="1"/>
    </w:p>
    <w:p w14:paraId="3E53146F" w14:textId="11C5806C" w:rsidR="007535BB" w:rsidRPr="007C7A99" w:rsidRDefault="00F60859" w:rsidP="0027212A">
      <w:pPr>
        <w:spacing w:line="360" w:lineRule="auto"/>
        <w:jc w:val="center"/>
        <w:rPr>
          <w:rFonts w:ascii="Book Antiqua" w:hAnsi="Book Antiqua"/>
          <w:b/>
          <w:sz w:val="52"/>
          <w:lang w:val="es-ES"/>
        </w:rPr>
      </w:pPr>
      <w:r w:rsidRPr="007C7A99">
        <w:rPr>
          <w:rFonts w:ascii="Book Antiqua" w:hAnsi="Book Antiqua"/>
          <w:b/>
          <w:sz w:val="52"/>
          <w:lang w:val="es-ES"/>
        </w:rPr>
        <w:t>P. de la C.</w:t>
      </w:r>
      <w:r w:rsidR="00991439" w:rsidRPr="007C7A99">
        <w:rPr>
          <w:rFonts w:ascii="Book Antiqua" w:hAnsi="Book Antiqua"/>
          <w:b/>
          <w:sz w:val="52"/>
          <w:lang w:val="es-ES"/>
        </w:rPr>
        <w:t xml:space="preserve"> 173</w:t>
      </w:r>
    </w:p>
    <w:p w14:paraId="1443CA0F" w14:textId="77777777" w:rsidR="007535BB" w:rsidRPr="007C7A99" w:rsidRDefault="007535BB" w:rsidP="0027212A">
      <w:pPr>
        <w:spacing w:line="360" w:lineRule="auto"/>
        <w:jc w:val="center"/>
        <w:rPr>
          <w:rFonts w:ascii="Book Antiqua" w:hAnsi="Book Antiqua"/>
          <w:b/>
          <w:bCs/>
          <w:lang w:val="es-ES"/>
        </w:rPr>
      </w:pPr>
      <w:r w:rsidRPr="007C7A99">
        <w:rPr>
          <w:rFonts w:ascii="Book Antiqua" w:hAnsi="Book Antiqua"/>
          <w:b/>
          <w:bCs/>
          <w:lang w:val="es-ES"/>
        </w:rPr>
        <w:t xml:space="preserve"> </w:t>
      </w:r>
      <w:bookmarkStart w:id="3" w:name="_Hlk183037684"/>
      <w:r w:rsidR="001B5218" w:rsidRPr="007C7A99">
        <w:rPr>
          <w:rFonts w:ascii="Book Antiqua" w:hAnsi="Book Antiqua"/>
          <w:b/>
          <w:bCs/>
          <w:sz w:val="28"/>
          <w:szCs w:val="22"/>
          <w:lang w:val="es-ES"/>
        </w:rPr>
        <w:t xml:space="preserve">INFORME POSITIVO </w:t>
      </w:r>
    </w:p>
    <w:p w14:paraId="07AB4BDD" w14:textId="1DEFC900" w:rsidR="001B5218" w:rsidRPr="007C7A99" w:rsidRDefault="00592038" w:rsidP="0027212A">
      <w:pPr>
        <w:spacing w:line="360" w:lineRule="auto"/>
        <w:jc w:val="center"/>
        <w:rPr>
          <w:rFonts w:ascii="Book Antiqua" w:hAnsi="Book Antiqua"/>
          <w:lang w:val="es-ES"/>
        </w:rPr>
      </w:pPr>
      <w:r>
        <w:rPr>
          <w:rFonts w:ascii="Book Antiqua" w:hAnsi="Book Antiqua"/>
          <w:lang w:val="es-ES"/>
        </w:rPr>
        <w:t xml:space="preserve">9 </w:t>
      </w:r>
      <w:r w:rsidR="006239E8" w:rsidRPr="007C7A99">
        <w:rPr>
          <w:rFonts w:ascii="Book Antiqua" w:hAnsi="Book Antiqua"/>
          <w:lang w:val="es-ES"/>
        </w:rPr>
        <w:t xml:space="preserve">de </w:t>
      </w:r>
      <w:r w:rsidR="000E7FCC">
        <w:rPr>
          <w:rFonts w:ascii="Book Antiqua" w:hAnsi="Book Antiqua"/>
          <w:lang w:val="es-ES"/>
        </w:rPr>
        <w:t>septiembre</w:t>
      </w:r>
      <w:r w:rsidR="006239E8" w:rsidRPr="007C7A99">
        <w:rPr>
          <w:rFonts w:ascii="Book Antiqua" w:hAnsi="Book Antiqua"/>
          <w:lang w:val="es-ES"/>
        </w:rPr>
        <w:t xml:space="preserve"> </w:t>
      </w:r>
      <w:r w:rsidR="00D13D23" w:rsidRPr="007C7A99">
        <w:rPr>
          <w:rFonts w:ascii="Book Antiqua" w:hAnsi="Book Antiqua"/>
          <w:lang w:val="es-ES"/>
        </w:rPr>
        <w:t>de 2025</w:t>
      </w:r>
    </w:p>
    <w:bookmarkEnd w:id="2"/>
    <w:bookmarkEnd w:id="3"/>
    <w:p w14:paraId="518A096B" w14:textId="07DCC0DC" w:rsidR="005B2884" w:rsidRPr="007C7A99" w:rsidRDefault="001B5218" w:rsidP="001B5218">
      <w:pPr>
        <w:tabs>
          <w:tab w:val="left" w:pos="-720"/>
        </w:tabs>
        <w:suppressAutoHyphens/>
        <w:spacing w:before="240" w:after="240" w:line="240" w:lineRule="atLeast"/>
        <w:rPr>
          <w:rFonts w:ascii="Book Antiqua" w:hAnsi="Book Antiqua"/>
          <w:szCs w:val="24"/>
          <w:lang w:val="es-ES"/>
        </w:rPr>
      </w:pPr>
      <w:r w:rsidRPr="007C7A99">
        <w:rPr>
          <w:rFonts w:ascii="Book Antiqua" w:hAnsi="Book Antiqua"/>
          <w:b/>
          <w:szCs w:val="24"/>
          <w:lang w:val="es-ES"/>
        </w:rPr>
        <w:t xml:space="preserve">AL SENADO DE PUERTO RICO: </w:t>
      </w:r>
    </w:p>
    <w:p w14:paraId="37982730" w14:textId="5C581594" w:rsidR="005B2884" w:rsidRPr="007C7A99" w:rsidRDefault="00A52CD9" w:rsidP="00006DDC">
      <w:pPr>
        <w:suppressAutoHyphens/>
        <w:jc w:val="both"/>
        <w:rPr>
          <w:rFonts w:ascii="Book Antiqua" w:hAnsi="Book Antiqua"/>
          <w:spacing w:val="-3"/>
          <w:lang w:val="es-ES"/>
        </w:rPr>
      </w:pPr>
      <w:r w:rsidRPr="007C7A99">
        <w:rPr>
          <w:rFonts w:ascii="Book Antiqua" w:hAnsi="Book Antiqua"/>
          <w:spacing w:val="-3"/>
          <w:lang w:val="es-ES"/>
        </w:rPr>
        <w:t xml:space="preserve">      </w:t>
      </w:r>
      <w:r w:rsidR="009F427F" w:rsidRPr="007C7A99">
        <w:rPr>
          <w:rFonts w:ascii="Book Antiqua" w:hAnsi="Book Antiqua"/>
          <w:spacing w:val="-3"/>
          <w:lang w:val="es-ES"/>
        </w:rPr>
        <w:tab/>
      </w:r>
      <w:r w:rsidR="001B5218" w:rsidRPr="007C7A99">
        <w:rPr>
          <w:rFonts w:ascii="Book Antiqua" w:hAnsi="Book Antiqua"/>
          <w:spacing w:val="-3"/>
          <w:lang w:val="es-ES"/>
        </w:rPr>
        <w:t xml:space="preserve">La </w:t>
      </w:r>
      <w:r w:rsidR="00E17E3B" w:rsidRPr="007C7A99">
        <w:rPr>
          <w:rFonts w:ascii="Book Antiqua" w:hAnsi="Book Antiqua"/>
          <w:spacing w:val="-3"/>
          <w:lang w:val="es-ES"/>
        </w:rPr>
        <w:t>Comisión de lo Jurídico del Senado de Puerto Rico</w:t>
      </w:r>
      <w:r w:rsidR="001B5218" w:rsidRPr="007C7A99">
        <w:rPr>
          <w:rFonts w:ascii="Book Antiqua" w:hAnsi="Book Antiqua"/>
          <w:spacing w:val="-3"/>
          <w:lang w:val="es-ES"/>
        </w:rPr>
        <w:t>, previo estudio y consideración</w:t>
      </w:r>
      <w:r w:rsidR="009F427F" w:rsidRPr="007C7A99">
        <w:rPr>
          <w:rFonts w:ascii="Book Antiqua" w:hAnsi="Book Antiqua"/>
          <w:spacing w:val="-3"/>
          <w:lang w:val="es-ES"/>
        </w:rPr>
        <w:t xml:space="preserve"> del </w:t>
      </w:r>
      <w:r w:rsidR="00991439" w:rsidRPr="007C7A99">
        <w:rPr>
          <w:rFonts w:ascii="Book Antiqua" w:hAnsi="Book Antiqua"/>
          <w:spacing w:val="-3"/>
          <w:lang w:val="es-ES"/>
        </w:rPr>
        <w:t>Proyecto de la Cámara 173,</w:t>
      </w:r>
      <w:r w:rsidR="001B5218" w:rsidRPr="007C7A99">
        <w:rPr>
          <w:rFonts w:ascii="Book Antiqua" w:hAnsi="Book Antiqua"/>
          <w:spacing w:val="-3"/>
          <w:lang w:val="es-ES"/>
        </w:rPr>
        <w:t xml:space="preserve"> </w:t>
      </w:r>
      <w:r w:rsidR="009F427F" w:rsidRPr="007C7A99">
        <w:rPr>
          <w:rFonts w:ascii="Book Antiqua" w:hAnsi="Book Antiqua"/>
          <w:spacing w:val="-3"/>
          <w:lang w:val="es-ES"/>
        </w:rPr>
        <w:t>recomienda a este Alto Cuerpo su</w:t>
      </w:r>
      <w:r w:rsidR="008E051A" w:rsidRPr="007C7A99">
        <w:rPr>
          <w:rFonts w:ascii="Book Antiqua" w:hAnsi="Book Antiqua"/>
          <w:spacing w:val="-3"/>
          <w:lang w:val="es-ES"/>
        </w:rPr>
        <w:t xml:space="preserve"> </w:t>
      </w:r>
      <w:r w:rsidR="001B5218" w:rsidRPr="007C7A99">
        <w:rPr>
          <w:rFonts w:ascii="Book Antiqua" w:hAnsi="Book Antiqua"/>
          <w:spacing w:val="-3"/>
          <w:lang w:val="es-ES"/>
        </w:rPr>
        <w:t xml:space="preserve">aprobación, con las enmiendas contenidas en el </w:t>
      </w:r>
      <w:proofErr w:type="spellStart"/>
      <w:r w:rsidR="001B5218" w:rsidRPr="007C7A99">
        <w:rPr>
          <w:rFonts w:ascii="Book Antiqua" w:hAnsi="Book Antiqua"/>
          <w:spacing w:val="-3"/>
          <w:lang w:val="es-ES"/>
        </w:rPr>
        <w:t>entirillado</w:t>
      </w:r>
      <w:proofErr w:type="spellEnd"/>
      <w:r w:rsidR="001B5218" w:rsidRPr="007C7A99">
        <w:rPr>
          <w:rFonts w:ascii="Book Antiqua" w:hAnsi="Book Antiqua"/>
          <w:spacing w:val="-3"/>
          <w:lang w:val="es-ES"/>
        </w:rPr>
        <w:t xml:space="preserve"> electrónico que se acompaña</w:t>
      </w:r>
      <w:r w:rsidR="00EA61D2" w:rsidRPr="007C7A99">
        <w:rPr>
          <w:rFonts w:ascii="Book Antiqua" w:hAnsi="Book Antiqua"/>
          <w:spacing w:val="-3"/>
          <w:lang w:val="es-ES"/>
        </w:rPr>
        <w:t>.</w:t>
      </w:r>
    </w:p>
    <w:p w14:paraId="1C36686D" w14:textId="77777777" w:rsidR="000C52A1" w:rsidRPr="007C7A99" w:rsidRDefault="000C52A1" w:rsidP="00006DDC">
      <w:pPr>
        <w:suppressAutoHyphens/>
        <w:jc w:val="both"/>
        <w:rPr>
          <w:rFonts w:ascii="Book Antiqua" w:hAnsi="Book Antiqua"/>
          <w:spacing w:val="-3"/>
          <w:lang w:val="es-ES"/>
        </w:rPr>
      </w:pPr>
    </w:p>
    <w:p w14:paraId="632423B1" w14:textId="77777777" w:rsidR="0024131E" w:rsidRPr="007C7A99" w:rsidRDefault="001B5218" w:rsidP="000C52A1">
      <w:pPr>
        <w:tabs>
          <w:tab w:val="left" w:pos="-720"/>
        </w:tabs>
        <w:suppressAutoHyphens/>
        <w:jc w:val="center"/>
        <w:rPr>
          <w:rFonts w:ascii="Book Antiqua" w:hAnsi="Book Antiqua"/>
          <w:b/>
          <w:bCs/>
          <w:szCs w:val="24"/>
          <w:lang w:val="es-ES"/>
        </w:rPr>
      </w:pPr>
      <w:r w:rsidRPr="007C7A99">
        <w:rPr>
          <w:rFonts w:ascii="Book Antiqua" w:hAnsi="Book Antiqua"/>
          <w:b/>
          <w:bCs/>
          <w:szCs w:val="24"/>
          <w:lang w:val="es-ES"/>
        </w:rPr>
        <w:t xml:space="preserve">ALCANCE DE LA MEDIDA </w:t>
      </w:r>
    </w:p>
    <w:p w14:paraId="5B5C79B2" w14:textId="77777777" w:rsidR="000C52A1" w:rsidRPr="007C7A99" w:rsidRDefault="000C52A1" w:rsidP="001C2FA8">
      <w:pPr>
        <w:tabs>
          <w:tab w:val="left" w:pos="-720"/>
        </w:tabs>
        <w:suppressAutoHyphens/>
        <w:rPr>
          <w:rFonts w:ascii="Book Antiqua" w:hAnsi="Book Antiqua"/>
          <w:b/>
          <w:bCs/>
          <w:szCs w:val="24"/>
          <w:lang w:val="es-ES"/>
        </w:rPr>
      </w:pPr>
    </w:p>
    <w:p w14:paraId="7C7A3389" w14:textId="605D6FCC" w:rsidR="006F51A8" w:rsidRPr="007C7A99" w:rsidRDefault="009F427F" w:rsidP="000C52A1">
      <w:pPr>
        <w:tabs>
          <w:tab w:val="left" w:pos="-720"/>
        </w:tabs>
        <w:suppressAutoHyphens/>
        <w:ind w:firstLine="360"/>
        <w:jc w:val="both"/>
        <w:rPr>
          <w:rFonts w:ascii="Book Antiqua" w:hAnsi="Book Antiqua"/>
          <w:lang w:val="es-ES"/>
        </w:rPr>
      </w:pPr>
      <w:r w:rsidRPr="007C7A99">
        <w:rPr>
          <w:rFonts w:ascii="Book Antiqua" w:hAnsi="Book Antiqua"/>
          <w:lang w:val="es-ES"/>
        </w:rPr>
        <w:tab/>
      </w:r>
      <w:r w:rsidR="001B5218" w:rsidRPr="007C7A99">
        <w:rPr>
          <w:rFonts w:ascii="Book Antiqua" w:hAnsi="Book Antiqua"/>
          <w:lang w:val="es-ES"/>
        </w:rPr>
        <w:t xml:space="preserve">El Proyecto </w:t>
      </w:r>
      <w:r w:rsidR="00B24C22" w:rsidRPr="007C7A99">
        <w:rPr>
          <w:rFonts w:ascii="Book Antiqua" w:hAnsi="Book Antiqua"/>
          <w:lang w:val="es-ES"/>
        </w:rPr>
        <w:t>de la Cámara 173</w:t>
      </w:r>
      <w:r w:rsidRPr="007C7A99">
        <w:rPr>
          <w:rFonts w:ascii="Book Antiqua" w:hAnsi="Book Antiqua"/>
          <w:lang w:val="es-ES"/>
        </w:rPr>
        <w:t xml:space="preserve"> (en adelante, P. </w:t>
      </w:r>
      <w:r w:rsidR="00B24C22" w:rsidRPr="007C7A99">
        <w:rPr>
          <w:rFonts w:ascii="Book Antiqua" w:hAnsi="Book Antiqua"/>
          <w:lang w:val="es-ES"/>
        </w:rPr>
        <w:t>de la C. 173)</w:t>
      </w:r>
      <w:r w:rsidR="001B5218" w:rsidRPr="007C7A99">
        <w:rPr>
          <w:rFonts w:ascii="Book Antiqua" w:hAnsi="Book Antiqua"/>
          <w:lang w:val="es-ES"/>
        </w:rPr>
        <w:t xml:space="preserve"> tiene como propósito</w:t>
      </w:r>
      <w:bookmarkStart w:id="4" w:name="_Hlk194438498"/>
      <w:r w:rsidR="00B24C22" w:rsidRPr="007C7A99">
        <w:rPr>
          <w:rFonts w:ascii="Book Antiqua" w:hAnsi="Book Antiqua"/>
          <w:lang w:val="es-ES"/>
        </w:rPr>
        <w:t xml:space="preserve"> </w:t>
      </w:r>
      <w:r w:rsidR="00B24C22" w:rsidRPr="007C7A99">
        <w:rPr>
          <w:rFonts w:ascii="Book Antiqua" w:hAnsi="Book Antiqua"/>
          <w:szCs w:val="24"/>
          <w:lang w:val="es-ES"/>
        </w:rPr>
        <w:t xml:space="preserve">añadir una nueva Regla 57.5 y renumerar las actuales Reglas 57.5, 57.6 y 57.7 como Reglas 57.6, 57.7 y 57.8 de las Reglas de Procedimiento Civil de Puerto Rico, enmendar el Artículo 677 del Código de Enjuiciamiento Civil de 1933, </w:t>
      </w:r>
      <w:bookmarkStart w:id="5" w:name="_Hlk195956316"/>
      <w:r w:rsidR="00B24C22" w:rsidRPr="007C7A99">
        <w:rPr>
          <w:rFonts w:ascii="Book Antiqua" w:hAnsi="Book Antiqua"/>
          <w:szCs w:val="24"/>
          <w:lang w:val="es-ES"/>
        </w:rPr>
        <w:t xml:space="preserve">a los fines de disponer los criterios que deberá considerar el tribunal antes de expedir un </w:t>
      </w:r>
      <w:proofErr w:type="spellStart"/>
      <w:r w:rsidR="00B24C22" w:rsidRPr="007C7A99">
        <w:rPr>
          <w:rFonts w:ascii="Book Antiqua" w:hAnsi="Book Antiqua"/>
          <w:i/>
          <w:szCs w:val="24"/>
          <w:lang w:val="es-ES"/>
        </w:rPr>
        <w:t>injunction</w:t>
      </w:r>
      <w:proofErr w:type="spellEnd"/>
      <w:r w:rsidR="00B24C22" w:rsidRPr="007C7A99">
        <w:rPr>
          <w:rFonts w:ascii="Book Antiqua" w:hAnsi="Book Antiqua"/>
          <w:szCs w:val="24"/>
          <w:lang w:val="es-ES"/>
        </w:rPr>
        <w:t xml:space="preserve"> permanente</w:t>
      </w:r>
      <w:bookmarkEnd w:id="5"/>
      <w:r w:rsidR="00B24C22" w:rsidRPr="007C7A99">
        <w:rPr>
          <w:rFonts w:ascii="Book Antiqua" w:hAnsi="Book Antiqua"/>
          <w:szCs w:val="24"/>
          <w:lang w:val="es-ES"/>
        </w:rPr>
        <w:t>; y para otros fines relacionados.</w:t>
      </w:r>
    </w:p>
    <w:bookmarkEnd w:id="4"/>
    <w:p w14:paraId="771800BC" w14:textId="77777777" w:rsidR="00A06A16" w:rsidRPr="007C7A99" w:rsidRDefault="00A06A16" w:rsidP="006F51A8">
      <w:pPr>
        <w:tabs>
          <w:tab w:val="left" w:pos="-720"/>
        </w:tabs>
        <w:suppressAutoHyphens/>
        <w:spacing w:line="360" w:lineRule="auto"/>
        <w:ind w:firstLine="360"/>
        <w:jc w:val="center"/>
        <w:rPr>
          <w:rFonts w:ascii="Book Antiqua" w:hAnsi="Book Antiqua"/>
          <w:b/>
          <w:bCs/>
          <w:lang w:val="es-ES"/>
        </w:rPr>
      </w:pPr>
    </w:p>
    <w:p w14:paraId="6EE110C6" w14:textId="695AAC9E" w:rsidR="006F51A8" w:rsidRPr="007C7A99" w:rsidRDefault="009F427F" w:rsidP="000C52A1">
      <w:pPr>
        <w:tabs>
          <w:tab w:val="left" w:pos="-720"/>
        </w:tabs>
        <w:suppressAutoHyphens/>
        <w:ind w:firstLine="360"/>
        <w:jc w:val="center"/>
        <w:rPr>
          <w:rFonts w:ascii="Book Antiqua" w:hAnsi="Book Antiqua"/>
          <w:b/>
          <w:bCs/>
          <w:lang w:val="es-ES"/>
        </w:rPr>
      </w:pPr>
      <w:r w:rsidRPr="007C7A99">
        <w:rPr>
          <w:rFonts w:ascii="Book Antiqua" w:hAnsi="Book Antiqua"/>
          <w:b/>
          <w:bCs/>
          <w:lang w:val="es-ES"/>
        </w:rPr>
        <w:t>ANÁLISIS DE LA MEDIDA</w:t>
      </w:r>
    </w:p>
    <w:p w14:paraId="6FD2A601" w14:textId="77777777" w:rsidR="000C52A1" w:rsidRDefault="000C52A1" w:rsidP="000C52A1">
      <w:pPr>
        <w:tabs>
          <w:tab w:val="left" w:pos="-720"/>
        </w:tabs>
        <w:suppressAutoHyphens/>
        <w:ind w:firstLine="360"/>
        <w:jc w:val="center"/>
        <w:rPr>
          <w:rFonts w:ascii="Book Antiqua" w:hAnsi="Book Antiqua"/>
          <w:b/>
          <w:bCs/>
          <w:lang w:val="es-ES"/>
        </w:rPr>
      </w:pPr>
    </w:p>
    <w:p w14:paraId="0139847C" w14:textId="76BFD077" w:rsidR="001B4C08" w:rsidRPr="001B4C08" w:rsidRDefault="001B4C08" w:rsidP="000C52A1">
      <w:pPr>
        <w:tabs>
          <w:tab w:val="left" w:pos="-720"/>
        </w:tabs>
        <w:suppressAutoHyphens/>
        <w:ind w:firstLine="360"/>
        <w:jc w:val="center"/>
        <w:rPr>
          <w:rFonts w:ascii="Book Antiqua" w:hAnsi="Book Antiqua"/>
          <w:b/>
          <w:bCs/>
          <w:i/>
          <w:iCs/>
          <w:smallCaps/>
          <w:lang w:val="es-ES"/>
        </w:rPr>
      </w:pPr>
      <w:r w:rsidRPr="001B4C08">
        <w:rPr>
          <w:rFonts w:ascii="Book Antiqua" w:hAnsi="Book Antiqua"/>
          <w:b/>
          <w:bCs/>
          <w:i/>
          <w:iCs/>
          <w:smallCaps/>
          <w:lang w:val="es-ES"/>
        </w:rPr>
        <w:t xml:space="preserve">Marco normativo vigente en cuanto a los </w:t>
      </w:r>
      <w:proofErr w:type="spellStart"/>
      <w:r w:rsidRPr="001B4C08">
        <w:rPr>
          <w:rFonts w:ascii="Book Antiqua" w:hAnsi="Book Antiqua"/>
          <w:b/>
          <w:bCs/>
          <w:i/>
          <w:iCs/>
          <w:smallCaps/>
          <w:lang w:val="es-ES"/>
        </w:rPr>
        <w:t>injunction</w:t>
      </w:r>
      <w:proofErr w:type="spellEnd"/>
    </w:p>
    <w:p w14:paraId="0EC92B27" w14:textId="77777777" w:rsidR="001B4C08" w:rsidRPr="007C7A99" w:rsidRDefault="001B4C08" w:rsidP="000C52A1">
      <w:pPr>
        <w:tabs>
          <w:tab w:val="left" w:pos="-720"/>
        </w:tabs>
        <w:suppressAutoHyphens/>
        <w:ind w:firstLine="360"/>
        <w:jc w:val="center"/>
        <w:rPr>
          <w:rFonts w:ascii="Book Antiqua" w:hAnsi="Book Antiqua"/>
          <w:b/>
          <w:bCs/>
          <w:lang w:val="es-ES"/>
        </w:rPr>
      </w:pPr>
    </w:p>
    <w:p w14:paraId="62BD9383" w14:textId="767E6853" w:rsidR="007C7A99" w:rsidRDefault="009F524F" w:rsidP="007C7A99">
      <w:pPr>
        <w:tabs>
          <w:tab w:val="left" w:pos="-720"/>
        </w:tabs>
        <w:suppressAutoHyphens/>
        <w:ind w:firstLine="360"/>
        <w:jc w:val="both"/>
        <w:rPr>
          <w:rFonts w:ascii="Book Antiqua" w:hAnsi="Book Antiqua"/>
          <w:lang w:val="es-ES"/>
        </w:rPr>
      </w:pPr>
      <w:r w:rsidRPr="007C7A99">
        <w:rPr>
          <w:rFonts w:ascii="Book Antiqua" w:hAnsi="Book Antiqua"/>
          <w:lang w:val="es-ES"/>
        </w:rPr>
        <w:tab/>
      </w:r>
      <w:r w:rsidR="007C7A99" w:rsidRPr="007C7A99">
        <w:rPr>
          <w:rFonts w:ascii="Book Antiqua" w:hAnsi="Book Antiqua"/>
          <w:lang w:val="es-ES"/>
        </w:rPr>
        <w:t xml:space="preserve">La Regla 57 de las Reglas de Procedimiento Civil de Puerto Rico </w:t>
      </w:r>
      <w:r w:rsidR="00811269">
        <w:rPr>
          <w:rFonts w:ascii="Book Antiqua" w:hAnsi="Book Antiqua"/>
          <w:lang w:val="es-ES"/>
        </w:rPr>
        <w:t xml:space="preserve">y los </w:t>
      </w:r>
      <w:r w:rsidR="00F072F9">
        <w:rPr>
          <w:rFonts w:ascii="Book Antiqua" w:hAnsi="Book Antiqua"/>
          <w:lang w:val="es-ES"/>
        </w:rPr>
        <w:t>Artículos</w:t>
      </w:r>
      <w:r w:rsidR="00811269">
        <w:rPr>
          <w:rFonts w:ascii="Book Antiqua" w:hAnsi="Book Antiqua"/>
          <w:lang w:val="es-ES"/>
        </w:rPr>
        <w:t xml:space="preserve"> </w:t>
      </w:r>
      <w:r w:rsidR="00F072F9">
        <w:rPr>
          <w:rFonts w:ascii="Book Antiqua" w:hAnsi="Book Antiqua"/>
          <w:lang w:val="es-ES"/>
        </w:rPr>
        <w:t xml:space="preserve">675 al 687 del Código de Enjuiciamiento Civil </w:t>
      </w:r>
      <w:r w:rsidR="002B2168" w:rsidRPr="002B2168">
        <w:rPr>
          <w:rFonts w:ascii="Book Antiqua" w:hAnsi="Book Antiqua"/>
          <w:lang w:val="es-ES"/>
        </w:rPr>
        <w:t>de Puerto Rico de 1933</w:t>
      </w:r>
      <w:r w:rsidR="002B2168">
        <w:rPr>
          <w:rFonts w:ascii="Book Antiqua" w:hAnsi="Book Antiqua"/>
          <w:lang w:val="es-ES"/>
        </w:rPr>
        <w:t xml:space="preserve"> </w:t>
      </w:r>
      <w:r w:rsidR="007C7A99" w:rsidRPr="007C7A99">
        <w:rPr>
          <w:rFonts w:ascii="Book Antiqua" w:hAnsi="Book Antiqua"/>
          <w:lang w:val="es-ES"/>
        </w:rPr>
        <w:t>rige</w:t>
      </w:r>
      <w:r w:rsidR="00F072F9">
        <w:rPr>
          <w:rFonts w:ascii="Book Antiqua" w:hAnsi="Book Antiqua"/>
          <w:lang w:val="es-ES"/>
        </w:rPr>
        <w:t>n</w:t>
      </w:r>
      <w:r w:rsidR="007C7A99" w:rsidRPr="007C7A99">
        <w:rPr>
          <w:rFonts w:ascii="Book Antiqua" w:hAnsi="Book Antiqua"/>
          <w:lang w:val="es-ES"/>
        </w:rPr>
        <w:t xml:space="preserve"> la concesión de órdenes de entredicho e </w:t>
      </w:r>
      <w:proofErr w:type="spellStart"/>
      <w:r w:rsidR="007C7A99" w:rsidRPr="007C7A99">
        <w:rPr>
          <w:rFonts w:ascii="Book Antiqua" w:hAnsi="Book Antiqua"/>
          <w:i/>
          <w:iCs/>
          <w:lang w:val="es-ES"/>
        </w:rPr>
        <w:t>injunctions</w:t>
      </w:r>
      <w:proofErr w:type="spellEnd"/>
      <w:r w:rsidR="007C7A99" w:rsidRPr="007C7A99">
        <w:rPr>
          <w:rFonts w:ascii="Book Antiqua" w:hAnsi="Book Antiqua"/>
          <w:lang w:val="es-ES"/>
        </w:rPr>
        <w:t>, estableciendo un marco normativo que busca balancear la protección inmediata de derechos con las garantías procesales de la parte adversa.</w:t>
      </w:r>
    </w:p>
    <w:p w14:paraId="2785AEDE" w14:textId="59810DDE" w:rsidR="003D052D" w:rsidRDefault="00B13906" w:rsidP="003D052D">
      <w:pPr>
        <w:tabs>
          <w:tab w:val="left" w:pos="-720"/>
        </w:tabs>
        <w:suppressAutoHyphens/>
        <w:ind w:firstLine="360"/>
        <w:jc w:val="both"/>
        <w:rPr>
          <w:rFonts w:ascii="Book Antiqua" w:hAnsi="Book Antiqua"/>
          <w:lang w:val="es-ES"/>
        </w:rPr>
      </w:pPr>
      <w:r>
        <w:rPr>
          <w:rFonts w:ascii="Book Antiqua" w:hAnsi="Book Antiqua"/>
          <w:lang w:val="es-ES"/>
        </w:rPr>
        <w:tab/>
      </w:r>
      <w:r w:rsidR="003D052D" w:rsidRPr="003D052D">
        <w:rPr>
          <w:rFonts w:ascii="Book Antiqua" w:hAnsi="Book Antiqua"/>
          <w:lang w:val="es-ES"/>
        </w:rPr>
        <w:t xml:space="preserve">El </w:t>
      </w:r>
      <w:proofErr w:type="spellStart"/>
      <w:r w:rsidR="003D052D" w:rsidRPr="00B13906">
        <w:rPr>
          <w:rFonts w:ascii="Book Antiqua" w:hAnsi="Book Antiqua"/>
          <w:i/>
          <w:iCs/>
          <w:lang w:val="es-ES"/>
        </w:rPr>
        <w:t>injunction</w:t>
      </w:r>
      <w:proofErr w:type="spellEnd"/>
      <w:r w:rsidR="003D052D" w:rsidRPr="003D052D">
        <w:rPr>
          <w:rFonts w:ascii="Book Antiqua" w:hAnsi="Book Antiqua"/>
          <w:lang w:val="es-ES"/>
        </w:rPr>
        <w:t xml:space="preserve"> constituye un mandamiento judicial expedido por escrito, bajo el sello del tribunal, mediante el cual se ordena a una persona abstenerse de realizar, o permitir que se realice bajo su intervención, un acto específico que atente contra o </w:t>
      </w:r>
      <w:r w:rsidR="003D052D" w:rsidRPr="003D052D">
        <w:rPr>
          <w:rFonts w:ascii="Book Antiqua" w:hAnsi="Book Antiqua"/>
          <w:lang w:val="es-ES"/>
        </w:rPr>
        <w:lastRenderedPageBreak/>
        <w:t>menoscabe el derecho de otro.</w:t>
      </w:r>
      <w:r w:rsidR="002A54C2">
        <w:rPr>
          <w:rStyle w:val="FootnoteReference"/>
          <w:rFonts w:ascii="Book Antiqua" w:hAnsi="Book Antiqua"/>
          <w:lang w:val="es-ES"/>
        </w:rPr>
        <w:footnoteReference w:id="1"/>
      </w:r>
      <w:r w:rsidR="002A54C2">
        <w:rPr>
          <w:rFonts w:ascii="Book Antiqua" w:hAnsi="Book Antiqua"/>
          <w:lang w:val="es-ES"/>
        </w:rPr>
        <w:t xml:space="preserve"> </w:t>
      </w:r>
      <w:r w:rsidR="003D052D" w:rsidRPr="003D052D">
        <w:rPr>
          <w:rFonts w:ascii="Book Antiqua" w:hAnsi="Book Antiqua"/>
          <w:lang w:val="es-ES"/>
        </w:rPr>
        <w:t>Este remedio, que puede ser provisional</w:t>
      </w:r>
      <w:r>
        <w:rPr>
          <w:rStyle w:val="FootnoteReference"/>
          <w:rFonts w:ascii="Book Antiqua" w:hAnsi="Book Antiqua"/>
          <w:lang w:val="es-ES"/>
        </w:rPr>
        <w:footnoteReference w:id="2"/>
      </w:r>
      <w:r w:rsidR="003D052D" w:rsidRPr="003D052D">
        <w:rPr>
          <w:rFonts w:ascii="Book Antiqua" w:hAnsi="Book Antiqua"/>
          <w:lang w:val="es-ES"/>
        </w:rPr>
        <w:t xml:space="preserve"> o permanente, se concibe como un instrumento procesal para garantizar la efectividad del derecho sustantivo invocado en </w:t>
      </w:r>
      <w:r w:rsidR="00AA6126">
        <w:rPr>
          <w:rFonts w:ascii="Book Antiqua" w:hAnsi="Book Antiqua"/>
          <w:lang w:val="es-ES"/>
        </w:rPr>
        <w:t>una</w:t>
      </w:r>
      <w:r w:rsidR="003D052D" w:rsidRPr="003D052D">
        <w:rPr>
          <w:rFonts w:ascii="Book Antiqua" w:hAnsi="Book Antiqua"/>
          <w:lang w:val="es-ES"/>
        </w:rPr>
        <w:t xml:space="preserve"> demanda.</w:t>
      </w:r>
    </w:p>
    <w:p w14:paraId="72965F51" w14:textId="77777777" w:rsidR="005479D1" w:rsidRDefault="005479D1" w:rsidP="005479D1">
      <w:pPr>
        <w:tabs>
          <w:tab w:val="left" w:pos="-720"/>
        </w:tabs>
        <w:suppressAutoHyphens/>
        <w:jc w:val="both"/>
        <w:rPr>
          <w:rFonts w:ascii="Book Antiqua" w:hAnsi="Book Antiqua"/>
          <w:lang w:val="es-ES"/>
        </w:rPr>
      </w:pPr>
    </w:p>
    <w:p w14:paraId="36CD9445" w14:textId="584A12B4" w:rsidR="005479D1" w:rsidRPr="005479D1" w:rsidRDefault="005479D1" w:rsidP="005479D1">
      <w:pPr>
        <w:tabs>
          <w:tab w:val="left" w:pos="-720"/>
        </w:tabs>
        <w:suppressAutoHyphens/>
        <w:jc w:val="center"/>
        <w:rPr>
          <w:rFonts w:ascii="Book Antiqua" w:hAnsi="Book Antiqua"/>
          <w:b/>
          <w:bCs/>
          <w:i/>
          <w:iCs/>
          <w:smallCaps/>
          <w:lang w:val="es-ES"/>
        </w:rPr>
      </w:pPr>
      <w:r w:rsidRPr="005479D1">
        <w:rPr>
          <w:rFonts w:ascii="Book Antiqua" w:hAnsi="Book Antiqua"/>
          <w:b/>
          <w:bCs/>
          <w:i/>
          <w:iCs/>
          <w:smallCaps/>
          <w:lang w:val="es-ES"/>
        </w:rPr>
        <w:t xml:space="preserve">Naturaleza del </w:t>
      </w:r>
      <w:proofErr w:type="spellStart"/>
      <w:r w:rsidRPr="005479D1">
        <w:rPr>
          <w:rFonts w:ascii="Book Antiqua" w:hAnsi="Book Antiqua"/>
          <w:b/>
          <w:bCs/>
          <w:i/>
          <w:iCs/>
          <w:smallCaps/>
          <w:lang w:val="es-ES"/>
        </w:rPr>
        <w:t>inju</w:t>
      </w:r>
      <w:r>
        <w:rPr>
          <w:rFonts w:ascii="Book Antiqua" w:hAnsi="Book Antiqua"/>
          <w:b/>
          <w:bCs/>
          <w:i/>
          <w:iCs/>
          <w:smallCaps/>
          <w:lang w:val="es-ES"/>
        </w:rPr>
        <w:t>n</w:t>
      </w:r>
      <w:r w:rsidRPr="005479D1">
        <w:rPr>
          <w:rFonts w:ascii="Book Antiqua" w:hAnsi="Book Antiqua"/>
          <w:b/>
          <w:bCs/>
          <w:i/>
          <w:iCs/>
          <w:smallCaps/>
          <w:lang w:val="es-ES"/>
        </w:rPr>
        <w:t>ction</w:t>
      </w:r>
      <w:proofErr w:type="spellEnd"/>
    </w:p>
    <w:p w14:paraId="58524EB3" w14:textId="77777777" w:rsidR="005479D1" w:rsidRPr="003D052D" w:rsidRDefault="005479D1" w:rsidP="003D052D">
      <w:pPr>
        <w:tabs>
          <w:tab w:val="left" w:pos="-720"/>
        </w:tabs>
        <w:suppressAutoHyphens/>
        <w:ind w:firstLine="360"/>
        <w:jc w:val="both"/>
        <w:rPr>
          <w:rFonts w:ascii="Book Antiqua" w:hAnsi="Book Antiqua"/>
          <w:lang w:val="es-ES"/>
        </w:rPr>
      </w:pPr>
    </w:p>
    <w:p w14:paraId="5C840AD1" w14:textId="77B1EDDD" w:rsidR="003D052D" w:rsidRPr="003D052D" w:rsidRDefault="003A3BB7" w:rsidP="00A62AED">
      <w:pPr>
        <w:tabs>
          <w:tab w:val="left" w:pos="-720"/>
        </w:tabs>
        <w:suppressAutoHyphens/>
        <w:ind w:firstLine="360"/>
        <w:jc w:val="both"/>
        <w:rPr>
          <w:rFonts w:ascii="Book Antiqua" w:hAnsi="Book Antiqua"/>
          <w:lang w:val="es-ES"/>
        </w:rPr>
      </w:pPr>
      <w:r>
        <w:rPr>
          <w:rFonts w:ascii="Book Antiqua" w:hAnsi="Book Antiqua"/>
          <w:lang w:val="es-ES"/>
        </w:rPr>
        <w:tab/>
      </w:r>
      <w:r w:rsidR="003D052D" w:rsidRPr="003D052D">
        <w:rPr>
          <w:rFonts w:ascii="Book Antiqua" w:hAnsi="Book Antiqua"/>
          <w:lang w:val="es-ES"/>
        </w:rPr>
        <w:t xml:space="preserve">Ahora bien, el </w:t>
      </w:r>
      <w:proofErr w:type="spellStart"/>
      <w:r w:rsidR="003D052D" w:rsidRPr="003A3BB7">
        <w:rPr>
          <w:rFonts w:ascii="Book Antiqua" w:hAnsi="Book Antiqua"/>
          <w:i/>
          <w:iCs/>
          <w:lang w:val="es-ES"/>
        </w:rPr>
        <w:t>injunction</w:t>
      </w:r>
      <w:proofErr w:type="spellEnd"/>
      <w:r w:rsidR="003D052D" w:rsidRPr="003D052D">
        <w:rPr>
          <w:rFonts w:ascii="Book Antiqua" w:hAnsi="Book Antiqua"/>
          <w:lang w:val="es-ES"/>
        </w:rPr>
        <w:t xml:space="preserve"> es un recurso de carácter extraordinario, cuya función es esencialmente preventiva y correctiva. Se distingue por su naturaleza perentoria y por estar dirigido a evitar un daño inminente o a restablecer el orden jurídico perturbado por una conducta ilegal, opresiva o violenta.</w:t>
      </w:r>
      <w:r>
        <w:rPr>
          <w:rStyle w:val="FootnoteReference"/>
          <w:rFonts w:ascii="Book Antiqua" w:hAnsi="Book Antiqua"/>
          <w:lang w:val="es-ES"/>
        </w:rPr>
        <w:footnoteReference w:id="3"/>
      </w:r>
      <w:r w:rsidR="003D052D" w:rsidRPr="003D052D">
        <w:rPr>
          <w:rFonts w:ascii="Book Antiqua" w:hAnsi="Book Antiqua"/>
          <w:lang w:val="es-ES"/>
        </w:rPr>
        <w:t xml:space="preserve"> Precisamente por su carácter extraordinario, la concesión de un </w:t>
      </w:r>
      <w:proofErr w:type="spellStart"/>
      <w:r w:rsidR="003D052D" w:rsidRPr="00A62AED">
        <w:rPr>
          <w:rFonts w:ascii="Book Antiqua" w:hAnsi="Book Antiqua"/>
          <w:i/>
          <w:iCs/>
          <w:lang w:val="es-ES"/>
        </w:rPr>
        <w:t>injunction</w:t>
      </w:r>
      <w:proofErr w:type="spellEnd"/>
      <w:r w:rsidR="003D052D" w:rsidRPr="003D052D">
        <w:rPr>
          <w:rFonts w:ascii="Book Antiqua" w:hAnsi="Book Antiqua"/>
          <w:lang w:val="es-ES"/>
        </w:rPr>
        <w:t xml:space="preserve"> queda sujeta a la discreción judicial.</w:t>
      </w:r>
      <w:r w:rsidR="00A62AED">
        <w:rPr>
          <w:rStyle w:val="FootnoteReference"/>
          <w:rFonts w:ascii="Book Antiqua" w:hAnsi="Book Antiqua"/>
          <w:lang w:val="es-ES"/>
        </w:rPr>
        <w:footnoteReference w:id="4"/>
      </w:r>
      <w:r w:rsidR="003D052D" w:rsidRPr="003D052D">
        <w:rPr>
          <w:rFonts w:ascii="Book Antiqua" w:hAnsi="Book Antiqua"/>
          <w:lang w:val="es-ES"/>
        </w:rPr>
        <w:t xml:space="preserve"> En virtud de su origen, la concesión de este remedio está gobernada por principios de equidad.</w:t>
      </w:r>
      <w:r w:rsidR="00545A3A">
        <w:rPr>
          <w:rStyle w:val="FootnoteReference"/>
          <w:rFonts w:ascii="Book Antiqua" w:hAnsi="Book Antiqua"/>
          <w:lang w:val="es-ES"/>
        </w:rPr>
        <w:footnoteReference w:id="5"/>
      </w:r>
      <w:r w:rsidR="003D052D" w:rsidRPr="003D052D">
        <w:rPr>
          <w:rFonts w:ascii="Book Antiqua" w:hAnsi="Book Antiqua"/>
          <w:lang w:val="es-ES"/>
        </w:rPr>
        <w:t xml:space="preserve"> Ello implica que la parte promovente debe demostrar que no cuenta con un remedio adecuado en ley. Se consideran adecuados aquellos remedios que pueden obtenerse en una acción ordinaria por daños y perjuicios, en un proceso criminal o en cualquier otra vía legal disponible.</w:t>
      </w:r>
      <w:r w:rsidR="0099264B">
        <w:rPr>
          <w:rStyle w:val="FootnoteReference"/>
          <w:rFonts w:ascii="Book Antiqua" w:hAnsi="Book Antiqua"/>
          <w:lang w:val="es-ES"/>
        </w:rPr>
        <w:footnoteReference w:id="6"/>
      </w:r>
      <w:r w:rsidR="003D052D" w:rsidRPr="003D052D">
        <w:rPr>
          <w:rFonts w:ascii="Book Antiqua" w:hAnsi="Book Antiqua"/>
          <w:lang w:val="es-ES"/>
        </w:rPr>
        <w:t xml:space="preserve"> En consecuencia, mientras exista un remedio eficaz, completo y adecuado en ley, el daño no se considera irreparable, y no procederá </w:t>
      </w:r>
      <w:r w:rsidR="003D052D" w:rsidRPr="003D052D">
        <w:rPr>
          <w:rFonts w:ascii="Book Antiqua" w:hAnsi="Book Antiqua"/>
          <w:lang w:val="es-ES"/>
        </w:rPr>
        <w:lastRenderedPageBreak/>
        <w:t xml:space="preserve">el </w:t>
      </w:r>
      <w:proofErr w:type="spellStart"/>
      <w:r w:rsidR="003D052D" w:rsidRPr="00556723">
        <w:rPr>
          <w:rFonts w:ascii="Book Antiqua" w:hAnsi="Book Antiqua"/>
          <w:i/>
          <w:iCs/>
          <w:lang w:val="es-ES"/>
        </w:rPr>
        <w:t>injunction</w:t>
      </w:r>
      <w:proofErr w:type="spellEnd"/>
      <w:r w:rsidR="003D052D" w:rsidRPr="003D052D">
        <w:rPr>
          <w:rFonts w:ascii="Book Antiqua" w:hAnsi="Book Antiqua"/>
          <w:lang w:val="es-ES"/>
        </w:rPr>
        <w:t>.</w:t>
      </w:r>
      <w:r w:rsidR="00556723">
        <w:rPr>
          <w:rFonts w:ascii="Book Antiqua" w:hAnsi="Book Antiqua"/>
          <w:lang w:val="es-ES"/>
        </w:rPr>
        <w:t xml:space="preserve"> </w:t>
      </w:r>
      <w:r w:rsidR="003D052D" w:rsidRPr="003D052D">
        <w:rPr>
          <w:rFonts w:ascii="Book Antiqua" w:hAnsi="Book Antiqua"/>
          <w:lang w:val="es-ES"/>
        </w:rPr>
        <w:t xml:space="preserve">Dicho de otro modo, un daño irreparable es aquel que no puede ser suficientemente reparado mediante los remedios legales existentes, y solo en esos casos procede acudir al </w:t>
      </w:r>
      <w:proofErr w:type="spellStart"/>
      <w:r w:rsidR="003D052D" w:rsidRPr="00556723">
        <w:rPr>
          <w:rFonts w:ascii="Book Antiqua" w:hAnsi="Book Antiqua"/>
          <w:i/>
          <w:iCs/>
          <w:lang w:val="es-ES"/>
        </w:rPr>
        <w:t>injunction</w:t>
      </w:r>
      <w:proofErr w:type="spellEnd"/>
      <w:r w:rsidR="003D052D" w:rsidRPr="003D052D">
        <w:rPr>
          <w:rFonts w:ascii="Book Antiqua" w:hAnsi="Book Antiqua"/>
          <w:lang w:val="es-ES"/>
        </w:rPr>
        <w:t>.</w:t>
      </w:r>
      <w:r w:rsidR="00556723">
        <w:rPr>
          <w:rStyle w:val="FootnoteReference"/>
          <w:rFonts w:ascii="Book Antiqua" w:hAnsi="Book Antiqua"/>
          <w:lang w:val="es-ES"/>
        </w:rPr>
        <w:footnoteReference w:id="7"/>
      </w:r>
      <w:r w:rsidR="003D052D" w:rsidRPr="003D052D">
        <w:rPr>
          <w:rFonts w:ascii="Book Antiqua" w:hAnsi="Book Antiqua"/>
          <w:lang w:val="es-ES"/>
        </w:rPr>
        <w:t xml:space="preserve"> La determinación de si existe un remedio adecuado en ley y, por ende, de si el daño es irreparable, dependerá de los hechos y circunstancias de cada caso en particular. </w:t>
      </w:r>
    </w:p>
    <w:p w14:paraId="509FDBC7" w14:textId="0478E371" w:rsidR="003D052D" w:rsidRPr="003D052D" w:rsidRDefault="002C2A28" w:rsidP="003D052D">
      <w:pPr>
        <w:tabs>
          <w:tab w:val="left" w:pos="-720"/>
        </w:tabs>
        <w:suppressAutoHyphens/>
        <w:ind w:firstLine="360"/>
        <w:jc w:val="both"/>
        <w:rPr>
          <w:rFonts w:ascii="Book Antiqua" w:hAnsi="Book Antiqua"/>
          <w:lang w:val="es-ES"/>
        </w:rPr>
      </w:pPr>
      <w:r>
        <w:rPr>
          <w:rFonts w:ascii="Book Antiqua" w:hAnsi="Book Antiqua"/>
          <w:lang w:val="es-ES"/>
        </w:rPr>
        <w:tab/>
      </w:r>
      <w:r w:rsidR="003D052D" w:rsidRPr="003D052D">
        <w:rPr>
          <w:rFonts w:ascii="Book Antiqua" w:hAnsi="Book Antiqua"/>
          <w:lang w:val="es-ES"/>
        </w:rPr>
        <w:t xml:space="preserve">El </w:t>
      </w:r>
      <w:proofErr w:type="spellStart"/>
      <w:r w:rsidR="003D052D" w:rsidRPr="002C2A28">
        <w:rPr>
          <w:rFonts w:ascii="Book Antiqua" w:hAnsi="Book Antiqua"/>
          <w:i/>
          <w:iCs/>
          <w:lang w:val="es-ES"/>
        </w:rPr>
        <w:t>injunction</w:t>
      </w:r>
      <w:proofErr w:type="spellEnd"/>
      <w:r w:rsidR="003D052D" w:rsidRPr="003D052D">
        <w:rPr>
          <w:rFonts w:ascii="Book Antiqua" w:hAnsi="Book Antiqua"/>
          <w:lang w:val="es-ES"/>
        </w:rPr>
        <w:t xml:space="preserve"> preliminar tiene como finalidad preservar el </w:t>
      </w:r>
      <w:proofErr w:type="spellStart"/>
      <w:proofErr w:type="gramStart"/>
      <w:r w:rsidR="003D052D" w:rsidRPr="002C2A28">
        <w:rPr>
          <w:rFonts w:ascii="Book Antiqua" w:hAnsi="Book Antiqua"/>
          <w:i/>
          <w:iCs/>
          <w:lang w:val="es-ES"/>
        </w:rPr>
        <w:t>status</w:t>
      </w:r>
      <w:proofErr w:type="spellEnd"/>
      <w:proofErr w:type="gramEnd"/>
      <w:r w:rsidR="003D052D" w:rsidRPr="002C2A28">
        <w:rPr>
          <w:rFonts w:ascii="Book Antiqua" w:hAnsi="Book Antiqua"/>
          <w:i/>
          <w:iCs/>
          <w:lang w:val="es-ES"/>
        </w:rPr>
        <w:t xml:space="preserve"> quo</w:t>
      </w:r>
      <w:r w:rsidR="003D052D" w:rsidRPr="003D052D">
        <w:rPr>
          <w:rFonts w:ascii="Book Antiqua" w:hAnsi="Book Antiqua"/>
          <w:lang w:val="es-ES"/>
        </w:rPr>
        <w:t xml:space="preserve"> hasta la celebración del juicio en sus méritos. De esta manera, la orden evita que la conducta del demandado genere una situación que vuelva inoficioso el dictamen final o que cause un daño mayor al promovente mientras se ventila el pleito.</w:t>
      </w:r>
      <w:r>
        <w:rPr>
          <w:rStyle w:val="FootnoteReference"/>
          <w:rFonts w:ascii="Book Antiqua" w:hAnsi="Book Antiqua"/>
          <w:lang w:val="es-ES"/>
        </w:rPr>
        <w:footnoteReference w:id="8"/>
      </w:r>
      <w:r w:rsidR="003D052D" w:rsidRPr="003D052D">
        <w:rPr>
          <w:rFonts w:ascii="Book Antiqua" w:hAnsi="Book Antiqua"/>
          <w:lang w:val="es-ES"/>
        </w:rPr>
        <w:t xml:space="preserve"> </w:t>
      </w:r>
    </w:p>
    <w:p w14:paraId="2A03998A" w14:textId="77777777" w:rsidR="00E66B67" w:rsidRDefault="00EE05F4" w:rsidP="003D052D">
      <w:pPr>
        <w:tabs>
          <w:tab w:val="left" w:pos="-720"/>
        </w:tabs>
        <w:suppressAutoHyphens/>
        <w:ind w:firstLine="360"/>
        <w:jc w:val="both"/>
        <w:rPr>
          <w:rFonts w:ascii="Book Antiqua" w:hAnsi="Book Antiqua"/>
          <w:lang w:val="es-ES"/>
        </w:rPr>
      </w:pPr>
      <w:r>
        <w:rPr>
          <w:rFonts w:ascii="Book Antiqua" w:hAnsi="Book Antiqua"/>
          <w:lang w:val="es-ES"/>
        </w:rPr>
        <w:tab/>
      </w:r>
      <w:r w:rsidR="003D052D" w:rsidRPr="003D052D">
        <w:rPr>
          <w:rFonts w:ascii="Book Antiqua" w:hAnsi="Book Antiqua"/>
          <w:lang w:val="es-ES"/>
        </w:rPr>
        <w:t xml:space="preserve">Por su parte, el </w:t>
      </w:r>
      <w:proofErr w:type="spellStart"/>
      <w:r w:rsidR="003D052D" w:rsidRPr="00EE05F4">
        <w:rPr>
          <w:rFonts w:ascii="Book Antiqua" w:hAnsi="Book Antiqua"/>
          <w:i/>
          <w:iCs/>
          <w:lang w:val="es-ES"/>
        </w:rPr>
        <w:t>injunction</w:t>
      </w:r>
      <w:proofErr w:type="spellEnd"/>
      <w:r w:rsidR="003D052D" w:rsidRPr="003D052D">
        <w:rPr>
          <w:rFonts w:ascii="Book Antiqua" w:hAnsi="Book Antiqua"/>
          <w:lang w:val="es-ES"/>
        </w:rPr>
        <w:t xml:space="preserve"> permanente solo procede </w:t>
      </w:r>
      <w:r w:rsidR="00BA6C22">
        <w:rPr>
          <w:rFonts w:ascii="Book Antiqua" w:hAnsi="Book Antiqua"/>
          <w:lang w:val="es-ES"/>
        </w:rPr>
        <w:t>luego de la celebración de</w:t>
      </w:r>
      <w:r w:rsidR="003D052D" w:rsidRPr="003D052D">
        <w:rPr>
          <w:rFonts w:ascii="Book Antiqua" w:hAnsi="Book Antiqua"/>
          <w:lang w:val="es-ES"/>
        </w:rPr>
        <w:t xml:space="preserve"> un juicio en los méritos, donde el tribunal debe evaluar nuevamente si existe un remedio adecuado en ley. </w:t>
      </w:r>
    </w:p>
    <w:p w14:paraId="7723A97E" w14:textId="77777777" w:rsidR="00E66B67" w:rsidRDefault="00E66B67" w:rsidP="00E66B67">
      <w:pPr>
        <w:tabs>
          <w:tab w:val="left" w:pos="-720"/>
        </w:tabs>
        <w:suppressAutoHyphens/>
        <w:jc w:val="both"/>
        <w:rPr>
          <w:rFonts w:ascii="Book Antiqua" w:hAnsi="Book Antiqua"/>
          <w:lang w:val="es-ES"/>
        </w:rPr>
      </w:pPr>
    </w:p>
    <w:p w14:paraId="4DE961D7" w14:textId="6CBADE76" w:rsidR="00E66B67" w:rsidRPr="00E66B67" w:rsidRDefault="00E66B67" w:rsidP="00E66B67">
      <w:pPr>
        <w:tabs>
          <w:tab w:val="left" w:pos="-720"/>
        </w:tabs>
        <w:suppressAutoHyphens/>
        <w:jc w:val="center"/>
        <w:rPr>
          <w:rFonts w:ascii="Book Antiqua" w:hAnsi="Book Antiqua"/>
          <w:b/>
          <w:bCs/>
          <w:i/>
          <w:iCs/>
          <w:smallCaps/>
          <w:lang w:val="es-ES"/>
        </w:rPr>
      </w:pPr>
      <w:r w:rsidRPr="00E66B67">
        <w:rPr>
          <w:rFonts w:ascii="Book Antiqua" w:hAnsi="Book Antiqua"/>
          <w:b/>
          <w:bCs/>
          <w:i/>
          <w:iCs/>
          <w:smallCaps/>
          <w:lang w:val="es-ES"/>
        </w:rPr>
        <w:t xml:space="preserve">Criterios reconocidos por el Tribunal Supremo en cuanto al </w:t>
      </w:r>
      <w:proofErr w:type="spellStart"/>
      <w:r w:rsidRPr="00E66B67">
        <w:rPr>
          <w:rFonts w:ascii="Book Antiqua" w:hAnsi="Book Antiqua"/>
          <w:b/>
          <w:bCs/>
          <w:i/>
          <w:iCs/>
          <w:smallCaps/>
          <w:lang w:val="es-ES"/>
        </w:rPr>
        <w:t>injunction</w:t>
      </w:r>
      <w:proofErr w:type="spellEnd"/>
      <w:r w:rsidRPr="00E66B67">
        <w:rPr>
          <w:rFonts w:ascii="Book Antiqua" w:hAnsi="Book Antiqua"/>
          <w:b/>
          <w:bCs/>
          <w:i/>
          <w:iCs/>
          <w:smallCaps/>
          <w:lang w:val="es-ES"/>
        </w:rPr>
        <w:t xml:space="preserve"> permanente</w:t>
      </w:r>
    </w:p>
    <w:p w14:paraId="3F4B21AF" w14:textId="77777777" w:rsidR="00E66B67" w:rsidRDefault="00E66B67" w:rsidP="00E66B67">
      <w:pPr>
        <w:tabs>
          <w:tab w:val="left" w:pos="-720"/>
        </w:tabs>
        <w:suppressAutoHyphens/>
        <w:jc w:val="both"/>
        <w:rPr>
          <w:rFonts w:ascii="Book Antiqua" w:hAnsi="Book Antiqua"/>
          <w:lang w:val="es-ES"/>
        </w:rPr>
      </w:pPr>
    </w:p>
    <w:p w14:paraId="165E1816" w14:textId="26571DEC" w:rsidR="00EE05F4" w:rsidRDefault="00EE05F4" w:rsidP="003D052D">
      <w:pPr>
        <w:tabs>
          <w:tab w:val="left" w:pos="-720"/>
        </w:tabs>
        <w:suppressAutoHyphens/>
        <w:ind w:firstLine="360"/>
        <w:jc w:val="both"/>
        <w:rPr>
          <w:rFonts w:ascii="Book Antiqua" w:hAnsi="Book Antiqua"/>
          <w:lang w:val="es-ES"/>
        </w:rPr>
      </w:pPr>
      <w:r>
        <w:rPr>
          <w:rFonts w:ascii="Book Antiqua" w:hAnsi="Book Antiqua"/>
          <w:lang w:val="es-ES"/>
        </w:rPr>
        <w:t>El Tribunal Supremo de Puerto Rico ha establecido que l</w:t>
      </w:r>
      <w:r w:rsidR="003D052D" w:rsidRPr="003D052D">
        <w:rPr>
          <w:rFonts w:ascii="Book Antiqua" w:hAnsi="Book Antiqua"/>
          <w:lang w:val="es-ES"/>
        </w:rPr>
        <w:t xml:space="preserve">os criterios aplicables </w:t>
      </w:r>
      <w:r>
        <w:rPr>
          <w:rFonts w:ascii="Book Antiqua" w:hAnsi="Book Antiqua"/>
          <w:lang w:val="es-ES"/>
        </w:rPr>
        <w:t xml:space="preserve">para la evaluación de un </w:t>
      </w:r>
      <w:proofErr w:type="spellStart"/>
      <w:r w:rsidRPr="00EE05F4">
        <w:rPr>
          <w:rFonts w:ascii="Book Antiqua" w:hAnsi="Book Antiqua"/>
          <w:i/>
          <w:iCs/>
          <w:lang w:val="es-ES"/>
        </w:rPr>
        <w:t>injunction</w:t>
      </w:r>
      <w:proofErr w:type="spellEnd"/>
      <w:r w:rsidRPr="003D052D">
        <w:rPr>
          <w:rFonts w:ascii="Book Antiqua" w:hAnsi="Book Antiqua"/>
          <w:lang w:val="es-ES"/>
        </w:rPr>
        <w:t xml:space="preserve"> permanen</w:t>
      </w:r>
      <w:r>
        <w:rPr>
          <w:rFonts w:ascii="Book Antiqua" w:hAnsi="Book Antiqua"/>
          <w:lang w:val="es-ES"/>
        </w:rPr>
        <w:t xml:space="preserve">te </w:t>
      </w:r>
      <w:r w:rsidR="00A431A3">
        <w:rPr>
          <w:rFonts w:ascii="Book Antiqua" w:hAnsi="Book Antiqua"/>
          <w:lang w:val="es-ES"/>
        </w:rPr>
        <w:t>son</w:t>
      </w:r>
      <w:r w:rsidR="003D052D" w:rsidRPr="003D052D">
        <w:rPr>
          <w:rFonts w:ascii="Book Antiqua" w:hAnsi="Book Antiqua"/>
          <w:lang w:val="es-ES"/>
        </w:rPr>
        <w:t xml:space="preserve">: </w:t>
      </w:r>
    </w:p>
    <w:p w14:paraId="06E670F0" w14:textId="77777777" w:rsidR="001D59A9" w:rsidRDefault="001D59A9" w:rsidP="003D052D">
      <w:pPr>
        <w:tabs>
          <w:tab w:val="left" w:pos="-720"/>
        </w:tabs>
        <w:suppressAutoHyphens/>
        <w:ind w:firstLine="360"/>
        <w:jc w:val="both"/>
        <w:rPr>
          <w:rFonts w:ascii="Book Antiqua" w:hAnsi="Book Antiqua"/>
          <w:lang w:val="es-ES"/>
        </w:rPr>
      </w:pPr>
    </w:p>
    <w:p w14:paraId="38AE75B0" w14:textId="77777777" w:rsidR="00014C1A" w:rsidRDefault="00014C1A" w:rsidP="00A372B5">
      <w:pPr>
        <w:pStyle w:val="ListParagraph"/>
        <w:numPr>
          <w:ilvl w:val="0"/>
          <w:numId w:val="8"/>
        </w:numPr>
        <w:tabs>
          <w:tab w:val="left" w:pos="-720"/>
        </w:tabs>
        <w:suppressAutoHyphens/>
        <w:jc w:val="both"/>
        <w:rPr>
          <w:rFonts w:ascii="Book Antiqua" w:hAnsi="Book Antiqua"/>
          <w:lang w:val="es-ES"/>
        </w:rPr>
      </w:pPr>
      <w:r w:rsidRPr="00014C1A">
        <w:rPr>
          <w:rFonts w:ascii="Book Antiqua" w:hAnsi="Book Antiqua"/>
          <w:lang w:val="es-ES"/>
        </w:rPr>
        <w:t xml:space="preserve">si el demandante ha prevalecido en un juicio en sus méritos; </w:t>
      </w:r>
    </w:p>
    <w:p w14:paraId="6980C6AD" w14:textId="77777777" w:rsidR="00014C1A" w:rsidRDefault="00014C1A" w:rsidP="00A372B5">
      <w:pPr>
        <w:pStyle w:val="ListParagraph"/>
        <w:numPr>
          <w:ilvl w:val="0"/>
          <w:numId w:val="8"/>
        </w:numPr>
        <w:tabs>
          <w:tab w:val="left" w:pos="-720"/>
        </w:tabs>
        <w:suppressAutoHyphens/>
        <w:jc w:val="both"/>
        <w:rPr>
          <w:rFonts w:ascii="Book Antiqua" w:hAnsi="Book Antiqua"/>
          <w:lang w:val="es-ES"/>
        </w:rPr>
      </w:pPr>
      <w:r w:rsidRPr="00014C1A">
        <w:rPr>
          <w:rFonts w:ascii="Book Antiqua" w:hAnsi="Book Antiqua"/>
          <w:lang w:val="es-ES"/>
        </w:rPr>
        <w:t xml:space="preserve">si el demandante posee algún remedio adecuado en ley; </w:t>
      </w:r>
    </w:p>
    <w:p w14:paraId="7BADEF7F" w14:textId="77777777" w:rsidR="00014C1A" w:rsidRDefault="00014C1A" w:rsidP="00A372B5">
      <w:pPr>
        <w:pStyle w:val="ListParagraph"/>
        <w:numPr>
          <w:ilvl w:val="0"/>
          <w:numId w:val="8"/>
        </w:numPr>
        <w:tabs>
          <w:tab w:val="left" w:pos="-720"/>
        </w:tabs>
        <w:suppressAutoHyphens/>
        <w:jc w:val="both"/>
        <w:rPr>
          <w:rFonts w:ascii="Book Antiqua" w:hAnsi="Book Antiqua"/>
          <w:lang w:val="es-ES"/>
        </w:rPr>
      </w:pPr>
      <w:r w:rsidRPr="00014C1A">
        <w:rPr>
          <w:rFonts w:ascii="Book Antiqua" w:hAnsi="Book Antiqua"/>
          <w:lang w:val="es-ES"/>
        </w:rPr>
        <w:t xml:space="preserve">el interés público envuelto; y </w:t>
      </w:r>
    </w:p>
    <w:p w14:paraId="1FBF31B1" w14:textId="438C628F" w:rsidR="003D052D" w:rsidRPr="00A372B5" w:rsidRDefault="00014C1A" w:rsidP="00A372B5">
      <w:pPr>
        <w:pStyle w:val="ListParagraph"/>
        <w:numPr>
          <w:ilvl w:val="0"/>
          <w:numId w:val="8"/>
        </w:numPr>
        <w:tabs>
          <w:tab w:val="left" w:pos="-720"/>
        </w:tabs>
        <w:suppressAutoHyphens/>
        <w:jc w:val="both"/>
        <w:rPr>
          <w:rFonts w:ascii="Book Antiqua" w:hAnsi="Book Antiqua"/>
          <w:lang w:val="es-ES"/>
        </w:rPr>
      </w:pPr>
      <w:r w:rsidRPr="00014C1A">
        <w:rPr>
          <w:rFonts w:ascii="Book Antiqua" w:hAnsi="Book Antiqua"/>
          <w:lang w:val="es-ES"/>
        </w:rPr>
        <w:t>el balance de equidades</w:t>
      </w:r>
      <w:r w:rsidR="003D052D" w:rsidRPr="00A372B5">
        <w:rPr>
          <w:rFonts w:ascii="Book Antiqua" w:hAnsi="Book Antiqua"/>
          <w:lang w:val="es-ES"/>
        </w:rPr>
        <w:t>.</w:t>
      </w:r>
      <w:r w:rsidR="00EE05F4">
        <w:rPr>
          <w:rStyle w:val="FootnoteReference"/>
          <w:rFonts w:ascii="Book Antiqua" w:hAnsi="Book Antiqua"/>
          <w:lang w:val="es-ES"/>
        </w:rPr>
        <w:footnoteReference w:id="9"/>
      </w:r>
      <w:r w:rsidR="003D052D" w:rsidRPr="00A372B5">
        <w:rPr>
          <w:rFonts w:ascii="Book Antiqua" w:hAnsi="Book Antiqua"/>
          <w:lang w:val="es-ES"/>
        </w:rPr>
        <w:t xml:space="preserve"> </w:t>
      </w:r>
    </w:p>
    <w:p w14:paraId="4F71CBA8" w14:textId="77777777" w:rsidR="001D59A9" w:rsidRDefault="001D59A9" w:rsidP="003D052D">
      <w:pPr>
        <w:tabs>
          <w:tab w:val="left" w:pos="-720"/>
        </w:tabs>
        <w:suppressAutoHyphens/>
        <w:ind w:firstLine="360"/>
        <w:jc w:val="both"/>
        <w:rPr>
          <w:rFonts w:ascii="Book Antiqua" w:hAnsi="Book Antiqua"/>
          <w:lang w:val="es-ES"/>
        </w:rPr>
      </w:pPr>
    </w:p>
    <w:p w14:paraId="35931FC5" w14:textId="2586AE9A" w:rsidR="00940E84" w:rsidRDefault="00A372B5" w:rsidP="00A372B5">
      <w:pPr>
        <w:tabs>
          <w:tab w:val="left" w:pos="-720"/>
        </w:tabs>
        <w:suppressAutoHyphens/>
        <w:ind w:firstLine="360"/>
        <w:jc w:val="both"/>
        <w:rPr>
          <w:rFonts w:ascii="Book Antiqua" w:hAnsi="Book Antiqua"/>
          <w:lang w:val="es-ES"/>
        </w:rPr>
      </w:pPr>
      <w:r>
        <w:rPr>
          <w:rFonts w:ascii="Book Antiqua" w:hAnsi="Book Antiqua"/>
          <w:lang w:val="es-ES"/>
        </w:rPr>
        <w:tab/>
      </w:r>
      <w:r w:rsidR="003D052D" w:rsidRPr="003D052D">
        <w:rPr>
          <w:rFonts w:ascii="Book Antiqua" w:hAnsi="Book Antiqua"/>
          <w:lang w:val="es-ES"/>
        </w:rPr>
        <w:t xml:space="preserve">En suma, el </w:t>
      </w:r>
      <w:proofErr w:type="spellStart"/>
      <w:r w:rsidR="003D052D" w:rsidRPr="001D59A9">
        <w:rPr>
          <w:rFonts w:ascii="Book Antiqua" w:hAnsi="Book Antiqua"/>
          <w:i/>
          <w:iCs/>
          <w:lang w:val="es-ES"/>
        </w:rPr>
        <w:t>injunction</w:t>
      </w:r>
      <w:proofErr w:type="spellEnd"/>
      <w:r w:rsidR="003D052D" w:rsidRPr="003D052D">
        <w:rPr>
          <w:rFonts w:ascii="Book Antiqua" w:hAnsi="Book Antiqua"/>
          <w:lang w:val="es-ES"/>
        </w:rPr>
        <w:t xml:space="preserve"> se </w:t>
      </w:r>
      <w:r w:rsidR="001D59A9">
        <w:rPr>
          <w:rFonts w:ascii="Book Antiqua" w:hAnsi="Book Antiqua"/>
          <w:lang w:val="es-ES"/>
        </w:rPr>
        <w:t>establece</w:t>
      </w:r>
      <w:r w:rsidR="003D052D" w:rsidRPr="003D052D">
        <w:rPr>
          <w:rFonts w:ascii="Book Antiqua" w:hAnsi="Book Antiqua"/>
          <w:lang w:val="es-ES"/>
        </w:rPr>
        <w:t xml:space="preserve"> como un remedio extraordinario, discrecional y guiado por principios de equidad, reservado para aquellos casos en los cuales el daño no puede ser remediado adecuadamente mediante los mecanismos ordinarios de derecho.</w:t>
      </w:r>
    </w:p>
    <w:p w14:paraId="761BFC95" w14:textId="77777777" w:rsidR="00A372B5" w:rsidRPr="007C7A99" w:rsidRDefault="00A372B5" w:rsidP="00A372B5">
      <w:pPr>
        <w:tabs>
          <w:tab w:val="left" w:pos="-720"/>
        </w:tabs>
        <w:suppressAutoHyphens/>
        <w:ind w:firstLine="360"/>
        <w:jc w:val="both"/>
        <w:rPr>
          <w:rFonts w:ascii="Book Antiqua" w:hAnsi="Book Antiqua"/>
          <w:lang w:val="es-ES"/>
        </w:rPr>
      </w:pPr>
    </w:p>
    <w:p w14:paraId="302CAC3A" w14:textId="141F50AB" w:rsidR="00D13D23" w:rsidRPr="007C7A99" w:rsidRDefault="0096171F" w:rsidP="000C52A1">
      <w:pPr>
        <w:tabs>
          <w:tab w:val="left" w:pos="-720"/>
        </w:tabs>
        <w:suppressAutoHyphens/>
        <w:ind w:firstLine="360"/>
        <w:jc w:val="center"/>
        <w:rPr>
          <w:rFonts w:ascii="Book Antiqua" w:hAnsi="Book Antiqua"/>
          <w:b/>
          <w:bCs/>
          <w:lang w:val="es-ES"/>
        </w:rPr>
      </w:pPr>
      <w:r w:rsidRPr="007C7A99">
        <w:rPr>
          <w:rFonts w:ascii="Book Antiqua" w:hAnsi="Book Antiqua"/>
          <w:b/>
          <w:bCs/>
          <w:lang w:val="es-ES"/>
        </w:rPr>
        <w:t>I</w:t>
      </w:r>
      <w:r w:rsidR="002C402D" w:rsidRPr="007C7A99">
        <w:rPr>
          <w:rFonts w:ascii="Book Antiqua" w:hAnsi="Book Antiqua"/>
          <w:b/>
          <w:bCs/>
          <w:lang w:val="es-ES"/>
        </w:rPr>
        <w:t>MPACTO FISCAL</w:t>
      </w:r>
      <w:r w:rsidR="00D13D23" w:rsidRPr="007C7A99">
        <w:rPr>
          <w:rFonts w:ascii="Book Antiqua" w:hAnsi="Book Antiqua"/>
          <w:b/>
          <w:bCs/>
          <w:lang w:val="es-ES"/>
        </w:rPr>
        <w:t xml:space="preserve"> MUNICIPAL </w:t>
      </w:r>
    </w:p>
    <w:p w14:paraId="144378DC" w14:textId="77777777" w:rsidR="000C52A1" w:rsidRPr="007C7A99" w:rsidRDefault="000C52A1" w:rsidP="000C52A1">
      <w:pPr>
        <w:tabs>
          <w:tab w:val="left" w:pos="-720"/>
        </w:tabs>
        <w:suppressAutoHyphens/>
        <w:ind w:firstLine="360"/>
        <w:jc w:val="center"/>
        <w:rPr>
          <w:rFonts w:ascii="Book Antiqua" w:hAnsi="Book Antiqua"/>
          <w:b/>
          <w:bCs/>
          <w:lang w:val="es-ES"/>
        </w:rPr>
      </w:pPr>
    </w:p>
    <w:p w14:paraId="3CD7EB56" w14:textId="3EA39B39" w:rsidR="002C402D" w:rsidRPr="007C7A99" w:rsidRDefault="004F6E72" w:rsidP="000C52A1">
      <w:pPr>
        <w:tabs>
          <w:tab w:val="left" w:pos="-720"/>
        </w:tabs>
        <w:suppressAutoHyphens/>
        <w:ind w:firstLine="360"/>
        <w:jc w:val="both"/>
        <w:rPr>
          <w:rFonts w:ascii="Book Antiqua" w:hAnsi="Book Antiqua"/>
          <w:lang w:val="es-ES"/>
        </w:rPr>
      </w:pPr>
      <w:r w:rsidRPr="007C7A99">
        <w:rPr>
          <w:rFonts w:ascii="Book Antiqua" w:hAnsi="Book Antiqua"/>
          <w:lang w:val="es-ES"/>
        </w:rPr>
        <w:tab/>
      </w:r>
      <w:r w:rsidR="00D13D23" w:rsidRPr="007C7A99">
        <w:rPr>
          <w:rFonts w:ascii="Book Antiqua" w:hAnsi="Book Antiqua"/>
          <w:lang w:val="es-ES"/>
        </w:rPr>
        <w:t xml:space="preserve">En cumplimiento con el Artículo 1.007 de la Ley Núm. 107–2020, según enmendada, conocida como “Código Municipal de Puerto Rico”, la </w:t>
      </w:r>
      <w:r w:rsidR="00BE6740" w:rsidRPr="007C7A99">
        <w:rPr>
          <w:rFonts w:ascii="Book Antiqua" w:hAnsi="Book Antiqua"/>
          <w:spacing w:val="-3"/>
          <w:lang w:val="es-ES"/>
        </w:rPr>
        <w:t>Comisión de lo Jurídico del Senado de Puerto Rico</w:t>
      </w:r>
      <w:r w:rsidR="00BE6740" w:rsidRPr="007C7A99">
        <w:rPr>
          <w:rFonts w:ascii="Book Antiqua" w:hAnsi="Book Antiqua"/>
          <w:lang w:val="es-ES"/>
        </w:rPr>
        <w:t xml:space="preserve"> </w:t>
      </w:r>
      <w:r w:rsidRPr="007C7A99">
        <w:rPr>
          <w:rFonts w:ascii="Book Antiqua" w:hAnsi="Book Antiqua"/>
          <w:lang w:val="es-ES"/>
        </w:rPr>
        <w:t xml:space="preserve">certifica que el </w:t>
      </w:r>
      <w:r w:rsidR="00201567" w:rsidRPr="007C7A99">
        <w:rPr>
          <w:rFonts w:ascii="Book Antiqua" w:hAnsi="Book Antiqua"/>
          <w:lang w:val="es-ES"/>
        </w:rPr>
        <w:t xml:space="preserve">P. </w:t>
      </w:r>
      <w:r w:rsidR="00A372B5">
        <w:rPr>
          <w:rFonts w:ascii="Book Antiqua" w:hAnsi="Book Antiqua"/>
          <w:lang w:val="es-ES"/>
        </w:rPr>
        <w:t>de la C. 173</w:t>
      </w:r>
      <w:r w:rsidR="00201567" w:rsidRPr="007C7A99">
        <w:rPr>
          <w:rFonts w:ascii="Book Antiqua" w:hAnsi="Book Antiqua"/>
          <w:lang w:val="es-ES"/>
        </w:rPr>
        <w:t xml:space="preserve"> </w:t>
      </w:r>
      <w:r w:rsidR="00D13D23" w:rsidRPr="007C7A99">
        <w:rPr>
          <w:rFonts w:ascii="Book Antiqua" w:hAnsi="Book Antiqua"/>
          <w:lang w:val="es-ES"/>
        </w:rPr>
        <w:t>no impone una obligación económica en el presupuesto</w:t>
      </w:r>
      <w:r w:rsidR="00946BB4" w:rsidRPr="007C7A99">
        <w:rPr>
          <w:rFonts w:ascii="Book Antiqua" w:hAnsi="Book Antiqua"/>
          <w:lang w:val="es-ES"/>
        </w:rPr>
        <w:t xml:space="preserve"> de los gobiernos municipales. </w:t>
      </w:r>
    </w:p>
    <w:p w14:paraId="426C19E9" w14:textId="77777777" w:rsidR="00946BB4" w:rsidRPr="007C7A99" w:rsidRDefault="00946BB4" w:rsidP="000C52A1">
      <w:pPr>
        <w:tabs>
          <w:tab w:val="left" w:pos="-720"/>
        </w:tabs>
        <w:suppressAutoHyphens/>
        <w:ind w:firstLine="360"/>
        <w:jc w:val="both"/>
        <w:rPr>
          <w:rFonts w:ascii="Book Antiqua" w:hAnsi="Book Antiqua"/>
          <w:lang w:val="es-ES"/>
        </w:rPr>
      </w:pPr>
    </w:p>
    <w:p w14:paraId="3E41690F" w14:textId="77777777" w:rsidR="00E66B67" w:rsidRDefault="00E66B67">
      <w:pPr>
        <w:rPr>
          <w:rFonts w:ascii="Book Antiqua" w:hAnsi="Book Antiqua"/>
          <w:b/>
          <w:bCs/>
          <w:lang w:val="es-ES"/>
        </w:rPr>
      </w:pPr>
      <w:r>
        <w:rPr>
          <w:rFonts w:ascii="Book Antiqua" w:hAnsi="Book Antiqua"/>
          <w:b/>
          <w:bCs/>
          <w:lang w:val="es-ES"/>
        </w:rPr>
        <w:br w:type="page"/>
      </w:r>
    </w:p>
    <w:p w14:paraId="482AC70D" w14:textId="46441E0B" w:rsidR="0096171F" w:rsidRPr="007C7A99" w:rsidRDefault="0096171F" w:rsidP="000C52A1">
      <w:pPr>
        <w:tabs>
          <w:tab w:val="left" w:pos="-720"/>
        </w:tabs>
        <w:suppressAutoHyphens/>
        <w:ind w:firstLine="360"/>
        <w:jc w:val="center"/>
        <w:rPr>
          <w:rFonts w:ascii="Book Antiqua" w:hAnsi="Book Antiqua"/>
          <w:b/>
          <w:bCs/>
          <w:lang w:val="es-ES"/>
        </w:rPr>
      </w:pPr>
      <w:r w:rsidRPr="007C7A99">
        <w:rPr>
          <w:rFonts w:ascii="Book Antiqua" w:hAnsi="Book Antiqua"/>
          <w:b/>
          <w:bCs/>
          <w:lang w:val="es-ES"/>
        </w:rPr>
        <w:lastRenderedPageBreak/>
        <w:t>C</w:t>
      </w:r>
      <w:r w:rsidR="002C402D" w:rsidRPr="007C7A99">
        <w:rPr>
          <w:rFonts w:ascii="Book Antiqua" w:hAnsi="Book Antiqua"/>
          <w:b/>
          <w:bCs/>
          <w:lang w:val="es-ES"/>
        </w:rPr>
        <w:t xml:space="preserve">ONCLUSIÓN </w:t>
      </w:r>
    </w:p>
    <w:p w14:paraId="040801D3" w14:textId="77777777" w:rsidR="000C52A1" w:rsidRPr="007C7A99" w:rsidRDefault="000C52A1" w:rsidP="000C52A1">
      <w:pPr>
        <w:tabs>
          <w:tab w:val="left" w:pos="-720"/>
        </w:tabs>
        <w:suppressAutoHyphens/>
        <w:ind w:firstLine="360"/>
        <w:jc w:val="center"/>
        <w:rPr>
          <w:rFonts w:ascii="Book Antiqua" w:hAnsi="Book Antiqua"/>
          <w:b/>
          <w:bCs/>
          <w:lang w:val="es-ES"/>
        </w:rPr>
      </w:pPr>
    </w:p>
    <w:p w14:paraId="2D81B2DA" w14:textId="7C593DB7" w:rsidR="000B071A" w:rsidRPr="007C7A99" w:rsidRDefault="00006DDC" w:rsidP="00DF45DC">
      <w:pPr>
        <w:tabs>
          <w:tab w:val="left" w:pos="-720"/>
        </w:tabs>
        <w:suppressAutoHyphens/>
        <w:ind w:firstLine="360"/>
        <w:jc w:val="both"/>
        <w:rPr>
          <w:rFonts w:ascii="Book Antiqua" w:hAnsi="Book Antiqua"/>
          <w:lang w:val="es-ES"/>
        </w:rPr>
      </w:pPr>
      <w:r w:rsidRPr="007C7A99">
        <w:rPr>
          <w:rFonts w:ascii="Book Antiqua" w:hAnsi="Book Antiqua"/>
          <w:lang w:val="es-ES"/>
        </w:rPr>
        <w:tab/>
        <w:t xml:space="preserve">La </w:t>
      </w:r>
      <w:r w:rsidR="00F86C0C" w:rsidRPr="007C7A99">
        <w:rPr>
          <w:rFonts w:ascii="Book Antiqua" w:hAnsi="Book Antiqua"/>
          <w:spacing w:val="-3"/>
          <w:lang w:val="es-ES"/>
        </w:rPr>
        <w:t>Comisión de lo Jurídico del Senado de Puerto Rico</w:t>
      </w:r>
      <w:r w:rsidR="006C283C" w:rsidRPr="007C7A99">
        <w:rPr>
          <w:rFonts w:ascii="Book Antiqua" w:hAnsi="Book Antiqua"/>
          <w:lang w:val="es-ES"/>
        </w:rPr>
        <w:t xml:space="preserve"> </w:t>
      </w:r>
      <w:r w:rsidR="004F6E72" w:rsidRPr="007C7A99">
        <w:rPr>
          <w:rFonts w:ascii="Book Antiqua" w:hAnsi="Book Antiqua"/>
          <w:lang w:val="es-ES"/>
        </w:rPr>
        <w:t xml:space="preserve">efectuó un análisis minucioso </w:t>
      </w:r>
      <w:r w:rsidR="00201567" w:rsidRPr="007C7A99">
        <w:rPr>
          <w:rFonts w:ascii="Book Antiqua" w:hAnsi="Book Antiqua"/>
          <w:lang w:val="es-ES"/>
        </w:rPr>
        <w:t xml:space="preserve">del P. </w:t>
      </w:r>
      <w:r w:rsidR="00EC5531">
        <w:rPr>
          <w:rFonts w:ascii="Book Antiqua" w:hAnsi="Book Antiqua"/>
          <w:lang w:val="es-ES"/>
        </w:rPr>
        <w:t>de la C. 173,</w:t>
      </w:r>
      <w:r w:rsidR="00B702A0" w:rsidRPr="007C7A99">
        <w:rPr>
          <w:rFonts w:ascii="Book Antiqua" w:hAnsi="Book Antiqua"/>
          <w:lang w:val="es-ES"/>
        </w:rPr>
        <w:t xml:space="preserve"> según fue referid</w:t>
      </w:r>
      <w:r w:rsidR="00201567" w:rsidRPr="007C7A99">
        <w:rPr>
          <w:rFonts w:ascii="Book Antiqua" w:hAnsi="Book Antiqua"/>
          <w:lang w:val="es-ES"/>
        </w:rPr>
        <w:t>o</w:t>
      </w:r>
      <w:r w:rsidR="001D12A7" w:rsidRPr="007C7A99">
        <w:rPr>
          <w:rFonts w:ascii="Book Antiqua" w:hAnsi="Book Antiqua"/>
          <w:lang w:val="es-ES"/>
        </w:rPr>
        <w:t>,</w:t>
      </w:r>
      <w:r w:rsidR="00B702A0" w:rsidRPr="007C7A99">
        <w:rPr>
          <w:rFonts w:ascii="Book Antiqua" w:hAnsi="Book Antiqua"/>
          <w:lang w:val="es-ES"/>
        </w:rPr>
        <w:t xml:space="preserve"> también analiz</w:t>
      </w:r>
      <w:r w:rsidR="005354C6" w:rsidRPr="007C7A99">
        <w:rPr>
          <w:rFonts w:ascii="Book Antiqua" w:hAnsi="Book Antiqua"/>
          <w:lang w:val="es-ES"/>
        </w:rPr>
        <w:t>ó</w:t>
      </w:r>
      <w:r w:rsidR="00B702A0" w:rsidRPr="007C7A99">
        <w:rPr>
          <w:rFonts w:ascii="Book Antiqua" w:hAnsi="Book Antiqua"/>
          <w:lang w:val="es-ES"/>
        </w:rPr>
        <w:t xml:space="preserve"> </w:t>
      </w:r>
      <w:r w:rsidR="00EC5531">
        <w:rPr>
          <w:rFonts w:ascii="Book Antiqua" w:hAnsi="Book Antiqua"/>
          <w:lang w:val="es-ES"/>
        </w:rPr>
        <w:t>las Reglas de Procedimiento Civil de Puerto Rico</w:t>
      </w:r>
      <w:r w:rsidR="00A64365">
        <w:rPr>
          <w:rFonts w:ascii="Book Antiqua" w:hAnsi="Book Antiqua"/>
          <w:lang w:val="es-ES"/>
        </w:rPr>
        <w:t>,</w:t>
      </w:r>
      <w:r w:rsidR="00EC5531">
        <w:rPr>
          <w:rFonts w:ascii="Book Antiqua" w:hAnsi="Book Antiqua"/>
          <w:lang w:val="es-ES"/>
        </w:rPr>
        <w:t xml:space="preserve"> el Código de Enjuiciamiento Civil de </w:t>
      </w:r>
      <w:r w:rsidR="00820515">
        <w:rPr>
          <w:rFonts w:ascii="Book Antiqua" w:hAnsi="Book Antiqua"/>
          <w:lang w:val="es-ES"/>
        </w:rPr>
        <w:t xml:space="preserve">Puerto Rico de </w:t>
      </w:r>
      <w:r w:rsidR="00EC5531">
        <w:rPr>
          <w:rFonts w:ascii="Book Antiqua" w:hAnsi="Book Antiqua"/>
          <w:lang w:val="es-ES"/>
        </w:rPr>
        <w:t>1933</w:t>
      </w:r>
      <w:r w:rsidR="00A64365">
        <w:rPr>
          <w:rFonts w:ascii="Book Antiqua" w:hAnsi="Book Antiqua"/>
          <w:lang w:val="es-ES"/>
        </w:rPr>
        <w:t xml:space="preserve"> y la jurisprudencia aplicable en cuanto a la figura del </w:t>
      </w:r>
      <w:proofErr w:type="spellStart"/>
      <w:r w:rsidR="00A64365" w:rsidRPr="00A64365">
        <w:rPr>
          <w:rFonts w:ascii="Book Antiqua" w:hAnsi="Book Antiqua"/>
          <w:i/>
          <w:iCs/>
          <w:lang w:val="es-ES"/>
        </w:rPr>
        <w:t>injunction</w:t>
      </w:r>
      <w:proofErr w:type="spellEnd"/>
      <w:r w:rsidR="00A64365">
        <w:rPr>
          <w:rFonts w:ascii="Book Antiqua" w:hAnsi="Book Antiqua"/>
          <w:lang w:val="es-ES"/>
        </w:rPr>
        <w:t xml:space="preserve"> permanente</w:t>
      </w:r>
      <w:r w:rsidR="00EC5531">
        <w:rPr>
          <w:rFonts w:ascii="Book Antiqua" w:hAnsi="Book Antiqua"/>
          <w:lang w:val="es-ES"/>
        </w:rPr>
        <w:t xml:space="preserve">. </w:t>
      </w:r>
    </w:p>
    <w:p w14:paraId="71BF3D62" w14:textId="0740EAAE" w:rsidR="00867C7F" w:rsidRPr="00302228" w:rsidRDefault="007D4761" w:rsidP="00302228">
      <w:pPr>
        <w:tabs>
          <w:tab w:val="left" w:pos="-720"/>
        </w:tabs>
        <w:suppressAutoHyphens/>
        <w:ind w:firstLine="360"/>
        <w:jc w:val="both"/>
        <w:rPr>
          <w:rFonts w:ascii="Book Antiqua" w:hAnsi="Book Antiqua"/>
          <w:lang w:val="es-ES"/>
        </w:rPr>
      </w:pPr>
      <w:r>
        <w:rPr>
          <w:rFonts w:ascii="Book Antiqua" w:hAnsi="Book Antiqua"/>
          <w:lang w:val="es-ES"/>
        </w:rPr>
        <w:tab/>
      </w:r>
      <w:r w:rsidR="000B071A" w:rsidRPr="007C7A99">
        <w:rPr>
          <w:rFonts w:ascii="Book Antiqua" w:hAnsi="Book Antiqua"/>
          <w:lang w:val="es-ES"/>
        </w:rPr>
        <w:t xml:space="preserve">La </w:t>
      </w:r>
      <w:r w:rsidR="008F717C" w:rsidRPr="007C7A99">
        <w:rPr>
          <w:rFonts w:ascii="Book Antiqua" w:hAnsi="Book Antiqua"/>
          <w:lang w:val="es-ES"/>
        </w:rPr>
        <w:t xml:space="preserve">Comisión </w:t>
      </w:r>
      <w:r w:rsidR="000B071A" w:rsidRPr="007C7A99">
        <w:rPr>
          <w:rFonts w:ascii="Book Antiqua" w:hAnsi="Book Antiqua"/>
          <w:spacing w:val="-3"/>
          <w:lang w:val="es-ES"/>
        </w:rPr>
        <w:t xml:space="preserve">de lo Jurídico </w:t>
      </w:r>
      <w:r w:rsidR="00552B8A" w:rsidRPr="007C7A99">
        <w:rPr>
          <w:rFonts w:ascii="Book Antiqua" w:hAnsi="Book Antiqua"/>
          <w:lang w:val="es-ES"/>
        </w:rPr>
        <w:t>coincide en que</w:t>
      </w:r>
      <w:r w:rsidR="000B071A" w:rsidRPr="007C7A99">
        <w:rPr>
          <w:rFonts w:ascii="Book Antiqua" w:hAnsi="Book Antiqua"/>
          <w:lang w:val="es-ES"/>
        </w:rPr>
        <w:t xml:space="preserve"> </w:t>
      </w:r>
      <w:r w:rsidR="00867C7F">
        <w:rPr>
          <w:rFonts w:ascii="Book Antiqua" w:hAnsi="Book Antiqua"/>
          <w:lang w:val="es-ES"/>
        </w:rPr>
        <w:t xml:space="preserve">el P. de la C. 173 es necesario y conveniente. </w:t>
      </w:r>
      <w:r w:rsidR="004A51C7">
        <w:rPr>
          <w:rFonts w:ascii="Book Antiqua" w:hAnsi="Book Antiqua"/>
          <w:lang w:val="es-ES"/>
        </w:rPr>
        <w:t>I</w:t>
      </w:r>
      <w:r w:rsidR="004A51C7" w:rsidRPr="004A51C7">
        <w:rPr>
          <w:rFonts w:ascii="Book Antiqua" w:hAnsi="Book Antiqua"/>
          <w:lang w:val="es-ES"/>
        </w:rPr>
        <w:t xml:space="preserve">ncorporar en el texto expreso de las Reglas los criterios que el Tribunal Supremo </w:t>
      </w:r>
      <w:r w:rsidR="00A64365">
        <w:rPr>
          <w:rFonts w:ascii="Book Antiqua" w:hAnsi="Book Antiqua"/>
          <w:lang w:val="es-ES"/>
        </w:rPr>
        <w:t xml:space="preserve">de Puerto Rico </w:t>
      </w:r>
      <w:r w:rsidR="004A51C7" w:rsidRPr="004A51C7">
        <w:rPr>
          <w:rFonts w:ascii="Book Antiqua" w:hAnsi="Book Antiqua"/>
          <w:lang w:val="es-ES"/>
        </w:rPr>
        <w:t xml:space="preserve">ha desarrollado jurisprudencialmente en torno al </w:t>
      </w:r>
      <w:proofErr w:type="spellStart"/>
      <w:r w:rsidR="004A51C7" w:rsidRPr="004A51C7">
        <w:rPr>
          <w:rFonts w:ascii="Book Antiqua" w:hAnsi="Book Antiqua"/>
          <w:i/>
          <w:iCs/>
          <w:lang w:val="es-ES"/>
        </w:rPr>
        <w:t>injunction</w:t>
      </w:r>
      <w:proofErr w:type="spellEnd"/>
      <w:r w:rsidR="004A51C7" w:rsidRPr="004A51C7">
        <w:rPr>
          <w:rFonts w:ascii="Book Antiqua" w:hAnsi="Book Antiqua"/>
          <w:lang w:val="es-ES"/>
        </w:rPr>
        <w:t xml:space="preserve"> permanente fortalece la coherencia del ordenamiento procesal y promueve certeza jurídica para las partes y para los tribunales en la aplicación de este recurso extraordinario.</w:t>
      </w:r>
      <w:r w:rsidR="00733BCD">
        <w:rPr>
          <w:rFonts w:ascii="Book Antiqua" w:hAnsi="Book Antiqua"/>
          <w:lang w:val="es-ES"/>
        </w:rPr>
        <w:t xml:space="preserve"> </w:t>
      </w:r>
      <w:r w:rsidR="004A51C7" w:rsidRPr="004A51C7">
        <w:rPr>
          <w:rFonts w:ascii="Book Antiqua" w:hAnsi="Book Antiqua"/>
          <w:lang w:val="es-ES"/>
        </w:rPr>
        <w:t>Asimismo, la codificación de estos criterios evita ambigüedades interpretativas, uniforma la práctica forense y refuerza el principio de acceso a la justicia, al proveer una guía normativa clara y sistematizada. De esta manera, el legislador cumple con su deber de dotar al sistema judicial de herramientas procesales modernas y precisas, que armonicen con el desarrollo doctrinal y jurisprudencial de</w:t>
      </w:r>
      <w:r w:rsidR="00733BCD">
        <w:rPr>
          <w:rFonts w:ascii="Book Antiqua" w:hAnsi="Book Antiqua"/>
          <w:lang w:val="es-ES"/>
        </w:rPr>
        <w:t xml:space="preserve"> Puerto Rico</w:t>
      </w:r>
      <w:r w:rsidR="004A51C7" w:rsidRPr="004A51C7">
        <w:rPr>
          <w:rFonts w:ascii="Book Antiqua" w:hAnsi="Book Antiqua"/>
          <w:lang w:val="es-ES"/>
        </w:rPr>
        <w:t>.</w:t>
      </w:r>
    </w:p>
    <w:p w14:paraId="7885E90D" w14:textId="7DDB4264" w:rsidR="00DF45DC" w:rsidRPr="007C7A99" w:rsidRDefault="00302228" w:rsidP="006D5838">
      <w:pPr>
        <w:tabs>
          <w:tab w:val="left" w:pos="-720"/>
        </w:tabs>
        <w:suppressAutoHyphens/>
        <w:ind w:firstLine="360"/>
        <w:jc w:val="both"/>
        <w:rPr>
          <w:rFonts w:ascii="Book Antiqua" w:hAnsi="Book Antiqua"/>
          <w:lang w:val="es-ES"/>
        </w:rPr>
      </w:pPr>
      <w:r>
        <w:rPr>
          <w:rFonts w:ascii="Book Antiqua" w:hAnsi="Book Antiqua"/>
          <w:b/>
          <w:bCs/>
          <w:lang w:val="es-ES"/>
        </w:rPr>
        <w:tab/>
      </w:r>
      <w:r w:rsidR="0096171F" w:rsidRPr="007C7A99">
        <w:rPr>
          <w:rFonts w:ascii="Book Antiqua" w:hAnsi="Book Antiqua"/>
          <w:b/>
          <w:bCs/>
          <w:lang w:val="es-ES"/>
        </w:rPr>
        <w:t>POR TODO LO ANTES EXPUESTO</w:t>
      </w:r>
      <w:r w:rsidR="0096171F" w:rsidRPr="007C7A99">
        <w:rPr>
          <w:rFonts w:ascii="Book Antiqua" w:hAnsi="Book Antiqua"/>
          <w:lang w:val="es-ES"/>
        </w:rPr>
        <w:t xml:space="preserve">, la </w:t>
      </w:r>
      <w:r w:rsidR="001D12A7" w:rsidRPr="007C7A99">
        <w:rPr>
          <w:rFonts w:ascii="Book Antiqua" w:hAnsi="Book Antiqua"/>
          <w:spacing w:val="-3"/>
          <w:lang w:val="es-ES"/>
        </w:rPr>
        <w:t>Comisión de lo Jurídico del Senado de Puerto Rico</w:t>
      </w:r>
      <w:r w:rsidR="001D12A7" w:rsidRPr="007C7A99">
        <w:rPr>
          <w:rFonts w:ascii="Book Antiqua" w:hAnsi="Book Antiqua"/>
          <w:lang w:val="es-ES"/>
        </w:rPr>
        <w:t xml:space="preserve"> </w:t>
      </w:r>
      <w:r w:rsidR="00006DDC" w:rsidRPr="007C7A99">
        <w:rPr>
          <w:rFonts w:ascii="Book Antiqua" w:hAnsi="Book Antiqua"/>
          <w:lang w:val="es-ES"/>
        </w:rPr>
        <w:t xml:space="preserve">tiene a bien presentar ante este Alto Cuerpo el Informe Positivo sobre el </w:t>
      </w:r>
      <w:r w:rsidR="00733BCD">
        <w:rPr>
          <w:rFonts w:ascii="Book Antiqua" w:hAnsi="Book Antiqua"/>
          <w:b/>
          <w:bCs/>
          <w:lang w:val="es-ES"/>
        </w:rPr>
        <w:t>Proyecto de la Cámara 173,</w:t>
      </w:r>
      <w:r w:rsidR="00006DDC" w:rsidRPr="007C7A99">
        <w:rPr>
          <w:rFonts w:ascii="Book Antiqua" w:hAnsi="Book Antiqua"/>
          <w:lang w:val="es-ES"/>
        </w:rPr>
        <w:t xml:space="preserve"> recomendando su aprobación </w:t>
      </w:r>
      <w:r w:rsidR="00006DDC" w:rsidRPr="00733BCD">
        <w:rPr>
          <w:rFonts w:ascii="Book Antiqua" w:hAnsi="Book Antiqua"/>
          <w:lang w:val="es-ES"/>
        </w:rPr>
        <w:t xml:space="preserve">con las enmiendas contenidas en el </w:t>
      </w:r>
      <w:proofErr w:type="spellStart"/>
      <w:r w:rsidR="00006DDC" w:rsidRPr="00733BCD">
        <w:rPr>
          <w:rFonts w:ascii="Book Antiqua" w:hAnsi="Book Antiqua"/>
          <w:lang w:val="es-ES"/>
        </w:rPr>
        <w:t>entirillado</w:t>
      </w:r>
      <w:proofErr w:type="spellEnd"/>
      <w:r w:rsidR="00006DDC" w:rsidRPr="00733BCD">
        <w:rPr>
          <w:rFonts w:ascii="Book Antiqua" w:hAnsi="Book Antiqua"/>
          <w:lang w:val="es-ES"/>
        </w:rPr>
        <w:t xml:space="preserve"> electrónico que se acompaña</w:t>
      </w:r>
      <w:r w:rsidR="00733BCD" w:rsidRPr="00733BCD">
        <w:rPr>
          <w:rFonts w:ascii="Book Antiqua" w:hAnsi="Book Antiqua"/>
          <w:lang w:val="es-ES"/>
        </w:rPr>
        <w:t>.</w:t>
      </w:r>
    </w:p>
    <w:p w14:paraId="02F3C812" w14:textId="77777777" w:rsidR="006861CE" w:rsidRPr="007C7A99" w:rsidRDefault="006861CE" w:rsidP="00337BB7">
      <w:pPr>
        <w:tabs>
          <w:tab w:val="left" w:pos="-720"/>
        </w:tabs>
        <w:suppressAutoHyphens/>
        <w:spacing w:line="360" w:lineRule="auto"/>
        <w:rPr>
          <w:rFonts w:ascii="Book Antiqua" w:hAnsi="Book Antiqua"/>
          <w:lang w:val="es-ES"/>
        </w:rPr>
      </w:pPr>
    </w:p>
    <w:p w14:paraId="10325F5D" w14:textId="6F78BA1A" w:rsidR="00006DDC" w:rsidRPr="00820515" w:rsidRDefault="00302228" w:rsidP="00337BB7">
      <w:pPr>
        <w:tabs>
          <w:tab w:val="left" w:pos="-720"/>
        </w:tabs>
        <w:suppressAutoHyphens/>
        <w:spacing w:line="360" w:lineRule="auto"/>
        <w:rPr>
          <w:rFonts w:ascii="Book Antiqua" w:hAnsi="Book Antiqua"/>
          <w:b/>
          <w:bCs/>
          <w:lang w:val="es-ES"/>
        </w:rPr>
      </w:pPr>
      <w:r w:rsidRPr="00820515">
        <w:rPr>
          <w:rFonts w:ascii="Book Antiqua" w:hAnsi="Book Antiqua"/>
          <w:b/>
          <w:bCs/>
          <w:lang w:val="es-ES"/>
        </w:rPr>
        <w:t>RESPETUOSAMENTE SOMETIDO</w:t>
      </w:r>
      <w:r w:rsidR="00820515">
        <w:rPr>
          <w:rFonts w:ascii="Book Antiqua" w:hAnsi="Book Antiqua"/>
          <w:b/>
          <w:bCs/>
          <w:lang w:val="es-ES"/>
        </w:rPr>
        <w:t>.</w:t>
      </w:r>
    </w:p>
    <w:p w14:paraId="2444C5B2" w14:textId="77777777" w:rsidR="00552B8A" w:rsidRPr="007C7A99"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7C7A99" w:rsidRDefault="00242E80" w:rsidP="00EE4536">
      <w:pPr>
        <w:tabs>
          <w:tab w:val="left" w:pos="-720"/>
        </w:tabs>
        <w:suppressAutoHyphens/>
        <w:rPr>
          <w:rFonts w:ascii="Book Antiqua" w:hAnsi="Book Antiqua"/>
          <w:b/>
          <w:bCs/>
          <w:lang w:val="es-ES"/>
        </w:rPr>
      </w:pPr>
    </w:p>
    <w:p w14:paraId="6AE93B69" w14:textId="6641F2FE" w:rsidR="00AB2E69" w:rsidRPr="007C7A99" w:rsidRDefault="00D8699D" w:rsidP="00EE4536">
      <w:pPr>
        <w:tabs>
          <w:tab w:val="left" w:pos="-720"/>
        </w:tabs>
        <w:suppressAutoHyphens/>
        <w:rPr>
          <w:rFonts w:ascii="Book Antiqua" w:hAnsi="Book Antiqua"/>
          <w:b/>
          <w:bCs/>
          <w:lang w:val="es-ES"/>
        </w:rPr>
      </w:pPr>
      <w:proofErr w:type="spellStart"/>
      <w:r w:rsidRPr="007C7A99">
        <w:rPr>
          <w:rFonts w:ascii="Book Antiqua" w:hAnsi="Book Antiqua"/>
          <w:b/>
          <w:bCs/>
          <w:lang w:val="es-ES"/>
        </w:rPr>
        <w:t>Hon</w:t>
      </w:r>
      <w:proofErr w:type="spellEnd"/>
      <w:r w:rsidRPr="007C7A99">
        <w:rPr>
          <w:rFonts w:ascii="Book Antiqua" w:hAnsi="Book Antiqua"/>
          <w:b/>
          <w:bCs/>
          <w:lang w:val="es-ES"/>
        </w:rPr>
        <w:t xml:space="preserve">. </w:t>
      </w:r>
      <w:r w:rsidR="001D12A7" w:rsidRPr="007C7A99">
        <w:rPr>
          <w:rFonts w:ascii="Book Antiqua" w:hAnsi="Book Antiqua"/>
          <w:b/>
          <w:bCs/>
          <w:lang w:val="es-ES"/>
        </w:rPr>
        <w:t>Ángel A. Toledo López</w:t>
      </w:r>
    </w:p>
    <w:p w14:paraId="1665555A" w14:textId="77777777" w:rsidR="004F6E72" w:rsidRPr="007C7A99" w:rsidRDefault="00AB2E69" w:rsidP="00EE4536">
      <w:pPr>
        <w:tabs>
          <w:tab w:val="left" w:pos="-720"/>
        </w:tabs>
        <w:suppressAutoHyphens/>
        <w:rPr>
          <w:rFonts w:ascii="Book Antiqua" w:hAnsi="Book Antiqua"/>
          <w:lang w:val="es-ES"/>
        </w:rPr>
      </w:pPr>
      <w:r w:rsidRPr="007C7A99">
        <w:rPr>
          <w:rFonts w:ascii="Book Antiqua" w:hAnsi="Book Antiqua"/>
          <w:lang w:val="es-ES"/>
        </w:rPr>
        <w:t>Presidente</w:t>
      </w:r>
    </w:p>
    <w:p w14:paraId="3FF3D27A" w14:textId="77777777" w:rsidR="001D12A7" w:rsidRPr="007C7A99" w:rsidRDefault="001D12A7" w:rsidP="001D12A7">
      <w:pPr>
        <w:tabs>
          <w:tab w:val="left" w:pos="-720"/>
        </w:tabs>
        <w:suppressAutoHyphens/>
        <w:rPr>
          <w:rFonts w:ascii="Book Antiqua" w:hAnsi="Book Antiqua"/>
          <w:spacing w:val="-3"/>
          <w:lang w:val="es-ES"/>
        </w:rPr>
      </w:pPr>
      <w:r w:rsidRPr="007C7A99">
        <w:rPr>
          <w:rFonts w:ascii="Book Antiqua" w:hAnsi="Book Antiqua"/>
          <w:spacing w:val="-3"/>
          <w:lang w:val="es-ES"/>
        </w:rPr>
        <w:t xml:space="preserve">Comisión de lo Jurídico </w:t>
      </w:r>
    </w:p>
    <w:p w14:paraId="13BD9EC9" w14:textId="0AC4014C" w:rsidR="000B3411" w:rsidRPr="00733BCD" w:rsidRDefault="001D12A7" w:rsidP="00733BCD">
      <w:pPr>
        <w:tabs>
          <w:tab w:val="left" w:pos="-720"/>
        </w:tabs>
        <w:suppressAutoHyphens/>
        <w:rPr>
          <w:rFonts w:ascii="Book Antiqua" w:hAnsi="Book Antiqua"/>
          <w:spacing w:val="-3"/>
          <w:lang w:val="es-ES"/>
        </w:rPr>
      </w:pPr>
      <w:r w:rsidRPr="007C7A99">
        <w:rPr>
          <w:rFonts w:ascii="Book Antiqua" w:hAnsi="Book Antiqua"/>
          <w:spacing w:val="-3"/>
          <w:lang w:val="es-ES"/>
        </w:rPr>
        <w:t>Senado de Puerto Rico</w:t>
      </w:r>
    </w:p>
    <w:sectPr w:rsidR="000B3411" w:rsidRPr="00733BCD"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F1432" w14:textId="77777777" w:rsidR="00121DA8" w:rsidRDefault="00121DA8">
      <w:r>
        <w:separator/>
      </w:r>
    </w:p>
  </w:endnote>
  <w:endnote w:type="continuationSeparator" w:id="0">
    <w:p w14:paraId="52FC66E1" w14:textId="77777777" w:rsidR="00121DA8" w:rsidRDefault="00121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56FBB" w14:textId="77777777" w:rsidR="00121DA8" w:rsidRDefault="00121DA8">
      <w:r>
        <w:separator/>
      </w:r>
    </w:p>
  </w:footnote>
  <w:footnote w:type="continuationSeparator" w:id="0">
    <w:p w14:paraId="0B960C30" w14:textId="77777777" w:rsidR="00121DA8" w:rsidRDefault="00121DA8">
      <w:r>
        <w:continuationSeparator/>
      </w:r>
    </w:p>
  </w:footnote>
  <w:footnote w:id="1">
    <w:p w14:paraId="29096E31" w14:textId="7B33E53F" w:rsidR="002A54C2" w:rsidRPr="00E95DFE" w:rsidRDefault="002A54C2" w:rsidP="00E95DFE">
      <w:pPr>
        <w:pStyle w:val="FootnoteText"/>
        <w:jc w:val="both"/>
        <w:rPr>
          <w:rFonts w:ascii="Book Antiqua" w:hAnsi="Book Antiqua"/>
          <w:lang w:val="es-ES"/>
        </w:rPr>
      </w:pPr>
      <w:r w:rsidRPr="00E95DFE">
        <w:rPr>
          <w:rStyle w:val="FootnoteReference"/>
          <w:rFonts w:ascii="Book Antiqua" w:hAnsi="Book Antiqua"/>
        </w:rPr>
        <w:footnoteRef/>
      </w:r>
      <w:r w:rsidRPr="00E95DFE">
        <w:rPr>
          <w:rFonts w:ascii="Book Antiqua" w:hAnsi="Book Antiqua"/>
          <w:lang w:val="es-ES"/>
        </w:rPr>
        <w:t xml:space="preserve"> </w:t>
      </w:r>
      <w:r w:rsidRPr="00E95DFE">
        <w:rPr>
          <w:rFonts w:ascii="Book Antiqua" w:hAnsi="Book Antiqua"/>
          <w:i/>
          <w:iCs/>
          <w:lang w:val="es-ES"/>
        </w:rPr>
        <w:t>Véase</w:t>
      </w:r>
      <w:r w:rsidRPr="00E95DFE">
        <w:rPr>
          <w:rFonts w:ascii="Book Antiqua" w:hAnsi="Book Antiqua"/>
          <w:lang w:val="es-ES"/>
        </w:rPr>
        <w:t xml:space="preserve"> Abella v. Fernández, 17 DPR 1063 (1911),</w:t>
      </w:r>
      <w:r w:rsidR="00412EA3" w:rsidRPr="00E95DFE">
        <w:rPr>
          <w:rFonts w:ascii="Book Antiqua" w:hAnsi="Book Antiqua"/>
          <w:lang w:val="es-ES"/>
        </w:rPr>
        <w:t xml:space="preserve"> </w:t>
      </w:r>
      <w:r w:rsidR="00F17485" w:rsidRPr="00E95DFE">
        <w:rPr>
          <w:rFonts w:ascii="Book Antiqua" w:hAnsi="Book Antiqua"/>
          <w:smallCaps/>
          <w:lang w:val="es-ES"/>
        </w:rPr>
        <w:t xml:space="preserve">Cód. </w:t>
      </w:r>
      <w:proofErr w:type="spellStart"/>
      <w:r w:rsidR="00F17485" w:rsidRPr="00E95DFE">
        <w:rPr>
          <w:rFonts w:ascii="Book Antiqua" w:hAnsi="Book Antiqua"/>
          <w:smallCaps/>
          <w:lang w:val="es-ES"/>
        </w:rPr>
        <w:t>Enj</w:t>
      </w:r>
      <w:proofErr w:type="spellEnd"/>
      <w:r w:rsidR="00F17485" w:rsidRPr="00E95DFE">
        <w:rPr>
          <w:rFonts w:ascii="Book Antiqua" w:hAnsi="Book Antiqua"/>
          <w:smallCaps/>
          <w:lang w:val="es-ES"/>
        </w:rPr>
        <w:t xml:space="preserve">. </w:t>
      </w:r>
      <w:proofErr w:type="spellStart"/>
      <w:r w:rsidR="00F17485" w:rsidRPr="00E95DFE">
        <w:rPr>
          <w:rFonts w:ascii="Book Antiqua" w:hAnsi="Book Antiqua"/>
          <w:smallCaps/>
          <w:lang w:val="es-ES"/>
        </w:rPr>
        <w:t>Civ</w:t>
      </w:r>
      <w:proofErr w:type="spellEnd"/>
      <w:r w:rsidR="00F17485" w:rsidRPr="00E95DFE">
        <w:rPr>
          <w:rFonts w:ascii="Book Antiqua" w:hAnsi="Book Antiqua"/>
          <w:lang w:val="es-ES"/>
        </w:rPr>
        <w:t xml:space="preserve">. </w:t>
      </w:r>
      <w:r w:rsidR="00412EA3" w:rsidRPr="00E95DFE">
        <w:rPr>
          <w:rFonts w:ascii="Book Antiqua" w:hAnsi="Book Antiqua"/>
          <w:lang w:val="es-ES"/>
        </w:rPr>
        <w:t>Art. 675</w:t>
      </w:r>
      <w:r w:rsidR="00F17485" w:rsidRPr="00E95DFE">
        <w:rPr>
          <w:rFonts w:ascii="Book Antiqua" w:hAnsi="Book Antiqua"/>
          <w:lang w:val="es-ES"/>
        </w:rPr>
        <w:t>,</w:t>
      </w:r>
      <w:r w:rsidR="00412EA3" w:rsidRPr="00E95DFE">
        <w:rPr>
          <w:rFonts w:ascii="Book Antiqua" w:hAnsi="Book Antiqua"/>
          <w:lang w:val="es-ES"/>
        </w:rPr>
        <w:t xml:space="preserve"> 32 LPRA § 3421. </w:t>
      </w:r>
    </w:p>
  </w:footnote>
  <w:footnote w:id="2">
    <w:p w14:paraId="075CA678" w14:textId="39BBB7ED" w:rsidR="00B13906" w:rsidRPr="00E95DFE" w:rsidRDefault="00B13906" w:rsidP="00E95DFE">
      <w:pPr>
        <w:pStyle w:val="FootnoteText"/>
        <w:jc w:val="both"/>
        <w:rPr>
          <w:rFonts w:ascii="Book Antiqua" w:hAnsi="Book Antiqua"/>
          <w:lang w:val="es-ES"/>
        </w:rPr>
      </w:pPr>
      <w:r w:rsidRPr="00E95DFE">
        <w:rPr>
          <w:rStyle w:val="FootnoteReference"/>
          <w:rFonts w:ascii="Book Antiqua" w:hAnsi="Book Antiqua"/>
          <w:lang w:val="es-ES"/>
        </w:rPr>
        <w:footnoteRef/>
      </w:r>
      <w:r w:rsidRPr="00E95DFE">
        <w:rPr>
          <w:rFonts w:ascii="Book Antiqua" w:hAnsi="Book Antiqua"/>
          <w:lang w:val="es-ES"/>
        </w:rPr>
        <w:t xml:space="preserve"> Un entredicho provisional podrá emitirse sin notificación previa únicamente en circunstancias excepcionales, cuando mediante </w:t>
      </w:r>
      <w:proofErr w:type="gramStart"/>
      <w:r w:rsidRPr="00E95DFE">
        <w:rPr>
          <w:rFonts w:ascii="Book Antiqua" w:hAnsi="Book Antiqua"/>
          <w:lang w:val="es-ES"/>
        </w:rPr>
        <w:t>declaración jurada o demanda jurada</w:t>
      </w:r>
      <w:proofErr w:type="gramEnd"/>
      <w:r w:rsidRPr="00E95DFE">
        <w:rPr>
          <w:rFonts w:ascii="Book Antiqua" w:hAnsi="Book Antiqua"/>
          <w:lang w:val="es-ES"/>
        </w:rPr>
        <w:t xml:space="preserve"> se evidencie que la parte solicitante sufrirá un daño inmediato e irreparable antes de poder escuchar a la otra parte.  A tales fines, </w:t>
      </w:r>
      <w:r w:rsidR="00961D49" w:rsidRPr="00E95DFE">
        <w:rPr>
          <w:rFonts w:ascii="Book Antiqua" w:hAnsi="Book Antiqua"/>
          <w:lang w:val="es-ES"/>
        </w:rPr>
        <w:t>la Regla</w:t>
      </w:r>
      <w:r w:rsidRPr="00E95DFE">
        <w:rPr>
          <w:rFonts w:ascii="Book Antiqua" w:hAnsi="Book Antiqua"/>
          <w:lang w:val="es-ES"/>
        </w:rPr>
        <w:t xml:space="preserve"> exige también que el abogado o la parte promovente certifique las gestiones realizadas para notificar y justifique las razones por las cuales dicha notificación debe dispensarse.  En tales casos, la orden debe contener la hora y fecha de expedición, describir el daño irreparable y fundamentar por qué se expide de forma </w:t>
      </w:r>
      <w:r w:rsidRPr="00E95DFE">
        <w:rPr>
          <w:rFonts w:ascii="Book Antiqua" w:hAnsi="Book Antiqua"/>
          <w:i/>
          <w:iCs/>
          <w:lang w:val="es-ES"/>
        </w:rPr>
        <w:t>ex parte</w:t>
      </w:r>
      <w:r w:rsidRPr="00E95DFE">
        <w:rPr>
          <w:rFonts w:ascii="Book Antiqua" w:hAnsi="Book Antiqua"/>
          <w:lang w:val="es-ES"/>
        </w:rPr>
        <w:t xml:space="preserve">. Dicha orden tiene vigencia máxima de diez días, salvo que medie justa causa para extenderla o mediante el consentimiento de la parte adversa. Además, se impone al tribunal la obligación de señalar de inmediato la vista sobre el </w:t>
      </w:r>
      <w:proofErr w:type="spellStart"/>
      <w:r w:rsidRPr="00E95DFE">
        <w:rPr>
          <w:rFonts w:ascii="Book Antiqua" w:hAnsi="Book Antiqua"/>
          <w:i/>
          <w:iCs/>
          <w:lang w:val="es-ES"/>
        </w:rPr>
        <w:t>injunction</w:t>
      </w:r>
      <w:proofErr w:type="spellEnd"/>
      <w:r w:rsidRPr="00E95DFE">
        <w:rPr>
          <w:rFonts w:ascii="Book Antiqua" w:hAnsi="Book Antiqua"/>
          <w:lang w:val="es-ES"/>
        </w:rPr>
        <w:t xml:space="preserve"> preliminar, la cual tendrá carácter prioritario. De no proseguir la parte solicitante con su moción, la orden perderá efectividad. No obstante, la parte adversa podrá comparecer con breve aviso para solicitar la modificación o disolución de la medida, lo que el tribunal deberá atender con premura.</w:t>
      </w:r>
      <w:r w:rsidR="00E51D24" w:rsidRPr="00E95DFE">
        <w:rPr>
          <w:rFonts w:ascii="Book Antiqua" w:hAnsi="Book Antiqua"/>
          <w:lang w:val="es-ES"/>
        </w:rPr>
        <w:t xml:space="preserve"> </w:t>
      </w:r>
      <w:r w:rsidRPr="00E95DFE">
        <w:rPr>
          <w:rFonts w:ascii="Book Antiqua" w:hAnsi="Book Antiqua"/>
          <w:lang w:val="es-ES"/>
        </w:rPr>
        <w:t xml:space="preserve">En cuanto al </w:t>
      </w:r>
      <w:proofErr w:type="spellStart"/>
      <w:r w:rsidRPr="00E95DFE">
        <w:rPr>
          <w:rFonts w:ascii="Book Antiqua" w:hAnsi="Book Antiqua"/>
          <w:i/>
          <w:iCs/>
          <w:lang w:val="es-ES"/>
        </w:rPr>
        <w:t>injunction</w:t>
      </w:r>
      <w:proofErr w:type="spellEnd"/>
      <w:r w:rsidRPr="00E95DFE">
        <w:rPr>
          <w:rFonts w:ascii="Book Antiqua" w:hAnsi="Book Antiqua"/>
          <w:lang w:val="es-ES"/>
        </w:rPr>
        <w:t xml:space="preserve"> preliminar, la </w:t>
      </w:r>
      <w:r w:rsidR="006B1DD5" w:rsidRPr="00E95DFE">
        <w:rPr>
          <w:rFonts w:ascii="Book Antiqua" w:hAnsi="Book Antiqua"/>
          <w:lang w:val="es-ES"/>
        </w:rPr>
        <w:t>R</w:t>
      </w:r>
      <w:r w:rsidRPr="00E95DFE">
        <w:rPr>
          <w:rFonts w:ascii="Book Antiqua" w:hAnsi="Book Antiqua"/>
          <w:lang w:val="es-ES"/>
        </w:rPr>
        <w:t>egla</w:t>
      </w:r>
      <w:r w:rsidR="006B1DD5" w:rsidRPr="00E95DFE">
        <w:rPr>
          <w:rFonts w:ascii="Book Antiqua" w:hAnsi="Book Antiqua"/>
          <w:lang w:val="es-ES"/>
        </w:rPr>
        <w:t xml:space="preserve"> también</w:t>
      </w:r>
      <w:r w:rsidRPr="00E95DFE">
        <w:rPr>
          <w:rFonts w:ascii="Book Antiqua" w:hAnsi="Book Antiqua"/>
          <w:lang w:val="es-ES"/>
        </w:rPr>
        <w:t xml:space="preserve"> exige notificación previa a la parte adversa, la cual deberá efectuarse siguiendo los procedimientos establecidos para el emplazamiento, garantizando así el debido proceso. El tribunal podrá consolidar la vista sobre la solicitud con el juicio en los méritos, y toda la evidencia admisible en la primera podrá formar parte del expediente. Al resolver, el tribunal deberá dictar orden inmediata especificando los hechos probados y los procedimientos posteriores.</w:t>
      </w:r>
      <w:r w:rsidR="000154A2" w:rsidRPr="00E95DFE">
        <w:rPr>
          <w:rFonts w:ascii="Book Antiqua" w:hAnsi="Book Antiqua"/>
          <w:lang w:val="es-ES"/>
        </w:rPr>
        <w:t xml:space="preserve"> </w:t>
      </w:r>
      <w:r w:rsidRPr="00E95DFE">
        <w:rPr>
          <w:rFonts w:ascii="Book Antiqua" w:hAnsi="Book Antiqua"/>
          <w:lang w:val="es-ES"/>
        </w:rPr>
        <w:t xml:space="preserve">Al evaluar la procedencia de un entredicho provisional o de un </w:t>
      </w:r>
      <w:proofErr w:type="spellStart"/>
      <w:r w:rsidRPr="00E95DFE">
        <w:rPr>
          <w:rFonts w:ascii="Book Antiqua" w:hAnsi="Book Antiqua"/>
          <w:i/>
          <w:iCs/>
          <w:lang w:val="es-ES"/>
        </w:rPr>
        <w:t>injunction</w:t>
      </w:r>
      <w:proofErr w:type="spellEnd"/>
      <w:r w:rsidRPr="00E95DFE">
        <w:rPr>
          <w:rFonts w:ascii="Book Antiqua" w:hAnsi="Book Antiqua"/>
          <w:lang w:val="es-ES"/>
        </w:rPr>
        <w:t xml:space="preserve"> preliminar, el tribunal debe considerar criterios específicos: la naturaleza del daño alegado, la </w:t>
      </w:r>
      <w:proofErr w:type="spellStart"/>
      <w:r w:rsidRPr="00E95DFE">
        <w:rPr>
          <w:rFonts w:ascii="Book Antiqua" w:hAnsi="Book Antiqua"/>
          <w:lang w:val="es-ES"/>
        </w:rPr>
        <w:t>irreparabilidad</w:t>
      </w:r>
      <w:proofErr w:type="spellEnd"/>
      <w:r w:rsidRPr="00E95DFE">
        <w:rPr>
          <w:rFonts w:ascii="Book Antiqua" w:hAnsi="Book Antiqua"/>
          <w:lang w:val="es-ES"/>
        </w:rPr>
        <w:t xml:space="preserve"> del mismo o la falta de un remedio adecuado en derecho, la probabilidad de prevalecer de la parte promovente, el riesgo de </w:t>
      </w:r>
      <w:proofErr w:type="spellStart"/>
      <w:r w:rsidRPr="00E95DFE">
        <w:rPr>
          <w:rFonts w:ascii="Book Antiqua" w:hAnsi="Book Antiqua"/>
          <w:lang w:val="es-ES"/>
        </w:rPr>
        <w:t>academicidad</w:t>
      </w:r>
      <w:proofErr w:type="spellEnd"/>
      <w:r w:rsidRPr="00E95DFE">
        <w:rPr>
          <w:rFonts w:ascii="Book Antiqua" w:hAnsi="Book Antiqua"/>
          <w:lang w:val="es-ES"/>
        </w:rPr>
        <w:t xml:space="preserve"> de la causa, el impacto en el interés público y la diligencia y buena fe del solicitante. </w:t>
      </w:r>
    </w:p>
  </w:footnote>
  <w:footnote w:id="3">
    <w:p w14:paraId="45996F49" w14:textId="12C5652C" w:rsidR="003A3BB7" w:rsidRPr="00E95DFE" w:rsidRDefault="003A3BB7" w:rsidP="00E95DFE">
      <w:pPr>
        <w:pStyle w:val="FootnoteText"/>
        <w:jc w:val="both"/>
        <w:rPr>
          <w:rFonts w:ascii="Book Antiqua" w:hAnsi="Book Antiqua"/>
          <w:lang w:val="es-ES"/>
        </w:rPr>
      </w:pPr>
      <w:r w:rsidRPr="00E95DFE">
        <w:rPr>
          <w:rStyle w:val="FootnoteReference"/>
          <w:rFonts w:ascii="Book Antiqua" w:hAnsi="Book Antiqua"/>
        </w:rPr>
        <w:footnoteRef/>
      </w:r>
      <w:r w:rsidRPr="00E95DFE">
        <w:rPr>
          <w:rFonts w:ascii="Book Antiqua" w:hAnsi="Book Antiqua"/>
          <w:lang w:val="es-ES"/>
        </w:rPr>
        <w:t xml:space="preserve"> </w:t>
      </w:r>
      <w:r w:rsidRPr="00E95DFE">
        <w:rPr>
          <w:rFonts w:ascii="Book Antiqua" w:hAnsi="Book Antiqua"/>
          <w:i/>
          <w:iCs/>
          <w:lang w:val="es-ES"/>
        </w:rPr>
        <w:t>Véanse</w:t>
      </w:r>
      <w:r w:rsidRPr="00E95DFE">
        <w:rPr>
          <w:rFonts w:ascii="Book Antiqua" w:hAnsi="Book Antiqua"/>
          <w:lang w:val="es-ES"/>
        </w:rPr>
        <w:t xml:space="preserve"> Peña v. Federación de Esgrima de Puerto Rico, 108 DPR 147 (1978); Ortega Cabrera v. Tribunal Superior, 101 DPR 612 (1973).</w:t>
      </w:r>
    </w:p>
  </w:footnote>
  <w:footnote w:id="4">
    <w:p w14:paraId="78AC159B" w14:textId="4B1F3B77" w:rsidR="00A62AED" w:rsidRPr="00E95DFE" w:rsidRDefault="00A62AED" w:rsidP="00E95DFE">
      <w:pPr>
        <w:pStyle w:val="FootnoteText"/>
        <w:jc w:val="both"/>
        <w:rPr>
          <w:rFonts w:ascii="Book Antiqua" w:hAnsi="Book Antiqua"/>
          <w:lang w:val="es-ES"/>
        </w:rPr>
      </w:pPr>
      <w:r w:rsidRPr="00E95DFE">
        <w:rPr>
          <w:rStyle w:val="FootnoteReference"/>
          <w:rFonts w:ascii="Book Antiqua" w:hAnsi="Book Antiqua"/>
        </w:rPr>
        <w:footnoteRef/>
      </w:r>
      <w:r w:rsidRPr="00592038">
        <w:rPr>
          <w:rFonts w:ascii="Book Antiqua" w:hAnsi="Book Antiqua"/>
          <w:lang w:val="pt-PT"/>
        </w:rPr>
        <w:t xml:space="preserve"> </w:t>
      </w:r>
      <w:r w:rsidRPr="00592038">
        <w:rPr>
          <w:rFonts w:ascii="Book Antiqua" w:hAnsi="Book Antiqua"/>
          <w:i/>
          <w:iCs/>
          <w:lang w:val="pt-PT"/>
        </w:rPr>
        <w:t>Véanse</w:t>
      </w:r>
      <w:r w:rsidRPr="00592038">
        <w:rPr>
          <w:rFonts w:ascii="Book Antiqua" w:hAnsi="Book Antiqua"/>
          <w:lang w:val="pt-PT"/>
        </w:rPr>
        <w:t xml:space="preserve"> Pérez Vda. de Muñiz v. Criado Amunategui, 151 DPR 355 (2000); A.P.P.R. v. Tribunal Superior, 103 DPR 903 (1975); Franco v. Oppenheimer, 40 DPR 153 (1929); Martínez v. P.R. Ry. </w:t>
      </w:r>
      <w:r w:rsidRPr="00E95DFE">
        <w:rPr>
          <w:rFonts w:ascii="Book Antiqua" w:hAnsi="Book Antiqua"/>
          <w:lang w:val="es-ES"/>
        </w:rPr>
        <w:t xml:space="preserve">Light and </w:t>
      </w:r>
      <w:proofErr w:type="spellStart"/>
      <w:r w:rsidRPr="00E95DFE">
        <w:rPr>
          <w:rFonts w:ascii="Book Antiqua" w:hAnsi="Book Antiqua"/>
          <w:lang w:val="es-ES"/>
        </w:rPr>
        <w:t>Power</w:t>
      </w:r>
      <w:proofErr w:type="spellEnd"/>
      <w:r w:rsidRPr="00E95DFE">
        <w:rPr>
          <w:rFonts w:ascii="Book Antiqua" w:hAnsi="Book Antiqua"/>
          <w:lang w:val="es-ES"/>
        </w:rPr>
        <w:t xml:space="preserve"> Co., 18 DPR 725 (1912).</w:t>
      </w:r>
    </w:p>
  </w:footnote>
  <w:footnote w:id="5">
    <w:p w14:paraId="07A3A278" w14:textId="68764B6A" w:rsidR="00545A3A" w:rsidRPr="00E95DFE" w:rsidRDefault="00545A3A" w:rsidP="00E95DFE">
      <w:pPr>
        <w:pStyle w:val="FootnoteText"/>
        <w:jc w:val="both"/>
        <w:rPr>
          <w:rFonts w:ascii="Book Antiqua" w:hAnsi="Book Antiqua"/>
          <w:lang w:val="es-ES"/>
        </w:rPr>
      </w:pPr>
      <w:r w:rsidRPr="00E95DFE">
        <w:rPr>
          <w:rStyle w:val="FootnoteReference"/>
          <w:rFonts w:ascii="Book Antiqua" w:hAnsi="Book Antiqua"/>
        </w:rPr>
        <w:footnoteRef/>
      </w:r>
      <w:r w:rsidRPr="00E95DFE">
        <w:rPr>
          <w:rFonts w:ascii="Book Antiqua" w:hAnsi="Book Antiqua"/>
          <w:lang w:val="es-ES"/>
        </w:rPr>
        <w:t xml:space="preserve"> </w:t>
      </w:r>
      <w:r w:rsidR="00367E35" w:rsidRPr="00E95DFE">
        <w:rPr>
          <w:rFonts w:ascii="Book Antiqua" w:hAnsi="Book Antiqua"/>
          <w:i/>
          <w:iCs/>
          <w:lang w:val="es-ES"/>
        </w:rPr>
        <w:t>Véase</w:t>
      </w:r>
      <w:r w:rsidR="00367E35" w:rsidRPr="00E95DFE">
        <w:rPr>
          <w:rFonts w:ascii="Book Antiqua" w:hAnsi="Book Antiqua"/>
          <w:lang w:val="es-ES"/>
        </w:rPr>
        <w:t xml:space="preserve"> Autoridad</w:t>
      </w:r>
      <w:r w:rsidRPr="00E95DFE">
        <w:rPr>
          <w:rFonts w:ascii="Book Antiqua" w:hAnsi="Book Antiqua"/>
          <w:lang w:val="es-ES"/>
        </w:rPr>
        <w:t xml:space="preserve"> de Tierras de Puerto Rico v Moreno Ruiz</w:t>
      </w:r>
      <w:r w:rsidR="00556723" w:rsidRPr="00E95DFE">
        <w:rPr>
          <w:rFonts w:ascii="Book Antiqua" w:hAnsi="Book Antiqua"/>
          <w:lang w:val="es-ES"/>
        </w:rPr>
        <w:t xml:space="preserve">, </w:t>
      </w:r>
      <w:r w:rsidRPr="00E95DFE">
        <w:rPr>
          <w:rFonts w:ascii="Book Antiqua" w:hAnsi="Book Antiqua"/>
          <w:lang w:val="es-ES"/>
        </w:rPr>
        <w:t>174 DPR 409, 426</w:t>
      </w:r>
      <w:r w:rsidR="00367E35" w:rsidRPr="00E95DFE">
        <w:rPr>
          <w:rFonts w:ascii="Book Antiqua" w:hAnsi="Book Antiqua"/>
          <w:lang w:val="es-ES"/>
        </w:rPr>
        <w:t xml:space="preserve"> (2008).</w:t>
      </w:r>
    </w:p>
  </w:footnote>
  <w:footnote w:id="6">
    <w:p w14:paraId="24D43575" w14:textId="63E50C5D" w:rsidR="0099264B" w:rsidRPr="00592038" w:rsidRDefault="0099264B" w:rsidP="00E95DFE">
      <w:pPr>
        <w:pStyle w:val="FootnoteText"/>
        <w:jc w:val="both"/>
        <w:rPr>
          <w:rFonts w:ascii="Book Antiqua" w:hAnsi="Book Antiqua"/>
          <w:lang w:val="pt-PT"/>
        </w:rPr>
      </w:pPr>
      <w:r w:rsidRPr="00E95DFE">
        <w:rPr>
          <w:rStyle w:val="FootnoteReference"/>
          <w:rFonts w:ascii="Book Antiqua" w:hAnsi="Book Antiqua"/>
        </w:rPr>
        <w:footnoteRef/>
      </w:r>
      <w:r w:rsidRPr="00592038">
        <w:rPr>
          <w:rFonts w:ascii="Book Antiqua" w:hAnsi="Book Antiqua"/>
          <w:lang w:val="pt-PT"/>
        </w:rPr>
        <w:t xml:space="preserve"> </w:t>
      </w:r>
      <w:r w:rsidRPr="00592038">
        <w:rPr>
          <w:rFonts w:ascii="Book Antiqua" w:hAnsi="Book Antiqua"/>
          <w:i/>
          <w:iCs/>
          <w:lang w:val="pt-PT"/>
        </w:rPr>
        <w:t>Véase</w:t>
      </w:r>
      <w:r w:rsidRPr="00592038">
        <w:rPr>
          <w:rFonts w:ascii="Book Antiqua" w:hAnsi="Book Antiqua"/>
          <w:lang w:val="pt-PT"/>
        </w:rPr>
        <w:t xml:space="preserve"> Pérez Vda. de Muñiz v. Criado Amunategui, </w:t>
      </w:r>
      <w:r w:rsidRPr="00592038">
        <w:rPr>
          <w:rFonts w:ascii="Book Antiqua" w:hAnsi="Book Antiqua"/>
          <w:i/>
          <w:iCs/>
          <w:lang w:val="pt-PT"/>
        </w:rPr>
        <w:t>supra</w:t>
      </w:r>
      <w:r w:rsidRPr="00592038">
        <w:rPr>
          <w:rFonts w:ascii="Book Antiqua" w:hAnsi="Book Antiqua"/>
          <w:lang w:val="pt-PT"/>
        </w:rPr>
        <w:t>.</w:t>
      </w:r>
    </w:p>
  </w:footnote>
  <w:footnote w:id="7">
    <w:p w14:paraId="56B1F920" w14:textId="25760F1F" w:rsidR="00556723" w:rsidRPr="00E95DFE" w:rsidRDefault="00556723" w:rsidP="00E95DFE">
      <w:pPr>
        <w:pStyle w:val="FootnoteText"/>
        <w:jc w:val="both"/>
        <w:rPr>
          <w:rFonts w:ascii="Book Antiqua" w:hAnsi="Book Antiqua"/>
          <w:lang w:val="es-ES"/>
        </w:rPr>
      </w:pPr>
      <w:r w:rsidRPr="00E95DFE">
        <w:rPr>
          <w:rStyle w:val="FootnoteReference"/>
          <w:rFonts w:ascii="Book Antiqua" w:hAnsi="Book Antiqua"/>
        </w:rPr>
        <w:footnoteRef/>
      </w:r>
      <w:r w:rsidRPr="00E95DFE">
        <w:rPr>
          <w:rFonts w:ascii="Book Antiqua" w:hAnsi="Book Antiqua"/>
          <w:lang w:val="es-ES"/>
        </w:rPr>
        <w:t xml:space="preserve"> </w:t>
      </w:r>
      <w:r w:rsidRPr="00E95DFE">
        <w:rPr>
          <w:rFonts w:ascii="Book Antiqua" w:hAnsi="Book Antiqua"/>
          <w:i/>
          <w:iCs/>
          <w:lang w:val="es-ES"/>
        </w:rPr>
        <w:t>Véase</w:t>
      </w:r>
      <w:r w:rsidRPr="00E95DFE">
        <w:rPr>
          <w:rFonts w:ascii="Book Antiqua" w:hAnsi="Book Antiqua"/>
          <w:lang w:val="es-ES"/>
        </w:rPr>
        <w:t xml:space="preserve"> Autoridad de Tierras de Puerto Rico v Moreno Ruiz, </w:t>
      </w:r>
      <w:r w:rsidRPr="00E95DFE">
        <w:rPr>
          <w:rFonts w:ascii="Book Antiqua" w:hAnsi="Book Antiqua"/>
          <w:i/>
          <w:iCs/>
          <w:lang w:val="es-ES"/>
        </w:rPr>
        <w:t>supra</w:t>
      </w:r>
      <w:r w:rsidRPr="00E95DFE">
        <w:rPr>
          <w:rFonts w:ascii="Book Antiqua" w:hAnsi="Book Antiqua"/>
          <w:lang w:val="es-ES"/>
        </w:rPr>
        <w:t>.</w:t>
      </w:r>
    </w:p>
  </w:footnote>
  <w:footnote w:id="8">
    <w:p w14:paraId="5012A50E" w14:textId="68E5B7C0" w:rsidR="002C2A28" w:rsidRPr="00E95DFE" w:rsidRDefault="002C2A28" w:rsidP="00E95DFE">
      <w:pPr>
        <w:pStyle w:val="FootnoteText"/>
        <w:jc w:val="both"/>
        <w:rPr>
          <w:rFonts w:ascii="Book Antiqua" w:hAnsi="Book Antiqua"/>
          <w:lang w:val="es-ES"/>
        </w:rPr>
      </w:pPr>
      <w:r w:rsidRPr="00E95DFE">
        <w:rPr>
          <w:rStyle w:val="FootnoteReference"/>
          <w:rFonts w:ascii="Book Antiqua" w:hAnsi="Book Antiqua"/>
        </w:rPr>
        <w:footnoteRef/>
      </w:r>
      <w:r w:rsidRPr="00E95DFE">
        <w:rPr>
          <w:rFonts w:ascii="Book Antiqua" w:hAnsi="Book Antiqua"/>
          <w:lang w:val="es-ES"/>
        </w:rPr>
        <w:t xml:space="preserve"> </w:t>
      </w:r>
      <w:r w:rsidRPr="00E95DFE">
        <w:rPr>
          <w:rFonts w:ascii="Book Antiqua" w:hAnsi="Book Antiqua"/>
          <w:i/>
          <w:iCs/>
          <w:lang w:val="es-ES"/>
        </w:rPr>
        <w:t>Véase</w:t>
      </w:r>
      <w:r w:rsidRPr="00E95DFE">
        <w:rPr>
          <w:rFonts w:ascii="Book Antiqua" w:hAnsi="Book Antiqua"/>
          <w:lang w:val="es-ES"/>
        </w:rPr>
        <w:t xml:space="preserve"> </w:t>
      </w:r>
      <w:proofErr w:type="spellStart"/>
      <w:r w:rsidRPr="00E95DFE">
        <w:rPr>
          <w:rFonts w:ascii="Book Antiqua" w:hAnsi="Book Antiqua"/>
          <w:lang w:val="es-ES"/>
        </w:rPr>
        <w:t>Mun</w:t>
      </w:r>
      <w:proofErr w:type="spellEnd"/>
      <w:r w:rsidRPr="00E95DFE">
        <w:rPr>
          <w:rFonts w:ascii="Book Antiqua" w:hAnsi="Book Antiqua"/>
          <w:lang w:val="es-ES"/>
        </w:rPr>
        <w:t>. de Ponce v. Gobernador, 136 DPR 776 (1994).</w:t>
      </w:r>
    </w:p>
  </w:footnote>
  <w:footnote w:id="9">
    <w:p w14:paraId="7ACC10BF" w14:textId="040F0452" w:rsidR="00EE05F4" w:rsidRPr="00E95DFE" w:rsidRDefault="00EE05F4" w:rsidP="00E95DFE">
      <w:pPr>
        <w:pStyle w:val="FootnoteText"/>
        <w:jc w:val="both"/>
        <w:rPr>
          <w:rFonts w:ascii="Book Antiqua" w:hAnsi="Book Antiqua"/>
          <w:lang w:val="es-ES"/>
        </w:rPr>
      </w:pPr>
      <w:r w:rsidRPr="00E95DFE">
        <w:rPr>
          <w:rStyle w:val="FootnoteReference"/>
          <w:rFonts w:ascii="Book Antiqua" w:hAnsi="Book Antiqua"/>
        </w:rPr>
        <w:footnoteRef/>
      </w:r>
      <w:r w:rsidRPr="00E95DFE">
        <w:rPr>
          <w:rFonts w:ascii="Book Antiqua" w:hAnsi="Book Antiqua"/>
          <w:lang w:val="es-ES"/>
        </w:rPr>
        <w:t xml:space="preserve"> </w:t>
      </w:r>
      <w:r w:rsidRPr="00E95DFE">
        <w:rPr>
          <w:rFonts w:ascii="Book Antiqua" w:hAnsi="Book Antiqua"/>
          <w:i/>
          <w:iCs/>
          <w:lang w:val="es-ES"/>
        </w:rPr>
        <w:t>Véase</w:t>
      </w:r>
      <w:r w:rsidRPr="00E95DFE">
        <w:rPr>
          <w:rFonts w:ascii="Book Antiqua" w:hAnsi="Book Antiqua"/>
          <w:lang w:val="es-ES"/>
        </w:rPr>
        <w:t xml:space="preserve"> </w:t>
      </w:r>
      <w:r w:rsidR="001D59A9" w:rsidRPr="00E95DFE">
        <w:rPr>
          <w:rFonts w:ascii="Book Antiqua" w:hAnsi="Book Antiqua"/>
          <w:lang w:val="es-ES"/>
        </w:rPr>
        <w:t xml:space="preserve">Autoridad de Tierras de Puerto Rico v Moreno Ruiz, </w:t>
      </w:r>
      <w:r w:rsidR="001D59A9" w:rsidRPr="00E95DFE">
        <w:rPr>
          <w:rFonts w:ascii="Book Antiqua" w:hAnsi="Book Antiqua"/>
          <w:i/>
          <w:iCs/>
          <w:lang w:val="es-ES"/>
        </w:rPr>
        <w:t>supra</w:t>
      </w:r>
      <w:r w:rsidR="001D59A9" w:rsidRPr="00E95DFE">
        <w:rPr>
          <w:rFonts w:ascii="Book Antiqua" w:hAnsi="Book Antiqua"/>
          <w:lang w:val="es-ES"/>
        </w:rPr>
        <w:t xml:space="preserve">, </w:t>
      </w:r>
      <w:r w:rsidRPr="00E95DFE">
        <w:rPr>
          <w:rFonts w:ascii="Book Antiqua" w:hAnsi="Book Antiqua"/>
          <w:lang w:val="es-ES"/>
        </w:rPr>
        <w:t>(</w:t>
      </w:r>
      <w:r w:rsidRPr="00E95DFE">
        <w:rPr>
          <w:rFonts w:ascii="Book Antiqua" w:hAnsi="Book Antiqua"/>
          <w:i/>
          <w:iCs/>
          <w:lang w:val="es-ES"/>
        </w:rPr>
        <w:t xml:space="preserve">citando a </w:t>
      </w:r>
      <w:r w:rsidRPr="00E95DFE">
        <w:rPr>
          <w:rFonts w:ascii="Book Antiqua" w:hAnsi="Book Antiqua"/>
          <w:lang w:val="es-ES"/>
        </w:rPr>
        <w:t xml:space="preserve">Universidad del Turabo v. Liga Interuniversitaria, 172 DPR 605 (2007); </w:t>
      </w:r>
      <w:proofErr w:type="spellStart"/>
      <w:r w:rsidRPr="00E95DFE">
        <w:rPr>
          <w:rFonts w:ascii="Book Antiqua" w:hAnsi="Book Antiqua"/>
          <w:lang w:val="es-ES"/>
        </w:rPr>
        <w:t>Southern</w:t>
      </w:r>
      <w:proofErr w:type="spellEnd"/>
      <w:r w:rsidRPr="00E95DFE">
        <w:rPr>
          <w:rFonts w:ascii="Book Antiqua" w:hAnsi="Book Antiqua"/>
          <w:lang w:val="es-ES"/>
        </w:rPr>
        <w:t xml:space="preserve"> </w:t>
      </w:r>
      <w:proofErr w:type="spellStart"/>
      <w:r w:rsidRPr="00E95DFE">
        <w:rPr>
          <w:rFonts w:ascii="Book Antiqua" w:hAnsi="Book Antiqua"/>
          <w:lang w:val="es-ES"/>
        </w:rPr>
        <w:t>Packing</w:t>
      </w:r>
      <w:proofErr w:type="spellEnd"/>
      <w:r w:rsidRPr="00E95DFE">
        <w:rPr>
          <w:rFonts w:ascii="Book Antiqua" w:hAnsi="Book Antiqua"/>
          <w:lang w:val="es-ES"/>
        </w:rPr>
        <w:t xml:space="preserve"> and Storage Co., Inc. v. </w:t>
      </w:r>
      <w:proofErr w:type="spellStart"/>
      <w:r w:rsidRPr="00E95DFE">
        <w:rPr>
          <w:rFonts w:ascii="Book Antiqua" w:hAnsi="Book Antiqua"/>
          <w:lang w:val="es-ES"/>
        </w:rPr>
        <w:t>United</w:t>
      </w:r>
      <w:proofErr w:type="spellEnd"/>
      <w:r w:rsidRPr="00E95DFE">
        <w:rPr>
          <w:rFonts w:ascii="Book Antiqua" w:hAnsi="Book Antiqua"/>
          <w:lang w:val="es-ES"/>
        </w:rPr>
        <w:t xml:space="preserve"> </w:t>
      </w:r>
      <w:proofErr w:type="spellStart"/>
      <w:r w:rsidRPr="00E95DFE">
        <w:rPr>
          <w:rFonts w:ascii="Book Antiqua" w:hAnsi="Book Antiqua"/>
          <w:lang w:val="es-ES"/>
        </w:rPr>
        <w:t>States</w:t>
      </w:r>
      <w:proofErr w:type="spellEnd"/>
      <w:r w:rsidRPr="00E95DFE">
        <w:rPr>
          <w:rFonts w:ascii="Book Antiqua" w:hAnsi="Book Antiqua"/>
          <w:lang w:val="es-ES"/>
        </w:rPr>
        <w:t xml:space="preserve">, 588 F. </w:t>
      </w:r>
      <w:proofErr w:type="spellStart"/>
      <w:r w:rsidRPr="00E95DFE">
        <w:rPr>
          <w:rFonts w:ascii="Book Antiqua" w:hAnsi="Book Antiqua"/>
          <w:lang w:val="es-ES"/>
        </w:rPr>
        <w:t>Supp</w:t>
      </w:r>
      <w:proofErr w:type="spellEnd"/>
      <w:r w:rsidRPr="00E95DFE">
        <w:rPr>
          <w:rFonts w:ascii="Book Antiqua" w:hAnsi="Book Antiqua"/>
          <w:lang w:val="es-ES"/>
        </w:rPr>
        <w:t xml:space="preserve">. 532 (D.S.C. 1984); </w:t>
      </w:r>
      <w:proofErr w:type="spellStart"/>
      <w:r w:rsidRPr="00E95DFE">
        <w:rPr>
          <w:rFonts w:ascii="Book Antiqua" w:hAnsi="Book Antiqua"/>
          <w:lang w:val="es-ES"/>
        </w:rPr>
        <w:t>State</w:t>
      </w:r>
      <w:proofErr w:type="spellEnd"/>
      <w:r w:rsidRPr="00E95DFE">
        <w:rPr>
          <w:rFonts w:ascii="Book Antiqua" w:hAnsi="Book Antiqua"/>
          <w:lang w:val="es-ES"/>
        </w:rPr>
        <w:t xml:space="preserve"> ex </w:t>
      </w:r>
      <w:proofErr w:type="spellStart"/>
      <w:r w:rsidRPr="00E95DFE">
        <w:rPr>
          <w:rFonts w:ascii="Book Antiqua" w:hAnsi="Book Antiqua"/>
          <w:lang w:val="es-ES"/>
        </w:rPr>
        <w:t>rel.</w:t>
      </w:r>
      <w:proofErr w:type="spellEnd"/>
      <w:r w:rsidRPr="00E95DFE">
        <w:rPr>
          <w:rFonts w:ascii="Book Antiqua" w:hAnsi="Book Antiqua"/>
          <w:lang w:val="es-ES"/>
        </w:rPr>
        <w:t xml:space="preserve"> Guste v. Lee, 635 F. </w:t>
      </w:r>
      <w:proofErr w:type="spellStart"/>
      <w:r w:rsidRPr="00E95DFE">
        <w:rPr>
          <w:rFonts w:ascii="Book Antiqua" w:hAnsi="Book Antiqua"/>
          <w:lang w:val="es-ES"/>
        </w:rPr>
        <w:t>Supp</w:t>
      </w:r>
      <w:proofErr w:type="spellEnd"/>
      <w:r w:rsidRPr="00E95DFE">
        <w:rPr>
          <w:rFonts w:ascii="Book Antiqua" w:hAnsi="Book Antiqua"/>
          <w:lang w:val="es-ES"/>
        </w:rPr>
        <w:t>. 1107 (1986).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6EE71CA0" w:rsidR="00C760D6" w:rsidRPr="007B4C52" w:rsidRDefault="007B4C52" w:rsidP="007B4C52">
    <w:pPr>
      <w:pStyle w:val="Header"/>
      <w:jc w:val="right"/>
      <w:rPr>
        <w:rFonts w:ascii="Book Antiqua" w:hAnsi="Book Antiqua"/>
        <w:i/>
        <w:iCs/>
        <w:sz w:val="20"/>
        <w:lang w:val="es-PR"/>
      </w:rPr>
    </w:pPr>
    <w:bookmarkStart w:id="6" w:name="_Hlk194440197"/>
    <w:r w:rsidRPr="007B4C52">
      <w:rPr>
        <w:rFonts w:ascii="Book Antiqua" w:hAnsi="Book Antiqua"/>
        <w:i/>
        <w:iCs/>
        <w:sz w:val="20"/>
        <w:lang w:val="es-PR"/>
      </w:rPr>
      <w:t xml:space="preserve">Informe Positivo sobre el </w:t>
    </w:r>
    <w:r w:rsidR="00843661">
      <w:rPr>
        <w:rFonts w:ascii="Book Antiqua" w:hAnsi="Book Antiqua"/>
        <w:i/>
        <w:iCs/>
        <w:sz w:val="20"/>
        <w:lang w:val="es-PR"/>
      </w:rPr>
      <w:t>P. de la C. 173</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6"/>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29EE932F"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EE05F4">
      <w:rPr>
        <w:rFonts w:ascii="Book Antiqua" w:hAnsi="Book Antiqua"/>
        <w:i/>
        <w:iCs/>
        <w:sz w:val="20"/>
        <w:lang w:val="es-PR"/>
      </w:rPr>
      <w:t>P. de la C. 173</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D92D4D"/>
    <w:multiLevelType w:val="hybridMultilevel"/>
    <w:tmpl w:val="5DF055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530E51"/>
    <w:multiLevelType w:val="hybridMultilevel"/>
    <w:tmpl w:val="9956223A"/>
    <w:lvl w:ilvl="0" w:tplc="E64CA3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4"/>
  </w:num>
  <w:num w:numId="3" w16cid:durableId="1740246671">
    <w:abstractNumId w:val="5"/>
  </w:num>
  <w:num w:numId="4" w16cid:durableId="1210073537">
    <w:abstractNumId w:val="3"/>
  </w:num>
  <w:num w:numId="5" w16cid:durableId="1052465916">
    <w:abstractNumId w:val="6"/>
  </w:num>
  <w:num w:numId="6" w16cid:durableId="2085452212">
    <w:abstractNumId w:val="7"/>
  </w:num>
  <w:num w:numId="7" w16cid:durableId="1385643251">
    <w:abstractNumId w:val="1"/>
  </w:num>
  <w:num w:numId="8" w16cid:durableId="10681152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4C1A"/>
    <w:rsid w:val="000154A2"/>
    <w:rsid w:val="00016AE0"/>
    <w:rsid w:val="00016D64"/>
    <w:rsid w:val="000230E7"/>
    <w:rsid w:val="00043B59"/>
    <w:rsid w:val="00045442"/>
    <w:rsid w:val="00046DD2"/>
    <w:rsid w:val="000533CB"/>
    <w:rsid w:val="0005560C"/>
    <w:rsid w:val="00066916"/>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E7FCC"/>
    <w:rsid w:val="000F7663"/>
    <w:rsid w:val="0010073E"/>
    <w:rsid w:val="00104CF6"/>
    <w:rsid w:val="00107712"/>
    <w:rsid w:val="00111E71"/>
    <w:rsid w:val="00114F93"/>
    <w:rsid w:val="00121DA8"/>
    <w:rsid w:val="001312DC"/>
    <w:rsid w:val="0014075E"/>
    <w:rsid w:val="00152956"/>
    <w:rsid w:val="00152AEE"/>
    <w:rsid w:val="00157BC8"/>
    <w:rsid w:val="00172EE0"/>
    <w:rsid w:val="00186AB6"/>
    <w:rsid w:val="001A4A02"/>
    <w:rsid w:val="001A7434"/>
    <w:rsid w:val="001B4C08"/>
    <w:rsid w:val="001B5218"/>
    <w:rsid w:val="001B77D6"/>
    <w:rsid w:val="001C0F9B"/>
    <w:rsid w:val="001C2FA8"/>
    <w:rsid w:val="001C31BA"/>
    <w:rsid w:val="001C5DEB"/>
    <w:rsid w:val="001D12A7"/>
    <w:rsid w:val="001D3C1D"/>
    <w:rsid w:val="001D59A9"/>
    <w:rsid w:val="001D70F5"/>
    <w:rsid w:val="001D79E5"/>
    <w:rsid w:val="001E78B4"/>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A54C2"/>
    <w:rsid w:val="002B0B9E"/>
    <w:rsid w:val="002B2168"/>
    <w:rsid w:val="002B62DE"/>
    <w:rsid w:val="002C18ED"/>
    <w:rsid w:val="002C2A28"/>
    <w:rsid w:val="002C2E08"/>
    <w:rsid w:val="002C402D"/>
    <w:rsid w:val="002D185B"/>
    <w:rsid w:val="002D4AC8"/>
    <w:rsid w:val="002E3F48"/>
    <w:rsid w:val="002E4A52"/>
    <w:rsid w:val="002E66F9"/>
    <w:rsid w:val="002F0440"/>
    <w:rsid w:val="002F79D4"/>
    <w:rsid w:val="00302228"/>
    <w:rsid w:val="00303FA5"/>
    <w:rsid w:val="003059D5"/>
    <w:rsid w:val="00305A25"/>
    <w:rsid w:val="00311782"/>
    <w:rsid w:val="00316786"/>
    <w:rsid w:val="003239C5"/>
    <w:rsid w:val="00330372"/>
    <w:rsid w:val="00334935"/>
    <w:rsid w:val="00337BB7"/>
    <w:rsid w:val="0034055D"/>
    <w:rsid w:val="003465C8"/>
    <w:rsid w:val="00352C78"/>
    <w:rsid w:val="00367E35"/>
    <w:rsid w:val="00381F18"/>
    <w:rsid w:val="0038390D"/>
    <w:rsid w:val="003857EC"/>
    <w:rsid w:val="00386D32"/>
    <w:rsid w:val="0039037B"/>
    <w:rsid w:val="003906D8"/>
    <w:rsid w:val="00393CA6"/>
    <w:rsid w:val="003A201A"/>
    <w:rsid w:val="003A3BB7"/>
    <w:rsid w:val="003B0348"/>
    <w:rsid w:val="003D052D"/>
    <w:rsid w:val="003D7045"/>
    <w:rsid w:val="00402413"/>
    <w:rsid w:val="004076B9"/>
    <w:rsid w:val="00412A61"/>
    <w:rsid w:val="00412EA3"/>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8C6"/>
    <w:rsid w:val="004A51C7"/>
    <w:rsid w:val="004B0082"/>
    <w:rsid w:val="004C370E"/>
    <w:rsid w:val="004D2BC7"/>
    <w:rsid w:val="004D4E14"/>
    <w:rsid w:val="004E7F65"/>
    <w:rsid w:val="004F6E72"/>
    <w:rsid w:val="004F7173"/>
    <w:rsid w:val="0051050B"/>
    <w:rsid w:val="00530395"/>
    <w:rsid w:val="005354C6"/>
    <w:rsid w:val="00540B6A"/>
    <w:rsid w:val="00540DDE"/>
    <w:rsid w:val="00541FE3"/>
    <w:rsid w:val="00545A3A"/>
    <w:rsid w:val="005478C9"/>
    <w:rsid w:val="005479D1"/>
    <w:rsid w:val="00550023"/>
    <w:rsid w:val="00550412"/>
    <w:rsid w:val="00552B8A"/>
    <w:rsid w:val="00555018"/>
    <w:rsid w:val="00556723"/>
    <w:rsid w:val="00571789"/>
    <w:rsid w:val="00573858"/>
    <w:rsid w:val="00573B23"/>
    <w:rsid w:val="005741F6"/>
    <w:rsid w:val="00580EC6"/>
    <w:rsid w:val="005817B7"/>
    <w:rsid w:val="00592038"/>
    <w:rsid w:val="00592B05"/>
    <w:rsid w:val="005A24EF"/>
    <w:rsid w:val="005A4787"/>
    <w:rsid w:val="005B2884"/>
    <w:rsid w:val="005C5E81"/>
    <w:rsid w:val="005D2E57"/>
    <w:rsid w:val="005D4AA7"/>
    <w:rsid w:val="005E150B"/>
    <w:rsid w:val="005E7E85"/>
    <w:rsid w:val="0061550A"/>
    <w:rsid w:val="00615AB1"/>
    <w:rsid w:val="00615E64"/>
    <w:rsid w:val="00622333"/>
    <w:rsid w:val="006239E8"/>
    <w:rsid w:val="00650D8E"/>
    <w:rsid w:val="0066129F"/>
    <w:rsid w:val="00662809"/>
    <w:rsid w:val="006807C0"/>
    <w:rsid w:val="006861CE"/>
    <w:rsid w:val="006A24A9"/>
    <w:rsid w:val="006B1DD5"/>
    <w:rsid w:val="006B3D07"/>
    <w:rsid w:val="006B6346"/>
    <w:rsid w:val="006B7E26"/>
    <w:rsid w:val="006C283C"/>
    <w:rsid w:val="006D01F6"/>
    <w:rsid w:val="006D49D8"/>
    <w:rsid w:val="006D5838"/>
    <w:rsid w:val="006D6359"/>
    <w:rsid w:val="006E5B7A"/>
    <w:rsid w:val="006F226E"/>
    <w:rsid w:val="006F51A8"/>
    <w:rsid w:val="00714102"/>
    <w:rsid w:val="007163D8"/>
    <w:rsid w:val="007167F5"/>
    <w:rsid w:val="00720B6F"/>
    <w:rsid w:val="007229E9"/>
    <w:rsid w:val="00725174"/>
    <w:rsid w:val="00733BCD"/>
    <w:rsid w:val="0073675F"/>
    <w:rsid w:val="007472C1"/>
    <w:rsid w:val="007535BB"/>
    <w:rsid w:val="007611FE"/>
    <w:rsid w:val="00777E1D"/>
    <w:rsid w:val="00785050"/>
    <w:rsid w:val="00793E19"/>
    <w:rsid w:val="007B4C52"/>
    <w:rsid w:val="007C04E5"/>
    <w:rsid w:val="007C156B"/>
    <w:rsid w:val="007C592E"/>
    <w:rsid w:val="007C7A99"/>
    <w:rsid w:val="007D4761"/>
    <w:rsid w:val="007D5A59"/>
    <w:rsid w:val="007E17BE"/>
    <w:rsid w:val="007E3B6D"/>
    <w:rsid w:val="007E7EC8"/>
    <w:rsid w:val="007F0829"/>
    <w:rsid w:val="007F62AB"/>
    <w:rsid w:val="007F65DE"/>
    <w:rsid w:val="00803A23"/>
    <w:rsid w:val="008061C2"/>
    <w:rsid w:val="00811269"/>
    <w:rsid w:val="00815BF2"/>
    <w:rsid w:val="00820515"/>
    <w:rsid w:val="00820C41"/>
    <w:rsid w:val="008235BE"/>
    <w:rsid w:val="00825070"/>
    <w:rsid w:val="00843661"/>
    <w:rsid w:val="00855CD6"/>
    <w:rsid w:val="0086515A"/>
    <w:rsid w:val="00865634"/>
    <w:rsid w:val="00867243"/>
    <w:rsid w:val="00867C7F"/>
    <w:rsid w:val="008A154B"/>
    <w:rsid w:val="008A40E0"/>
    <w:rsid w:val="008B1F71"/>
    <w:rsid w:val="008C18B2"/>
    <w:rsid w:val="008C331F"/>
    <w:rsid w:val="008C39D5"/>
    <w:rsid w:val="008D067C"/>
    <w:rsid w:val="008E051A"/>
    <w:rsid w:val="008F717C"/>
    <w:rsid w:val="00904165"/>
    <w:rsid w:val="00905655"/>
    <w:rsid w:val="00907E93"/>
    <w:rsid w:val="009133CF"/>
    <w:rsid w:val="009154BD"/>
    <w:rsid w:val="0092080B"/>
    <w:rsid w:val="009313EE"/>
    <w:rsid w:val="009351B6"/>
    <w:rsid w:val="009374E4"/>
    <w:rsid w:val="00940E84"/>
    <w:rsid w:val="00946BB4"/>
    <w:rsid w:val="00946E55"/>
    <w:rsid w:val="00947FBE"/>
    <w:rsid w:val="0096171F"/>
    <w:rsid w:val="00961D49"/>
    <w:rsid w:val="009645CD"/>
    <w:rsid w:val="00970DEB"/>
    <w:rsid w:val="00981A1F"/>
    <w:rsid w:val="00982A18"/>
    <w:rsid w:val="00984F56"/>
    <w:rsid w:val="00991439"/>
    <w:rsid w:val="0099264B"/>
    <w:rsid w:val="009A08E8"/>
    <w:rsid w:val="009A4A2C"/>
    <w:rsid w:val="009A4FB3"/>
    <w:rsid w:val="009B5669"/>
    <w:rsid w:val="009B619C"/>
    <w:rsid w:val="009C455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372B5"/>
    <w:rsid w:val="00A431A3"/>
    <w:rsid w:val="00A52A66"/>
    <w:rsid w:val="00A52CD9"/>
    <w:rsid w:val="00A62AED"/>
    <w:rsid w:val="00A64365"/>
    <w:rsid w:val="00A6445C"/>
    <w:rsid w:val="00A83C12"/>
    <w:rsid w:val="00A870EF"/>
    <w:rsid w:val="00A90DAD"/>
    <w:rsid w:val="00A93C47"/>
    <w:rsid w:val="00AA0006"/>
    <w:rsid w:val="00AA6126"/>
    <w:rsid w:val="00AB2E69"/>
    <w:rsid w:val="00AC3813"/>
    <w:rsid w:val="00AD076F"/>
    <w:rsid w:val="00AD4B71"/>
    <w:rsid w:val="00AE555C"/>
    <w:rsid w:val="00AF12FB"/>
    <w:rsid w:val="00AF56F5"/>
    <w:rsid w:val="00B03E1C"/>
    <w:rsid w:val="00B13906"/>
    <w:rsid w:val="00B14832"/>
    <w:rsid w:val="00B216D4"/>
    <w:rsid w:val="00B24B05"/>
    <w:rsid w:val="00B24C22"/>
    <w:rsid w:val="00B25721"/>
    <w:rsid w:val="00B316DC"/>
    <w:rsid w:val="00B34930"/>
    <w:rsid w:val="00B36F9D"/>
    <w:rsid w:val="00B37EF9"/>
    <w:rsid w:val="00B46464"/>
    <w:rsid w:val="00B47BDF"/>
    <w:rsid w:val="00B571D9"/>
    <w:rsid w:val="00B57451"/>
    <w:rsid w:val="00B6135D"/>
    <w:rsid w:val="00B66E7C"/>
    <w:rsid w:val="00B702A0"/>
    <w:rsid w:val="00B70EB9"/>
    <w:rsid w:val="00B807DC"/>
    <w:rsid w:val="00B8514B"/>
    <w:rsid w:val="00B8540B"/>
    <w:rsid w:val="00BA0F95"/>
    <w:rsid w:val="00BA43F4"/>
    <w:rsid w:val="00BA6C22"/>
    <w:rsid w:val="00BB20A7"/>
    <w:rsid w:val="00BB6946"/>
    <w:rsid w:val="00BB7826"/>
    <w:rsid w:val="00BC7625"/>
    <w:rsid w:val="00BD3BEF"/>
    <w:rsid w:val="00BE1535"/>
    <w:rsid w:val="00BE6740"/>
    <w:rsid w:val="00BF358A"/>
    <w:rsid w:val="00C0210B"/>
    <w:rsid w:val="00C20997"/>
    <w:rsid w:val="00C21A5A"/>
    <w:rsid w:val="00C22AFC"/>
    <w:rsid w:val="00C30BFF"/>
    <w:rsid w:val="00C32ECE"/>
    <w:rsid w:val="00C41CC9"/>
    <w:rsid w:val="00C4275E"/>
    <w:rsid w:val="00C6071A"/>
    <w:rsid w:val="00C65A5F"/>
    <w:rsid w:val="00C7303D"/>
    <w:rsid w:val="00C760D6"/>
    <w:rsid w:val="00C83828"/>
    <w:rsid w:val="00C869B3"/>
    <w:rsid w:val="00C9772C"/>
    <w:rsid w:val="00CA1098"/>
    <w:rsid w:val="00CA5E1E"/>
    <w:rsid w:val="00CA6DDD"/>
    <w:rsid w:val="00CB5806"/>
    <w:rsid w:val="00CC4859"/>
    <w:rsid w:val="00CE532D"/>
    <w:rsid w:val="00CE7DA0"/>
    <w:rsid w:val="00CF32AA"/>
    <w:rsid w:val="00CF4C00"/>
    <w:rsid w:val="00D0004D"/>
    <w:rsid w:val="00D01A55"/>
    <w:rsid w:val="00D13D23"/>
    <w:rsid w:val="00D16947"/>
    <w:rsid w:val="00D5351E"/>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218E"/>
    <w:rsid w:val="00E251EA"/>
    <w:rsid w:val="00E35157"/>
    <w:rsid w:val="00E35171"/>
    <w:rsid w:val="00E36FA6"/>
    <w:rsid w:val="00E51D24"/>
    <w:rsid w:val="00E63FA4"/>
    <w:rsid w:val="00E66B67"/>
    <w:rsid w:val="00E722CA"/>
    <w:rsid w:val="00E73DB1"/>
    <w:rsid w:val="00E930DD"/>
    <w:rsid w:val="00E9570B"/>
    <w:rsid w:val="00E95DFE"/>
    <w:rsid w:val="00EA477A"/>
    <w:rsid w:val="00EA5757"/>
    <w:rsid w:val="00EA61D2"/>
    <w:rsid w:val="00EB0B16"/>
    <w:rsid w:val="00EB1664"/>
    <w:rsid w:val="00EC5454"/>
    <w:rsid w:val="00EC5531"/>
    <w:rsid w:val="00EC56E8"/>
    <w:rsid w:val="00EE05F4"/>
    <w:rsid w:val="00EE4536"/>
    <w:rsid w:val="00EF237A"/>
    <w:rsid w:val="00EF62F7"/>
    <w:rsid w:val="00F02F4A"/>
    <w:rsid w:val="00F042CB"/>
    <w:rsid w:val="00F072F9"/>
    <w:rsid w:val="00F17485"/>
    <w:rsid w:val="00F208A5"/>
    <w:rsid w:val="00F3003D"/>
    <w:rsid w:val="00F315D1"/>
    <w:rsid w:val="00F44E24"/>
    <w:rsid w:val="00F4686E"/>
    <w:rsid w:val="00F566F4"/>
    <w:rsid w:val="00F60859"/>
    <w:rsid w:val="00F65FAA"/>
    <w:rsid w:val="00F816B8"/>
    <w:rsid w:val="00F85B37"/>
    <w:rsid w:val="00F86C0C"/>
    <w:rsid w:val="00F90AAD"/>
    <w:rsid w:val="00F969D4"/>
    <w:rsid w:val="00FB10AE"/>
    <w:rsid w:val="00FC5FDD"/>
    <w:rsid w:val="00FD19DB"/>
    <w:rsid w:val="00FD4E9F"/>
    <w:rsid w:val="00FE3A8E"/>
    <w:rsid w:val="00FE3F74"/>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4SQX5P7U7WPY-958212181-818389</_dlc_DocId>
    <_dlc_DocIdUrl xmlns="c890fddd-4e87-4e08-8b51-545f2a3f7b06">
      <Url>https://senpr.sharepoint.com/sites/obralegislativa/_layouts/15/DocIdRedir.aspx?ID=4SQX5P7U7WPY-958212181-818389</Url>
      <Description>4SQX5P7U7WPY-958212181-818389</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DF1AEEE-D04D-4DC3-89BC-628A09FC08F8}"/>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29B12A36-18BF-4783-AC94-0004E90A947E}"/>
</file>

<file path=docProps/app.xml><?xml version="1.0" encoding="utf-8"?>
<Properties xmlns="http://schemas.openxmlformats.org/officeDocument/2006/extended-properties" xmlns:vt="http://schemas.openxmlformats.org/officeDocument/2006/docPropsVTypes">
  <Template>Medida-V2009</Template>
  <TotalTime>3</TotalTime>
  <Pages>4</Pages>
  <Words>982</Words>
  <Characters>5318</Characters>
  <Application>Microsoft Office Word</Application>
  <DocSecurity>0</DocSecurity>
  <Lines>44</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Jessica M. Caraballo Rivera (Trámites y Récords)</cp:lastModifiedBy>
  <cp:revision>2</cp:revision>
  <cp:lastPrinted>2025-03-06T13:07:00Z</cp:lastPrinted>
  <dcterms:created xsi:type="dcterms:W3CDTF">2025-09-09T21:05:00Z</dcterms:created>
  <dcterms:modified xsi:type="dcterms:W3CDTF">2025-09-09T21:05:00Z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c06d5e3d-1a24-4836-89b3-ac26fa181dbd</vt:lpwstr>
  </property>
  <property fmtid="{D5CDD505-2E9C-101B-9397-08002B2CF9AE}" pid="4" name="MediaServiceImageTags">
    <vt:lpwstr/>
  </property>
</Properties>
</file>