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0D874FE0"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120444">
        <w:rPr>
          <w:rFonts w:ascii="Book Antiqua" w:hAnsi="Book Antiqua"/>
          <w:b/>
          <w:sz w:val="52"/>
          <w:szCs w:val="52"/>
          <w:lang w:val="es-ES_tradnl"/>
        </w:rPr>
        <w:t>1</w:t>
      </w:r>
      <w:r w:rsidR="003E2B6B">
        <w:rPr>
          <w:rFonts w:ascii="Book Antiqua" w:hAnsi="Book Antiqua"/>
          <w:b/>
          <w:sz w:val="52"/>
          <w:szCs w:val="52"/>
          <w:lang w:val="es-ES_tradnl"/>
        </w:rPr>
        <w:t>89</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35872FDD" w:rsidR="000F6729" w:rsidRPr="007E538D" w:rsidRDefault="004C301F" w:rsidP="007E538D">
      <w:pPr>
        <w:spacing w:line="360" w:lineRule="auto"/>
        <w:jc w:val="center"/>
        <w:rPr>
          <w:rFonts w:ascii="Book Antiqua" w:hAnsi="Book Antiqua"/>
          <w:i/>
          <w:szCs w:val="24"/>
          <w:lang w:val="es-419"/>
        </w:rPr>
      </w:pPr>
      <w:r>
        <w:rPr>
          <w:rFonts w:ascii="Book Antiqua" w:hAnsi="Book Antiqua"/>
          <w:lang w:val="es-ES_tradnl"/>
        </w:rPr>
        <w:t>13</w:t>
      </w:r>
      <w:r w:rsidR="00DE2902">
        <w:rPr>
          <w:rFonts w:ascii="Book Antiqua" w:hAnsi="Book Antiqua"/>
          <w:lang w:val="es-ES_tradnl"/>
        </w:rPr>
        <w:t xml:space="preserve"> de </w:t>
      </w:r>
      <w:r w:rsidR="00550476">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79DDBC09"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307B20">
        <w:rPr>
          <w:rFonts w:ascii="Book Antiqua" w:hAnsi="Book Antiqua"/>
          <w:bCs/>
          <w:szCs w:val="24"/>
          <w:lang w:val="es-ES_tradnl"/>
        </w:rPr>
        <w:t>1</w:t>
      </w:r>
      <w:r w:rsidR="003E2B6B">
        <w:rPr>
          <w:rFonts w:ascii="Book Antiqua" w:hAnsi="Book Antiqua"/>
          <w:bCs/>
          <w:szCs w:val="24"/>
          <w:lang w:val="es-ES_tradnl"/>
        </w:rPr>
        <w:t>89</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B56ED74" w14:textId="3C6E7F61" w:rsidR="00B31419" w:rsidRPr="00120444" w:rsidRDefault="006A6960" w:rsidP="00B31419">
      <w:pPr>
        <w:ind w:firstLine="540"/>
        <w:jc w:val="both"/>
        <w:rPr>
          <w:rFonts w:ascii="Book Antiqua" w:eastAsia="Book Antiqua" w:hAnsi="Book Antiqua" w:cs="Book Antiqua"/>
          <w:color w:val="000000"/>
          <w:lang w:val="es-PR"/>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120444">
        <w:rPr>
          <w:rFonts w:ascii="Book Antiqua" w:hAnsi="Book Antiqua"/>
          <w:bCs/>
          <w:szCs w:val="24"/>
          <w:lang w:val="es-ES_tradnl"/>
        </w:rPr>
        <w:t>1</w:t>
      </w:r>
      <w:r w:rsidR="003E2B6B">
        <w:rPr>
          <w:rFonts w:ascii="Book Antiqua" w:hAnsi="Book Antiqua"/>
          <w:bCs/>
          <w:szCs w:val="24"/>
          <w:lang w:val="es-ES_tradnl"/>
        </w:rPr>
        <w:t>89</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3E2B6B" w:rsidRPr="003E2B6B">
        <w:rPr>
          <w:rFonts w:ascii="Book Antiqua" w:hAnsi="Book Antiqua"/>
          <w:bCs/>
          <w:szCs w:val="24"/>
          <w:lang w:val="es-PR"/>
        </w:rPr>
        <w:t xml:space="preserve">enmendar el Artículo 2.04, y añadir un nuevo Artículo 8.02, en la Ley 85-2018, según enmendada, conocida como “Ley de Reforma Educativa de Puerto Rico”, a los fines de disponer para que se incluyan en el currículo de enseñanza del sistema público, módulos orientados hacia cómo establecer huertos escolares en aquellos planteles que cuenten o formen parte del Programa de Educación Agrícola y, además, cuenten con las facilidades o los terrenos aptos para ello, de conformidad con las normas aplicables; proveer para que el Secretario del Departamento de Educación establezca, mediante reglamento, la planificación y estrategias sobre la adquisición, uso y manejo de terrenos para la enseñanza agrícola, y autorizarle a suscribir acuerdos colaborativos con otros jefes de agencias e instrumentalidades públicas que sean tenedoras de fincas, terrenos o remanentes de estos, aledaños a escuelas que cuenten con programas de educación agrícola, para que se puedan destinar para la enseñanza de dicha materia; derogar la Ley Núm. 19 de 30 de marzo de 1944, según enmendada, la Ley 233-2018, y la Res. </w:t>
      </w:r>
      <w:proofErr w:type="spellStart"/>
      <w:r w:rsidR="003E2B6B" w:rsidRPr="003E2B6B">
        <w:rPr>
          <w:rFonts w:ascii="Book Antiqua" w:hAnsi="Book Antiqua"/>
          <w:bCs/>
          <w:szCs w:val="24"/>
          <w:lang w:val="es-PR"/>
        </w:rPr>
        <w:t>Conj</w:t>
      </w:r>
      <w:proofErr w:type="spellEnd"/>
      <w:r w:rsidR="003E2B6B" w:rsidRPr="003E2B6B">
        <w:rPr>
          <w:rFonts w:ascii="Book Antiqua" w:hAnsi="Book Antiqua"/>
          <w:bCs/>
          <w:szCs w:val="24"/>
          <w:lang w:val="es-PR"/>
        </w:rPr>
        <w:t>. 127-2012</w:t>
      </w:r>
      <w:r w:rsidR="003E2B6B">
        <w:rPr>
          <w:rFonts w:ascii="Book Antiqua" w:hAnsi="Book Antiqua"/>
          <w:bCs/>
          <w:szCs w:val="24"/>
          <w:lang w:val="es-PR"/>
        </w:rPr>
        <w:t>.</w:t>
      </w:r>
    </w:p>
    <w:p w14:paraId="6AF2CC7E" w14:textId="70E03F79" w:rsidR="00816D27" w:rsidRPr="00816D27" w:rsidRDefault="00816D27"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2D72027C" w14:textId="77777777" w:rsidR="00350909" w:rsidRPr="00350909" w:rsidRDefault="00350909" w:rsidP="005C2E80">
      <w:pPr>
        <w:pStyle w:val="Heading3"/>
        <w:tabs>
          <w:tab w:val="left" w:pos="-720"/>
        </w:tabs>
        <w:jc w:val="center"/>
        <w:rPr>
          <w:rFonts w:ascii="Book Antiqua" w:hAnsi="Book Antiqua"/>
          <w:bCs w:val="0"/>
          <w:sz w:val="16"/>
          <w:szCs w:val="16"/>
          <w:lang w:val="es-US"/>
        </w:rPr>
      </w:pPr>
    </w:p>
    <w:p w14:paraId="1A9F8796" w14:textId="67A4843D"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12BEEDDD" w14:textId="3D7DF1BB" w:rsidR="00783D2E" w:rsidRPr="00783D2E" w:rsidRDefault="006C5F9B" w:rsidP="00350909">
      <w:pPr>
        <w:jc w:val="both"/>
        <w:rPr>
          <w:rFonts w:ascii="Book Antiqua" w:hAnsi="Book Antiqua"/>
          <w:iCs/>
          <w:spacing w:val="-3"/>
          <w:lang w:val="es-PR"/>
        </w:rPr>
      </w:pPr>
      <w:r w:rsidRPr="00B31419">
        <w:rPr>
          <w:rFonts w:ascii="Book Antiqua" w:hAnsi="Book Antiqua"/>
          <w:iCs/>
          <w:spacing w:val="-3"/>
          <w:szCs w:val="24"/>
          <w:lang w:val="es-ES_tradnl"/>
        </w:rPr>
        <w:tab/>
      </w:r>
      <w:r w:rsidR="00CA4466">
        <w:rPr>
          <w:rFonts w:ascii="Book Antiqua" w:hAnsi="Book Antiqua"/>
          <w:iCs/>
          <w:spacing w:val="-3"/>
          <w:szCs w:val="24"/>
          <w:lang w:val="es-PR"/>
        </w:rPr>
        <w:t xml:space="preserve">El </w:t>
      </w:r>
      <w:r w:rsidR="00CA4466" w:rsidRPr="00CA4466">
        <w:rPr>
          <w:rFonts w:ascii="Book Antiqua" w:hAnsi="Book Antiqua"/>
          <w:iCs/>
          <w:spacing w:val="-3"/>
          <w:szCs w:val="24"/>
          <w:lang w:val="es-PR"/>
        </w:rPr>
        <w:t xml:space="preserve">Proyecto del Senado </w:t>
      </w:r>
      <w:r w:rsidR="003E2B6B">
        <w:rPr>
          <w:rFonts w:ascii="Book Antiqua" w:hAnsi="Book Antiqua"/>
          <w:iCs/>
          <w:spacing w:val="-3"/>
          <w:szCs w:val="24"/>
          <w:lang w:val="es-PR"/>
        </w:rPr>
        <w:t>189</w:t>
      </w:r>
      <w:r w:rsidR="00783D2E">
        <w:rPr>
          <w:rFonts w:ascii="Book Antiqua" w:hAnsi="Book Antiqua"/>
          <w:iCs/>
          <w:spacing w:val="-3"/>
          <w:szCs w:val="24"/>
          <w:lang w:val="es-PR"/>
        </w:rPr>
        <w:t xml:space="preserve"> es de gran importancia </w:t>
      </w:r>
      <w:r w:rsidR="00783D2E" w:rsidRPr="00783D2E">
        <w:rPr>
          <w:rFonts w:ascii="Book Antiqua" w:hAnsi="Book Antiqua"/>
          <w:iCs/>
          <w:spacing w:val="-3"/>
          <w:lang w:val="es-PR"/>
        </w:rPr>
        <w:t>para fortalecer la enseñanza agrícola en el sistema educativo público de Puerto Rico. Esta medida busca integrar de forma estructurada módulos sobre el establecimiento de huertos escolares en aquellos planteles que ya forman parte del Programa de Educación Agrícola y cuenten con terrenos o facilidades aptas para ello. En un momento en el que la seguridad alimentaria, la sustentabilidad y la autosuficiencia se posicionan como prioridades globales y locales, es indispensable que nuestras escuelas no solo transmitan conocimientos teóricos, sino que provean espacios prácticos donde los estudiantes puedan adquirir destrezas aplicadas en agricultura. La educación agrícola debe trascender el salón de clases para convertirse en una experiencia formativa vivencial que conecte a los jóvenes con la tierra, la ciencia y el emprendimiento.</w:t>
      </w:r>
    </w:p>
    <w:p w14:paraId="5C657B46" w14:textId="77777777" w:rsidR="00400A84" w:rsidRDefault="00400A84" w:rsidP="00783D2E">
      <w:pPr>
        <w:ind w:firstLine="720"/>
        <w:jc w:val="both"/>
        <w:rPr>
          <w:rFonts w:ascii="Book Antiqua" w:hAnsi="Book Antiqua"/>
          <w:iCs/>
          <w:spacing w:val="-3"/>
          <w:szCs w:val="24"/>
          <w:lang w:val="es-PR"/>
        </w:rPr>
      </w:pPr>
    </w:p>
    <w:p w14:paraId="41B7FB05" w14:textId="094AA771" w:rsidR="00783D2E" w:rsidRPr="00783D2E" w:rsidRDefault="00783D2E" w:rsidP="00783D2E">
      <w:pPr>
        <w:ind w:firstLine="720"/>
        <w:jc w:val="both"/>
        <w:rPr>
          <w:rFonts w:ascii="Book Antiqua" w:hAnsi="Book Antiqua"/>
          <w:iCs/>
          <w:spacing w:val="-3"/>
          <w:szCs w:val="24"/>
          <w:lang w:val="es-PR"/>
        </w:rPr>
      </w:pPr>
      <w:r w:rsidRPr="00783D2E">
        <w:rPr>
          <w:rFonts w:ascii="Book Antiqua" w:hAnsi="Book Antiqua"/>
          <w:iCs/>
          <w:spacing w:val="-3"/>
          <w:szCs w:val="24"/>
          <w:lang w:val="es-PR"/>
        </w:rPr>
        <w:t>Esta medida también responde a una necesidad: preservar y utilizar adecuadamente los terrenos escolares que históricamente han sido dedicados a la práctica agrícola. Muchos de estos espacios han sido redestinados a otros usos, disminuyendo las oportunidades de aprendizaje práctico para nuestros estudiantes. La propuesta legislativa no solo recupera esta función pedagógica, sino que promueve una política pública coherente al establecer mecanismos reglamentarios y acuerdos colaborativos entre agencias gubernamentales para asegurar el acceso a predios agrícolas aledaños a las escuelas. Al consolidar este marco normativo dentro de la Ley de Reforma Educativa de Puerto Rico, se garantiza mayor uniformidad, eficiencia administrativa y claridad legal en la gestión de estos recursos.</w:t>
      </w:r>
    </w:p>
    <w:p w14:paraId="2ACF3F00" w14:textId="77777777" w:rsidR="00400A84" w:rsidRDefault="00400A84" w:rsidP="00783D2E">
      <w:pPr>
        <w:ind w:firstLine="720"/>
        <w:jc w:val="both"/>
        <w:rPr>
          <w:rFonts w:ascii="Book Antiqua" w:hAnsi="Book Antiqua"/>
          <w:iCs/>
          <w:spacing w:val="-3"/>
          <w:szCs w:val="24"/>
          <w:lang w:val="es-PR"/>
        </w:rPr>
      </w:pPr>
    </w:p>
    <w:p w14:paraId="4A25D073" w14:textId="6A0A6D66" w:rsidR="00783D2E" w:rsidRPr="00783D2E" w:rsidRDefault="00783D2E" w:rsidP="00783D2E">
      <w:pPr>
        <w:ind w:firstLine="720"/>
        <w:jc w:val="both"/>
        <w:rPr>
          <w:rFonts w:ascii="Book Antiqua" w:hAnsi="Book Antiqua"/>
          <w:iCs/>
          <w:spacing w:val="-3"/>
          <w:szCs w:val="24"/>
          <w:lang w:val="es-PR"/>
        </w:rPr>
      </w:pPr>
      <w:r w:rsidRPr="00783D2E">
        <w:rPr>
          <w:rFonts w:ascii="Book Antiqua" w:hAnsi="Book Antiqua"/>
          <w:iCs/>
          <w:spacing w:val="-3"/>
          <w:szCs w:val="24"/>
          <w:lang w:val="es-PR"/>
        </w:rPr>
        <w:t>Además, la implementación de huertos escolares tiene un efecto multiplicador en el desarrollo integral del estudiantado. No solo les brinda herramientas técnicas para insertarse en la industria agrícola, sino que fomenta valores de responsabilidad, trabajo en equipo</w:t>
      </w:r>
      <w:r w:rsidR="00343933">
        <w:rPr>
          <w:rFonts w:ascii="Book Antiqua" w:hAnsi="Book Antiqua"/>
          <w:iCs/>
          <w:spacing w:val="-3"/>
          <w:szCs w:val="24"/>
          <w:lang w:val="es-PR"/>
        </w:rPr>
        <w:t xml:space="preserve"> y</w:t>
      </w:r>
      <w:r w:rsidRPr="00783D2E">
        <w:rPr>
          <w:rFonts w:ascii="Book Antiqua" w:hAnsi="Book Antiqua"/>
          <w:iCs/>
          <w:spacing w:val="-3"/>
          <w:szCs w:val="24"/>
          <w:lang w:val="es-PR"/>
        </w:rPr>
        <w:t xml:space="preserve"> cuidado ambiental</w:t>
      </w:r>
      <w:r w:rsidR="00343933">
        <w:rPr>
          <w:rFonts w:ascii="Book Antiqua" w:hAnsi="Book Antiqua"/>
          <w:iCs/>
          <w:spacing w:val="-3"/>
          <w:szCs w:val="24"/>
          <w:lang w:val="es-PR"/>
        </w:rPr>
        <w:t xml:space="preserve">, entre otros. </w:t>
      </w:r>
      <w:r w:rsidRPr="00783D2E">
        <w:rPr>
          <w:rFonts w:ascii="Book Antiqua" w:hAnsi="Book Antiqua"/>
          <w:iCs/>
          <w:spacing w:val="-3"/>
          <w:szCs w:val="24"/>
          <w:lang w:val="es-PR"/>
        </w:rPr>
        <w:t>Asimismo, estos espacios pueden ser aprovechados interdisciplinariamente por otras materias, como ciencias, nutrición y estudios sociales. Al incorporar esta iniciativa en el currículo oficial y asegurar los recursos necesarios para su sostenibilidad, se consolida una política educativa alineada con las necesidades del país y con el interés colectivo de garantizar una educación pública pertinente, práctica y visionaria. Aprobar esta medida es, por tanto, una inversión estratégica en el futuro agrícola, económico y educativo de Puerto Rico.</w:t>
      </w:r>
    </w:p>
    <w:p w14:paraId="39A69858" w14:textId="27BA9941" w:rsidR="00CA4466" w:rsidRPr="00CA4466" w:rsidRDefault="00CA4466" w:rsidP="003E2B6B">
      <w:pPr>
        <w:ind w:firstLine="720"/>
        <w:jc w:val="both"/>
        <w:rPr>
          <w:rFonts w:ascii="Book Antiqua" w:hAnsi="Book Antiqua"/>
          <w:iCs/>
          <w:spacing w:val="-3"/>
          <w:szCs w:val="24"/>
          <w:lang w:val="es-PR"/>
        </w:rPr>
      </w:pPr>
    </w:p>
    <w:p w14:paraId="63A641D5" w14:textId="77777777" w:rsidR="00080CAF" w:rsidRPr="00CA4466" w:rsidRDefault="00080CAF" w:rsidP="00080CAF">
      <w:pPr>
        <w:jc w:val="both"/>
        <w:rPr>
          <w:rFonts w:ascii="Book Antiqua" w:hAnsi="Book Antiqua"/>
          <w:iCs/>
          <w:spacing w:val="-3"/>
          <w:szCs w:val="24"/>
          <w:lang w:val="es-PR"/>
        </w:rPr>
      </w:pPr>
    </w:p>
    <w:p w14:paraId="52037E3D" w14:textId="0EFCEEB6" w:rsidR="00391980" w:rsidRDefault="00A00629" w:rsidP="00391980">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0872BF01" w14:textId="3894A584" w:rsidR="0004421B" w:rsidRDefault="00403016" w:rsidP="0092109A">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 xml:space="preserve">P. del S. </w:t>
      </w:r>
      <w:r w:rsidR="00120444">
        <w:rPr>
          <w:rFonts w:ascii="Book Antiqua" w:hAnsi="Book Antiqua"/>
          <w:szCs w:val="24"/>
          <w:lang w:val="es-ES"/>
        </w:rPr>
        <w:t>1</w:t>
      </w:r>
      <w:r w:rsidR="003E2B6B">
        <w:rPr>
          <w:rFonts w:ascii="Book Antiqua" w:hAnsi="Book Antiqua"/>
          <w:szCs w:val="24"/>
          <w:lang w:val="es-ES"/>
        </w:rPr>
        <w:t>89</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sidR="004E5427">
        <w:rPr>
          <w:rFonts w:ascii="Book Antiqua" w:hAnsi="Book Antiqua"/>
          <w:szCs w:val="24"/>
          <w:lang w:val="es-ES"/>
        </w:rPr>
        <w:t>a</w:t>
      </w:r>
      <w:r w:rsidR="00120444">
        <w:rPr>
          <w:rFonts w:ascii="Book Antiqua" w:hAnsi="Book Antiqua"/>
          <w:szCs w:val="24"/>
          <w:lang w:val="es-ES"/>
        </w:rPr>
        <w:t>l Departamento de Educación de Puerto Rico</w:t>
      </w:r>
      <w:r w:rsidR="00CA4466">
        <w:rPr>
          <w:rFonts w:ascii="Book Antiqua" w:hAnsi="Book Antiqua"/>
          <w:szCs w:val="24"/>
          <w:lang w:val="es-ES"/>
        </w:rPr>
        <w:t>; Departamento</w:t>
      </w:r>
      <w:r w:rsidR="003E2B6B">
        <w:rPr>
          <w:rFonts w:ascii="Book Antiqua" w:hAnsi="Book Antiqua"/>
          <w:szCs w:val="24"/>
          <w:lang w:val="es-ES"/>
        </w:rPr>
        <w:t xml:space="preserve"> de Agricultura y </w:t>
      </w:r>
      <w:r w:rsidR="0092109A">
        <w:rPr>
          <w:rFonts w:ascii="Book Antiqua" w:hAnsi="Book Antiqua"/>
          <w:szCs w:val="24"/>
          <w:lang w:val="es-ES"/>
        </w:rPr>
        <w:t xml:space="preserve">al </w:t>
      </w:r>
      <w:r w:rsidR="003E2B6B">
        <w:rPr>
          <w:rFonts w:ascii="Book Antiqua" w:hAnsi="Book Antiqua"/>
          <w:szCs w:val="24"/>
          <w:lang w:val="es-ES"/>
        </w:rPr>
        <w:t>Servicio de Extensión Agrícola</w:t>
      </w:r>
      <w:r w:rsidR="0092109A">
        <w:rPr>
          <w:rFonts w:ascii="Book Antiqua" w:hAnsi="Book Antiqua"/>
          <w:szCs w:val="24"/>
          <w:lang w:val="es-ES"/>
        </w:rPr>
        <w:t xml:space="preserve"> (UPR)</w:t>
      </w:r>
      <w:r w:rsidR="00CA4466">
        <w:rPr>
          <w:rFonts w:ascii="Book Antiqua" w:hAnsi="Book Antiqua"/>
          <w:szCs w:val="24"/>
          <w:lang w:val="es-ES"/>
        </w:rPr>
        <w:t xml:space="preserve">.  </w:t>
      </w:r>
      <w:r w:rsidR="009B5C77">
        <w:rPr>
          <w:rFonts w:ascii="Book Antiqua" w:hAnsi="Book Antiqua"/>
          <w:szCs w:val="24"/>
          <w:lang w:val="es-ES"/>
        </w:rPr>
        <w:tab/>
      </w:r>
    </w:p>
    <w:p w14:paraId="4D8CA889" w14:textId="77777777" w:rsidR="000C48FC" w:rsidRDefault="000C48FC" w:rsidP="000C48FC">
      <w:pPr>
        <w:tabs>
          <w:tab w:val="left" w:pos="1440"/>
        </w:tabs>
        <w:jc w:val="center"/>
        <w:rPr>
          <w:rFonts w:ascii="Book Antiqua" w:hAnsi="Book Antiqua"/>
          <w:szCs w:val="24"/>
          <w:lang w:val="es-ES"/>
        </w:rPr>
      </w:pPr>
    </w:p>
    <w:p w14:paraId="054BEE33" w14:textId="4E2D3AA1" w:rsidR="00120444" w:rsidRPr="00CA4466" w:rsidRDefault="00120444" w:rsidP="000C48F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59606B">
      <w:pPr>
        <w:jc w:val="both"/>
        <w:rPr>
          <w:rFonts w:ascii="Book Antiqua" w:hAnsi="Book Antiqua"/>
          <w:szCs w:val="24"/>
          <w:lang w:val="es-PR"/>
        </w:rPr>
      </w:pPr>
    </w:p>
    <w:p w14:paraId="7690252D" w14:textId="4100E533" w:rsidR="005D3C27" w:rsidRPr="005D3C27" w:rsidRDefault="00CA4466" w:rsidP="005D3C27">
      <w:pPr>
        <w:ind w:firstLine="720"/>
        <w:jc w:val="both"/>
        <w:rPr>
          <w:rFonts w:ascii="Book Antiqua" w:hAnsi="Book Antiqua"/>
          <w:lang w:val="es-PR"/>
        </w:rPr>
      </w:pPr>
      <w:r w:rsidRPr="00CA4466">
        <w:rPr>
          <w:rFonts w:ascii="Book Antiqua" w:hAnsi="Book Antiqua"/>
          <w:szCs w:val="24"/>
          <w:lang w:val="es-PR"/>
        </w:rPr>
        <w:t xml:space="preserve">El Departamento de Educación de Puerto Rico (DEPR) </w:t>
      </w:r>
      <w:r w:rsidR="005D3C27">
        <w:rPr>
          <w:rFonts w:ascii="Book Antiqua" w:hAnsi="Book Antiqua"/>
          <w:lang w:val="es-PR"/>
        </w:rPr>
        <w:t xml:space="preserve">en </w:t>
      </w:r>
      <w:r w:rsidR="005D3C27" w:rsidRPr="005D3C27">
        <w:rPr>
          <w:rFonts w:ascii="Book Antiqua" w:hAnsi="Book Antiqua"/>
          <w:lang w:val="es-PR"/>
        </w:rPr>
        <w:t xml:space="preserve">su análisis, destaca la larga y sólida trayectoria de la educación agrícola en Puerto Rico, que data </w:t>
      </w:r>
      <w:proofErr w:type="gramStart"/>
      <w:r w:rsidR="005D3C27" w:rsidRPr="005D3C27">
        <w:rPr>
          <w:rFonts w:ascii="Book Antiqua" w:hAnsi="Book Antiqua"/>
          <w:lang w:val="es-PR"/>
        </w:rPr>
        <w:t>desde</w:t>
      </w:r>
      <w:proofErr w:type="gramEnd"/>
      <w:r w:rsidR="005D3C27" w:rsidRPr="005D3C27">
        <w:rPr>
          <w:rFonts w:ascii="Book Antiqua" w:hAnsi="Book Antiqua"/>
          <w:lang w:val="es-PR"/>
        </w:rPr>
        <w:t xml:space="preserve"> 1932 con la extensión de la Ley Smith-Hughes. Actualmente, el Programa de Educación Agrícola está adscrito a la Secretaría Auxiliar de Educación Ocupacional y Técnica del DEPR, ofreciendo 150 cursos distribuidos en 130 escuelas, impactando anualmente a cerca de 8,000 estudiantes. El programa se apoya en tres pilares: la enseñanza en el salón y en fincas escolares, el Programa de Experiencias Agrícolas Supervisadas (PEAS) y la Organización Nacional FFA (Futuros Agricultores de América). Estos componentes se fortalecen a través de estrategias como la capacitación profesional docente, el mercadeo del programa y alianzas multisectoriales.</w:t>
      </w:r>
    </w:p>
    <w:p w14:paraId="091F852C" w14:textId="77777777" w:rsidR="005D3C27" w:rsidRDefault="005D3C27" w:rsidP="005D3C27">
      <w:pPr>
        <w:ind w:firstLine="720"/>
        <w:jc w:val="both"/>
        <w:rPr>
          <w:rFonts w:ascii="Book Antiqua" w:hAnsi="Book Antiqua"/>
          <w:szCs w:val="24"/>
          <w:lang w:val="es-PR"/>
        </w:rPr>
      </w:pPr>
    </w:p>
    <w:p w14:paraId="12EF2237" w14:textId="5A65A95F" w:rsidR="005D3C27" w:rsidRPr="005D3C27" w:rsidRDefault="005D3C27" w:rsidP="005D3C27">
      <w:pPr>
        <w:ind w:firstLine="720"/>
        <w:jc w:val="both"/>
        <w:rPr>
          <w:rFonts w:ascii="Book Antiqua" w:hAnsi="Book Antiqua"/>
          <w:szCs w:val="24"/>
          <w:lang w:val="es-PR"/>
        </w:rPr>
      </w:pPr>
      <w:r w:rsidRPr="005D3C27">
        <w:rPr>
          <w:rFonts w:ascii="Book Antiqua" w:hAnsi="Book Antiqua"/>
          <w:szCs w:val="24"/>
          <w:lang w:val="es-PR"/>
        </w:rPr>
        <w:t>El DEPR señala que ya se ofrecen cursos y temas relacionados con huertos escolares, caseros, urbanos y comunitarios dentro del currículo vigente, tanto a nivel primario como secundario. En el nivel primario se incluyen cursos como Exploración Agrícola, STEM-Agrícola y Civismo en la Agricultura; mientras que en el nivel secundario se enseñan Horticultura, Biotecnología, Elaboración de Productos Agrícolas, Productos Lácteos, Operación y Mantenimiento de Equipo Pesado y Salud Animal, entre otros, todos conducentes a certificaciones. En ese contexto, el Departamento indica que no considera necesaria la creación de nuevos módulos sobre huertos, ya que estos temas están abarcados de forma adecuada y actualizada en el currículo actual.</w:t>
      </w:r>
    </w:p>
    <w:p w14:paraId="57FC3AEA" w14:textId="19FC5A29" w:rsidR="005D3C27" w:rsidRPr="005D3C27" w:rsidRDefault="00B90E3F" w:rsidP="00535EE7">
      <w:pPr>
        <w:ind w:firstLine="720"/>
        <w:jc w:val="both"/>
        <w:rPr>
          <w:rFonts w:ascii="Book Antiqua" w:hAnsi="Book Antiqua"/>
          <w:szCs w:val="24"/>
          <w:lang w:val="es-PR"/>
        </w:rPr>
      </w:pPr>
      <w:r>
        <w:rPr>
          <w:rFonts w:ascii="Book Antiqua" w:hAnsi="Book Antiqua"/>
          <w:szCs w:val="24"/>
          <w:lang w:val="es-PR"/>
        </w:rPr>
        <w:t xml:space="preserve"> </w:t>
      </w:r>
      <w:r w:rsidR="008B7131">
        <w:rPr>
          <w:rFonts w:ascii="Book Antiqua" w:hAnsi="Book Antiqua"/>
          <w:szCs w:val="24"/>
          <w:lang w:val="es-PR"/>
        </w:rPr>
        <w:t xml:space="preserve">                                                                                                                                                                                                                                                                                                                                                                                                                                                                                                                                                                                                                                                                                                                                                                                                                                                                                                                                                                                                                                                                                                                                                                 </w:t>
      </w:r>
      <w:r w:rsidR="00783D2E">
        <w:rPr>
          <w:rFonts w:ascii="Book Antiqua" w:hAnsi="Book Antiqua"/>
          <w:szCs w:val="24"/>
          <w:lang w:val="es-PR"/>
        </w:rPr>
        <w:tab/>
      </w:r>
      <w:r w:rsidR="005D3C27" w:rsidRPr="005D3C27">
        <w:rPr>
          <w:rFonts w:ascii="Book Antiqua" w:hAnsi="Book Antiqua"/>
          <w:szCs w:val="24"/>
          <w:lang w:val="es-PR"/>
        </w:rPr>
        <w:t xml:space="preserve">Sin embargo, el Departamento de Educación sí acoge favorablemente la parte de la medida que propone establecer mediante reglamento la planificación y estrategias para el uso de terrenos con fines educativos agrícolas, y que se autorice al </w:t>
      </w:r>
      <w:proofErr w:type="gramStart"/>
      <w:r w:rsidR="005D3C27" w:rsidRPr="005D3C27">
        <w:rPr>
          <w:rFonts w:ascii="Book Antiqua" w:hAnsi="Book Antiqua"/>
          <w:szCs w:val="24"/>
          <w:lang w:val="es-PR"/>
        </w:rPr>
        <w:t>Secretario</w:t>
      </w:r>
      <w:proofErr w:type="gramEnd"/>
      <w:r w:rsidR="005D3C27" w:rsidRPr="005D3C27">
        <w:rPr>
          <w:rFonts w:ascii="Book Antiqua" w:hAnsi="Book Antiqua"/>
          <w:szCs w:val="24"/>
          <w:lang w:val="es-PR"/>
        </w:rPr>
        <w:t xml:space="preserve"> de Educación a suscribir acuerdos colaborativos con otras agencias tenedoras de terrenos aledaños a escuelas con programas agrícolas, con el fin de destinarlos a la enseñanza de esta materia. Esta disposición es vista como una herramienta positiva para fortalecer la educación agrícola y ampliar las oportunidades de aprendizaje práctico.</w:t>
      </w:r>
      <w:r w:rsidR="00535EE7">
        <w:rPr>
          <w:rFonts w:ascii="Book Antiqua" w:hAnsi="Book Antiqua"/>
          <w:szCs w:val="24"/>
          <w:lang w:val="es-PR"/>
        </w:rPr>
        <w:t xml:space="preserve"> </w:t>
      </w:r>
      <w:r w:rsidR="005D3C27" w:rsidRPr="005D3C27">
        <w:rPr>
          <w:rFonts w:ascii="Book Antiqua" w:hAnsi="Book Antiqua"/>
          <w:szCs w:val="24"/>
          <w:lang w:val="es-PR"/>
        </w:rPr>
        <w:t>Con ello, el Departamento reafirma su compromiso con una formación agrícola integral y contextualizada, y queda en la mejor disposición de continuar colaborando con los procesos legislativos en favor de la educación pública del país.</w:t>
      </w:r>
    </w:p>
    <w:p w14:paraId="00B7EBA3" w14:textId="026CF728" w:rsidR="00CA4466" w:rsidRPr="00CA4466" w:rsidRDefault="00CA4466" w:rsidP="0092109A">
      <w:pPr>
        <w:ind w:firstLine="720"/>
        <w:jc w:val="both"/>
        <w:rPr>
          <w:rFonts w:ascii="Book Antiqua" w:hAnsi="Book Antiqua"/>
          <w:szCs w:val="24"/>
          <w:lang w:val="es-PR"/>
        </w:rPr>
      </w:pPr>
      <w:r w:rsidRPr="00CA4466">
        <w:rPr>
          <w:rFonts w:ascii="Book Antiqua" w:hAnsi="Book Antiqua"/>
          <w:szCs w:val="24"/>
          <w:lang w:val="es-PR"/>
        </w:rPr>
        <w:t xml:space="preserve"> </w:t>
      </w:r>
    </w:p>
    <w:p w14:paraId="6A1FB018" w14:textId="77777777" w:rsidR="00120444" w:rsidRDefault="00120444" w:rsidP="0059606B">
      <w:pPr>
        <w:jc w:val="both"/>
        <w:rPr>
          <w:rFonts w:ascii="Book Antiqua" w:hAnsi="Book Antiqua"/>
          <w:szCs w:val="24"/>
          <w:lang w:val="es-ES_tradnl"/>
        </w:rPr>
      </w:pPr>
    </w:p>
    <w:p w14:paraId="6123D75C" w14:textId="77777777" w:rsidR="00350909" w:rsidRDefault="00350909" w:rsidP="00783D2E">
      <w:pPr>
        <w:jc w:val="center"/>
        <w:rPr>
          <w:rFonts w:ascii="Book Antiqua" w:hAnsi="Book Antiqua"/>
          <w:b/>
          <w:bCs/>
          <w:szCs w:val="24"/>
          <w:u w:val="single"/>
          <w:lang w:val="es-PR"/>
        </w:rPr>
      </w:pPr>
    </w:p>
    <w:p w14:paraId="309A5646" w14:textId="35DDEE98" w:rsidR="00783D2E" w:rsidRDefault="0092109A" w:rsidP="00783D2E">
      <w:pPr>
        <w:jc w:val="center"/>
        <w:rPr>
          <w:rFonts w:ascii="Book Antiqua" w:hAnsi="Book Antiqua"/>
          <w:b/>
          <w:bCs/>
          <w:szCs w:val="24"/>
          <w:u w:val="single"/>
          <w:lang w:val="es-PR"/>
        </w:rPr>
      </w:pPr>
      <w:r>
        <w:rPr>
          <w:rFonts w:ascii="Book Antiqua" w:hAnsi="Book Antiqua"/>
          <w:b/>
          <w:bCs/>
          <w:szCs w:val="24"/>
          <w:u w:val="single"/>
          <w:lang w:val="es-PR"/>
        </w:rPr>
        <w:t>DEPARTAMENTO DE AGRICULTURA</w:t>
      </w:r>
    </w:p>
    <w:p w14:paraId="2A44B67D" w14:textId="77777777" w:rsidR="00783D2E" w:rsidRDefault="00783D2E" w:rsidP="00783D2E">
      <w:pPr>
        <w:jc w:val="center"/>
        <w:rPr>
          <w:rFonts w:ascii="Book Antiqua" w:hAnsi="Book Antiqua"/>
          <w:b/>
          <w:bCs/>
          <w:szCs w:val="24"/>
          <w:u w:val="single"/>
          <w:lang w:val="es-PR"/>
        </w:rPr>
      </w:pPr>
    </w:p>
    <w:p w14:paraId="400D1878" w14:textId="2BEC7B58" w:rsidR="0092109A" w:rsidRDefault="00783D2E" w:rsidP="00783D2E">
      <w:pPr>
        <w:ind w:firstLine="720"/>
        <w:jc w:val="both"/>
        <w:rPr>
          <w:rFonts w:ascii="Book Antiqua" w:hAnsi="Book Antiqua" w:cs="Arial"/>
          <w:szCs w:val="24"/>
          <w:lang w:val="es-ES_tradnl"/>
        </w:rPr>
      </w:pPr>
      <w:r>
        <w:rPr>
          <w:rFonts w:ascii="Book Antiqua" w:hAnsi="Book Antiqua" w:cs="Arial"/>
          <w:szCs w:val="24"/>
          <w:lang w:val="es-ES_tradnl"/>
        </w:rPr>
        <w:t>E</w:t>
      </w:r>
      <w:r w:rsidR="0092109A" w:rsidRPr="0092109A">
        <w:rPr>
          <w:rFonts w:ascii="Book Antiqua" w:hAnsi="Book Antiqua" w:cs="Arial"/>
          <w:szCs w:val="24"/>
          <w:lang w:val="es-ES_tradnl"/>
        </w:rPr>
        <w:t xml:space="preserve">l Departamento de Agricultura de Puerto Rico expresó su apoyo al Proyecto del Senado Núm. 189, que propone enmendar la Ley 85-2018 para incluir en el currículo del sistema público módulos dirigidos a establecer huertos escolares en escuelas con programas de educación agrícola y terrenos adecuados. También respalda la disposición </w:t>
      </w:r>
      <w:r w:rsidR="0092109A" w:rsidRPr="0092109A">
        <w:rPr>
          <w:rFonts w:ascii="Book Antiqua" w:hAnsi="Book Antiqua" w:cs="Arial"/>
          <w:szCs w:val="24"/>
          <w:lang w:val="es-ES_tradnl"/>
        </w:rPr>
        <w:lastRenderedPageBreak/>
        <w:t xml:space="preserve">que autoriza al </w:t>
      </w:r>
      <w:proofErr w:type="gramStart"/>
      <w:r w:rsidR="0092109A" w:rsidRPr="0092109A">
        <w:rPr>
          <w:rFonts w:ascii="Book Antiqua" w:hAnsi="Book Antiqua" w:cs="Arial"/>
          <w:szCs w:val="24"/>
          <w:lang w:val="es-ES_tradnl"/>
        </w:rPr>
        <w:t>Secretario</w:t>
      </w:r>
      <w:proofErr w:type="gramEnd"/>
      <w:r w:rsidR="0092109A" w:rsidRPr="0092109A">
        <w:rPr>
          <w:rFonts w:ascii="Book Antiqua" w:hAnsi="Book Antiqua" w:cs="Arial"/>
          <w:szCs w:val="24"/>
          <w:lang w:val="es-ES_tradnl"/>
        </w:rPr>
        <w:t xml:space="preserve"> del Departamento de Educación a reglamentar sobre el uso y manejo de terrenos agrícolas con fines educativos, así como a establecer acuerdos colaborativos con agencias que posean terrenos aledaños a los planteles.</w:t>
      </w:r>
    </w:p>
    <w:p w14:paraId="05A128DE" w14:textId="77777777" w:rsidR="00783D2E" w:rsidRDefault="00783D2E" w:rsidP="00783D2E">
      <w:pPr>
        <w:pStyle w:val="Heading2"/>
        <w:ind w:firstLine="720"/>
        <w:jc w:val="both"/>
        <w:rPr>
          <w:rFonts w:ascii="Book Antiqua" w:hAnsi="Book Antiqua" w:cs="Arial"/>
          <w:color w:val="auto"/>
          <w:sz w:val="24"/>
          <w:szCs w:val="24"/>
          <w:lang w:val="es-ES_tradnl"/>
        </w:rPr>
      </w:pPr>
    </w:p>
    <w:p w14:paraId="59B12425" w14:textId="4DF9DD07" w:rsidR="00783D2E" w:rsidRPr="0092109A" w:rsidRDefault="00783D2E" w:rsidP="00783D2E">
      <w:pPr>
        <w:pStyle w:val="Heading2"/>
        <w:ind w:firstLine="720"/>
        <w:jc w:val="both"/>
        <w:rPr>
          <w:rFonts w:ascii="Book Antiqua" w:hAnsi="Book Antiqua" w:cs="Arial"/>
          <w:b/>
          <w:bCs/>
          <w:color w:val="auto"/>
          <w:sz w:val="24"/>
          <w:szCs w:val="24"/>
          <w:lang w:val="es-ES_tradnl"/>
        </w:rPr>
      </w:pPr>
      <w:r>
        <w:rPr>
          <w:rFonts w:ascii="Book Antiqua" w:hAnsi="Book Antiqua" w:cs="Arial"/>
          <w:color w:val="auto"/>
          <w:sz w:val="24"/>
          <w:szCs w:val="24"/>
          <w:lang w:val="es-ES_tradnl"/>
        </w:rPr>
        <w:t>E</w:t>
      </w:r>
      <w:r w:rsidRPr="0092109A">
        <w:rPr>
          <w:rFonts w:ascii="Book Antiqua" w:hAnsi="Book Antiqua" w:cs="Arial"/>
          <w:color w:val="auto"/>
          <w:sz w:val="24"/>
          <w:szCs w:val="24"/>
          <w:lang w:val="es-ES_tradnl"/>
        </w:rPr>
        <w:t>n su memorial, el Departamento reconoció la relevancia de esta medida para fomentar la educación agrícola desde edades tempranas y contribuir a la formación de ciudadanos conscientes sobre la importancia de la producción de alimentos y la sostenibilidad ambiental. Subrayó que la agricultura no solo representa un sector económico vital para el país, sino que también es un componente estratégico en la lucha por la seguridad y soberanía alimentaria.</w:t>
      </w:r>
    </w:p>
    <w:p w14:paraId="5EB77C9A" w14:textId="77777777" w:rsidR="00783D2E" w:rsidRDefault="00783D2E" w:rsidP="00783D2E">
      <w:pPr>
        <w:ind w:firstLine="720"/>
        <w:jc w:val="both"/>
        <w:rPr>
          <w:rFonts w:ascii="Book Antiqua" w:hAnsi="Book Antiqua" w:cs="Arial"/>
          <w:szCs w:val="24"/>
          <w:lang w:val="es-ES_tradnl"/>
        </w:rPr>
      </w:pPr>
    </w:p>
    <w:p w14:paraId="3D81DA72" w14:textId="2E341224" w:rsidR="00783D2E" w:rsidRPr="0092109A" w:rsidRDefault="00783D2E" w:rsidP="00535EE7">
      <w:pPr>
        <w:ind w:firstLine="720"/>
        <w:jc w:val="both"/>
        <w:rPr>
          <w:rFonts w:ascii="Book Antiqua" w:hAnsi="Book Antiqua" w:cs="Arial"/>
          <w:b/>
          <w:bCs/>
          <w:szCs w:val="24"/>
          <w:lang w:val="es-ES_tradnl"/>
        </w:rPr>
      </w:pPr>
      <w:r w:rsidRPr="0092109A">
        <w:rPr>
          <w:rFonts w:ascii="Book Antiqua" w:hAnsi="Book Antiqua" w:cs="Arial"/>
          <w:szCs w:val="24"/>
          <w:lang w:val="es-ES_tradnl"/>
        </w:rPr>
        <w:t>El Departamento destacó que, para asegurar el éxito de los huertos escolares, no basta con asignar espacios físicos, sino que debe existir una planificación adecuada que contemple aspectos como el diseño del huerto, la preparación del terreno, el control de plagas, el manejo de residuos, el riego y el monitoreo continuo, incluyendo periodos de receso escolar. También se enfatizó la importancia de capacitar a los maestros y promover la integración de la comunidad escolar, las familias y las organizaciones agrícolas en el proceso</w:t>
      </w:r>
      <w:r w:rsidR="00535EE7">
        <w:rPr>
          <w:rFonts w:ascii="Book Antiqua" w:hAnsi="Book Antiqua" w:cs="Arial"/>
          <w:szCs w:val="24"/>
          <w:lang w:val="es-ES_tradnl"/>
        </w:rPr>
        <w:t xml:space="preserve">, y </w:t>
      </w:r>
      <w:r w:rsidRPr="0092109A">
        <w:rPr>
          <w:rFonts w:ascii="Book Antiqua" w:hAnsi="Book Antiqua" w:cs="Arial"/>
          <w:szCs w:val="24"/>
          <w:lang w:val="es-ES_tradnl"/>
        </w:rPr>
        <w:t>reiteró su disposición para colaborar técnica y estratégicamente con el Departamento de Educación en la ejecución de esta política pública.</w:t>
      </w:r>
    </w:p>
    <w:p w14:paraId="1FEF61A6" w14:textId="77777777" w:rsidR="00783D2E" w:rsidRDefault="00783D2E" w:rsidP="00783D2E">
      <w:pPr>
        <w:ind w:firstLine="720"/>
        <w:jc w:val="both"/>
        <w:rPr>
          <w:rFonts w:ascii="Book Antiqua" w:hAnsi="Book Antiqua" w:cs="Arial"/>
          <w:szCs w:val="24"/>
          <w:lang w:val="es-ES_tradnl"/>
        </w:rPr>
      </w:pPr>
    </w:p>
    <w:p w14:paraId="2FB8303E" w14:textId="046F3D53" w:rsidR="0092109A" w:rsidRPr="0092109A" w:rsidRDefault="0092109A" w:rsidP="0092109A">
      <w:pPr>
        <w:pStyle w:val="Heading2"/>
        <w:ind w:firstLine="720"/>
        <w:jc w:val="both"/>
        <w:rPr>
          <w:rFonts w:ascii="Book Antiqua" w:hAnsi="Book Antiqua" w:cs="Arial"/>
          <w:b/>
          <w:bCs/>
          <w:color w:val="auto"/>
          <w:sz w:val="24"/>
          <w:szCs w:val="24"/>
          <w:lang w:val="es-ES_tradnl"/>
        </w:rPr>
      </w:pPr>
      <w:r w:rsidRPr="0092109A">
        <w:rPr>
          <w:rFonts w:ascii="Book Antiqua" w:hAnsi="Book Antiqua" w:cs="Arial"/>
          <w:color w:val="auto"/>
          <w:sz w:val="24"/>
          <w:szCs w:val="24"/>
          <w:lang w:val="es-ES_tradnl"/>
        </w:rPr>
        <w:t>En resumen, el Departamento de Agricultura considera la medida como una herramienta clave para revitalizar la educación agrícola en el país, formar una nueva generación de agricultores y fortalecer la capacidad de las comunidades escolares para producir alimentos y cuidar de su entorno natural.</w:t>
      </w:r>
    </w:p>
    <w:p w14:paraId="0BD53BA8" w14:textId="77777777" w:rsidR="000E2480" w:rsidRDefault="000E2480" w:rsidP="00A56440">
      <w:pPr>
        <w:jc w:val="both"/>
        <w:rPr>
          <w:rFonts w:ascii="Book Antiqua" w:hAnsi="Book Antiqua"/>
          <w:b/>
          <w:bCs/>
          <w:lang w:val="es-ES_tradnl"/>
        </w:rPr>
      </w:pPr>
    </w:p>
    <w:p w14:paraId="6354D5BA" w14:textId="77777777" w:rsidR="0092109A" w:rsidRDefault="0092109A" w:rsidP="00A56440">
      <w:pPr>
        <w:jc w:val="both"/>
        <w:rPr>
          <w:rFonts w:ascii="Book Antiqua" w:hAnsi="Book Antiqua"/>
          <w:b/>
          <w:bCs/>
          <w:lang w:val="es-ES_tradnl"/>
        </w:rPr>
      </w:pPr>
    </w:p>
    <w:p w14:paraId="0ECC9939" w14:textId="02111E12" w:rsidR="0092109A" w:rsidRPr="0092109A" w:rsidRDefault="0092109A" w:rsidP="0092109A">
      <w:pPr>
        <w:jc w:val="center"/>
        <w:rPr>
          <w:rFonts w:ascii="Book Antiqua" w:hAnsi="Book Antiqua"/>
          <w:b/>
          <w:bCs/>
          <w:u w:val="single"/>
          <w:lang w:val="es-ES_tradnl"/>
        </w:rPr>
      </w:pPr>
      <w:r w:rsidRPr="0092109A">
        <w:rPr>
          <w:rFonts w:ascii="Book Antiqua" w:hAnsi="Book Antiqua"/>
          <w:b/>
          <w:bCs/>
          <w:u w:val="single"/>
          <w:lang w:val="es-ES_tradnl"/>
        </w:rPr>
        <w:t>SERVICIO DE EXTENSIÓN AGRÍCOLA - UPRM</w:t>
      </w:r>
    </w:p>
    <w:p w14:paraId="43F996F9" w14:textId="77777777" w:rsidR="00AF4615" w:rsidRDefault="00AF4615" w:rsidP="00A56440">
      <w:pPr>
        <w:jc w:val="both"/>
        <w:rPr>
          <w:rFonts w:ascii="Book Antiqua" w:hAnsi="Book Antiqua"/>
          <w:b/>
          <w:bCs/>
          <w:lang w:val="es-ES_tradnl"/>
        </w:rPr>
      </w:pPr>
    </w:p>
    <w:p w14:paraId="4E433824" w14:textId="77777777" w:rsidR="0092109A" w:rsidRPr="005D3C27" w:rsidRDefault="0092109A" w:rsidP="0092109A">
      <w:pPr>
        <w:pStyle w:val="Heading1"/>
        <w:spacing w:before="200"/>
        <w:ind w:firstLine="720"/>
        <w:jc w:val="both"/>
        <w:rPr>
          <w:rFonts w:ascii="Book Antiqua" w:hAnsi="Book Antiqua" w:cs="Arial"/>
          <w:b w:val="0"/>
          <w:bCs w:val="0"/>
          <w:sz w:val="24"/>
          <w:szCs w:val="24"/>
        </w:rPr>
      </w:pPr>
      <w:r w:rsidRPr="005D3C27">
        <w:rPr>
          <w:rFonts w:ascii="Book Antiqua" w:hAnsi="Book Antiqua" w:cs="Arial"/>
          <w:b w:val="0"/>
          <w:bCs w:val="0"/>
          <w:sz w:val="24"/>
          <w:szCs w:val="24"/>
        </w:rPr>
        <w:t>El Servicio de Extensión Agrícola acogió de manera favorable el Proyecto del Senado Núm. 189, valorándolo como una medida acertada que impulsa la educación agrícola y fortalece los esfuerzos del país en materia de seguridad y soberanía alimentaria. Según el memorial, la creación de huertos escolares no solo representa una oportunidad educativa para los estudiantes, sino que también motiva la participación de sus familias y comunidades, integrando a la agricultura como una disciplina científica e innovadora vinculada a la economía y la conservación de los recursos naturales.</w:t>
      </w:r>
    </w:p>
    <w:p w14:paraId="024B99BA" w14:textId="66958B8E" w:rsidR="0092109A" w:rsidRPr="005D3C27" w:rsidRDefault="0092109A" w:rsidP="0092109A">
      <w:pPr>
        <w:pStyle w:val="Heading1"/>
        <w:spacing w:before="200"/>
        <w:ind w:firstLine="720"/>
        <w:jc w:val="both"/>
        <w:rPr>
          <w:rFonts w:ascii="Book Antiqua" w:hAnsi="Book Antiqua" w:cs="Arial"/>
          <w:b w:val="0"/>
          <w:bCs w:val="0"/>
          <w:sz w:val="24"/>
          <w:szCs w:val="24"/>
        </w:rPr>
      </w:pPr>
      <w:r w:rsidRPr="005D3C27">
        <w:rPr>
          <w:rFonts w:ascii="Book Antiqua" w:hAnsi="Book Antiqua" w:cs="Arial"/>
          <w:b w:val="0"/>
          <w:bCs w:val="0"/>
          <w:sz w:val="24"/>
          <w:szCs w:val="24"/>
        </w:rPr>
        <w:t xml:space="preserve">No obstante, la entidad subraya que el éxito de la medida no puede depender únicamente de la identificación de terrenos o facilidades físicas. Destacan que, de acuerdo con su experiencia en programas escolares colaborativos (como huertos comunitarios, proyectos con Head </w:t>
      </w:r>
      <w:proofErr w:type="spellStart"/>
      <w:r w:rsidRPr="005D3C27">
        <w:rPr>
          <w:rFonts w:ascii="Book Antiqua" w:hAnsi="Book Antiqua" w:cs="Arial"/>
          <w:b w:val="0"/>
          <w:bCs w:val="0"/>
          <w:sz w:val="24"/>
          <w:szCs w:val="24"/>
        </w:rPr>
        <w:t>Start</w:t>
      </w:r>
      <w:proofErr w:type="spellEnd"/>
      <w:r w:rsidRPr="005D3C27">
        <w:rPr>
          <w:rFonts w:ascii="Book Antiqua" w:hAnsi="Book Antiqua" w:cs="Arial"/>
          <w:b w:val="0"/>
          <w:bCs w:val="0"/>
          <w:sz w:val="24"/>
          <w:szCs w:val="24"/>
        </w:rPr>
        <w:t xml:space="preserve"> y Clubes 4-H), la participación comunitaria y familiar es un factor determinante para la sostenibilidad de los huertos escolares. En ese sentido, recomiendan que la implantación del proyecto incluya una planificación detallada que </w:t>
      </w:r>
      <w:r w:rsidRPr="005D3C27">
        <w:rPr>
          <w:rFonts w:ascii="Book Antiqua" w:hAnsi="Book Antiqua" w:cs="Arial"/>
          <w:b w:val="0"/>
          <w:bCs w:val="0"/>
          <w:sz w:val="24"/>
          <w:szCs w:val="24"/>
        </w:rPr>
        <w:lastRenderedPageBreak/>
        <w:t>contemple componentes como manejo de plagas, fertilización, riego, manejo de residuos y, sobre todo, monitoreo constante, incluso durante fines de semana, recesos escolares y días festivos.</w:t>
      </w:r>
    </w:p>
    <w:p w14:paraId="427E0B14" w14:textId="77777777" w:rsidR="0092109A" w:rsidRPr="005D3C27" w:rsidRDefault="0092109A" w:rsidP="0092109A">
      <w:pPr>
        <w:pStyle w:val="Heading1"/>
        <w:spacing w:before="200"/>
        <w:ind w:firstLine="720"/>
        <w:jc w:val="both"/>
        <w:rPr>
          <w:rFonts w:ascii="Book Antiqua" w:hAnsi="Book Antiqua" w:cs="Arial"/>
          <w:b w:val="0"/>
          <w:bCs w:val="0"/>
          <w:sz w:val="24"/>
          <w:szCs w:val="24"/>
        </w:rPr>
      </w:pPr>
      <w:r w:rsidRPr="005D3C27">
        <w:rPr>
          <w:rFonts w:ascii="Book Antiqua" w:hAnsi="Book Antiqua" w:cs="Arial"/>
          <w:b w:val="0"/>
          <w:bCs w:val="0"/>
          <w:sz w:val="24"/>
          <w:szCs w:val="24"/>
        </w:rPr>
        <w:t>Además, sugieren que se establezcan acuerdos colaborativos con agencias públicas que puedan asistir en la identificación de fondos estatales y federales para viabilizar la implementación de los huertos escolares a largo plazo.</w:t>
      </w:r>
    </w:p>
    <w:p w14:paraId="787BCF8F" w14:textId="77777777" w:rsidR="0092109A" w:rsidRPr="005D3C27" w:rsidRDefault="0092109A" w:rsidP="0092109A">
      <w:pPr>
        <w:pStyle w:val="Heading1"/>
        <w:spacing w:before="200"/>
        <w:ind w:firstLine="720"/>
        <w:jc w:val="both"/>
        <w:rPr>
          <w:rFonts w:ascii="Book Antiqua" w:hAnsi="Book Antiqua" w:cs="Arial"/>
          <w:b w:val="0"/>
          <w:bCs w:val="0"/>
          <w:sz w:val="24"/>
          <w:szCs w:val="24"/>
        </w:rPr>
      </w:pPr>
      <w:r w:rsidRPr="005D3C27">
        <w:rPr>
          <w:rFonts w:ascii="Book Antiqua" w:hAnsi="Book Antiqua" w:cs="Arial"/>
          <w:b w:val="0"/>
          <w:bCs w:val="0"/>
          <w:sz w:val="24"/>
          <w:szCs w:val="24"/>
        </w:rPr>
        <w:t xml:space="preserve">En su conclusión, el Servicio de Extensión Agrícola reafirma su respaldo al Proyecto del Senado 189, pero enfatiza la necesidad de mecanismos que garanticen su viabilidad en el tiempo. Recomiendan integrar la </w:t>
      </w:r>
      <w:proofErr w:type="gramStart"/>
      <w:r w:rsidRPr="005D3C27">
        <w:rPr>
          <w:rFonts w:ascii="Book Antiqua" w:hAnsi="Book Antiqua" w:cs="Arial"/>
          <w:b w:val="0"/>
          <w:bCs w:val="0"/>
          <w:sz w:val="24"/>
          <w:szCs w:val="24"/>
        </w:rPr>
        <w:t>participación activa</w:t>
      </w:r>
      <w:proofErr w:type="gramEnd"/>
      <w:r w:rsidRPr="005D3C27">
        <w:rPr>
          <w:rFonts w:ascii="Book Antiqua" w:hAnsi="Book Antiqua" w:cs="Arial"/>
          <w:b w:val="0"/>
          <w:bCs w:val="0"/>
          <w:sz w:val="24"/>
          <w:szCs w:val="24"/>
        </w:rPr>
        <w:t xml:space="preserve"> de familias y comunidades en la planificación y mantenimiento de los huertos, con el objetivo de convertirlos en espacios de aprendizaje permanentes y efectivos dentro del sistema educativo público del país.</w:t>
      </w:r>
    </w:p>
    <w:p w14:paraId="0970981C" w14:textId="77777777" w:rsidR="0092109A" w:rsidRPr="0092109A" w:rsidRDefault="0092109A" w:rsidP="00422A92">
      <w:pPr>
        <w:tabs>
          <w:tab w:val="left" w:pos="-720"/>
        </w:tabs>
        <w:suppressAutoHyphens/>
        <w:jc w:val="center"/>
        <w:rPr>
          <w:rFonts w:ascii="Book Antiqua" w:hAnsi="Book Antiqua"/>
          <w:b/>
          <w:bCs/>
          <w:szCs w:val="24"/>
          <w:lang w:val="es-ES_tradnl"/>
        </w:rPr>
      </w:pPr>
    </w:p>
    <w:p w14:paraId="62598CD2" w14:textId="77777777" w:rsidR="0092109A" w:rsidRDefault="0092109A" w:rsidP="00422A92">
      <w:pPr>
        <w:tabs>
          <w:tab w:val="left" w:pos="-720"/>
        </w:tabs>
        <w:suppressAutoHyphens/>
        <w:jc w:val="center"/>
        <w:rPr>
          <w:rFonts w:ascii="Book Antiqua" w:hAnsi="Book Antiqua"/>
          <w:b/>
          <w:bCs/>
          <w:szCs w:val="24"/>
          <w:lang w:val="es-ES"/>
        </w:rPr>
      </w:pPr>
    </w:p>
    <w:p w14:paraId="5BAE43DC" w14:textId="77777777" w:rsidR="0092109A" w:rsidRDefault="0092109A" w:rsidP="00422A92">
      <w:pPr>
        <w:tabs>
          <w:tab w:val="left" w:pos="-720"/>
        </w:tabs>
        <w:suppressAutoHyphens/>
        <w:jc w:val="center"/>
        <w:rPr>
          <w:rFonts w:ascii="Book Antiqua" w:hAnsi="Book Antiqua"/>
          <w:b/>
          <w:bCs/>
          <w:szCs w:val="24"/>
          <w:lang w:val="es-ES"/>
        </w:rPr>
      </w:pPr>
    </w:p>
    <w:p w14:paraId="1C5F6CE4" w14:textId="476E344D"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10F81FB1"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120444">
        <w:rPr>
          <w:rFonts w:ascii="Book Antiqua" w:hAnsi="Book Antiqua"/>
          <w:szCs w:val="24"/>
          <w:lang w:val="es-PR"/>
        </w:rPr>
        <w:t>1</w:t>
      </w:r>
      <w:r w:rsidR="0092109A">
        <w:rPr>
          <w:rFonts w:ascii="Book Antiqua" w:hAnsi="Book Antiqua"/>
          <w:szCs w:val="24"/>
          <w:lang w:val="es-PR"/>
        </w:rPr>
        <w:t>89</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3F7B5FD5" w14:textId="0B91C75B" w:rsidR="007F30C2" w:rsidRDefault="0028497D" w:rsidP="00B4494D">
      <w:pPr>
        <w:tabs>
          <w:tab w:val="left" w:pos="-720"/>
        </w:tabs>
        <w:suppressAutoHyphens/>
        <w:spacing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2135C76C" w14:textId="16A839B0" w:rsidR="00535EE7" w:rsidRDefault="007F30C2" w:rsidP="00535EE7">
      <w:pPr>
        <w:jc w:val="both"/>
        <w:rPr>
          <w:rFonts w:ascii="Book Antiqua" w:hAnsi="Book Antiqua"/>
          <w:szCs w:val="24"/>
          <w:lang w:val="es-PR"/>
        </w:rPr>
      </w:pPr>
      <w:r>
        <w:rPr>
          <w:rFonts w:ascii="Book Antiqua" w:hAnsi="Book Antiqua"/>
          <w:szCs w:val="24"/>
          <w:lang w:val="es-PR"/>
        </w:rPr>
        <w:tab/>
      </w:r>
      <w:r w:rsidR="00B55A61" w:rsidRPr="00B55A61">
        <w:rPr>
          <w:rFonts w:ascii="Book Antiqua" w:hAnsi="Book Antiqua"/>
          <w:szCs w:val="24"/>
          <w:lang w:val="es-PR"/>
        </w:rPr>
        <w:t>El Proyecto del Senado 189 representa una respuesta concreta y visionaria ante los retos que enfrenta la educación agrícola en Puerto Rico, particularmente en lo relacionado con la falta de espacios adecuados para la práctica agrícola en las escuelas. La medida propone un marco legal claro para garantizar que aquellos planteles que ya participan del Programa de Educación Agrícola puedan contar con los recursos físicos y curriculares necesarios para maximizar su potencial educativo. Lejos de ser una propuesta aislada, esta legislación articula la política pública en torno al uso de terrenos escolares para fines agrícolas, reconociendo el valor pedagógico y social que representan los huertos escolares como herramienta de enseñanza multidisciplinaria y de formación ciudadana.</w:t>
      </w:r>
    </w:p>
    <w:p w14:paraId="3400F43C" w14:textId="77777777" w:rsidR="00B55A61" w:rsidRPr="00B55A61" w:rsidRDefault="00B55A61" w:rsidP="00535EE7">
      <w:pPr>
        <w:jc w:val="both"/>
        <w:rPr>
          <w:rFonts w:ascii="Book Antiqua" w:hAnsi="Book Antiqua"/>
          <w:color w:val="000000" w:themeColor="text1"/>
          <w:lang w:val="es-PR"/>
        </w:rPr>
      </w:pPr>
    </w:p>
    <w:p w14:paraId="27304EFB" w14:textId="77777777" w:rsidR="00535EE7" w:rsidRPr="00535EE7" w:rsidRDefault="00535EE7" w:rsidP="00B55A61">
      <w:pPr>
        <w:ind w:firstLine="720"/>
        <w:jc w:val="both"/>
        <w:rPr>
          <w:rFonts w:ascii="Book Antiqua" w:hAnsi="Book Antiqua"/>
          <w:color w:val="000000" w:themeColor="text1"/>
          <w:lang w:val="es-PR"/>
        </w:rPr>
      </w:pPr>
      <w:r w:rsidRPr="00535EE7">
        <w:rPr>
          <w:rFonts w:ascii="Book Antiqua" w:hAnsi="Book Antiqua"/>
          <w:color w:val="000000" w:themeColor="text1"/>
          <w:lang w:val="es-PR"/>
        </w:rPr>
        <w:t xml:space="preserve">El propio Departamento de Educación ha reconocido la relevancia y trayectoria del Programa de Educación Agrícola, así como el impacto positivo que tiene sobre miles de estudiantes en todo Puerto Rico. Aunque señala que actualmente existen contenidos sobre huertos escolares en el currículo, también expresa su apoyo a establecer reglamentación específica sobre el uso, adquisición y manejo de terrenos, así como a formalizar acuerdos colaborativos entre agencias para facilitar el acceso a fincas y espacios agrícolas aledaños. Este respaldo parcial valida la intención legislativa de </w:t>
      </w:r>
      <w:r w:rsidRPr="00535EE7">
        <w:rPr>
          <w:rFonts w:ascii="Book Antiqua" w:hAnsi="Book Antiqua"/>
          <w:color w:val="000000" w:themeColor="text1"/>
          <w:lang w:val="es-PR"/>
        </w:rPr>
        <w:lastRenderedPageBreak/>
        <w:t>fortalecer y coordinar los esfuerzos existentes, evitando la dispersión normativa y promoviendo un uso más eficiente de los recursos públicos.</w:t>
      </w:r>
    </w:p>
    <w:p w14:paraId="5B693E45" w14:textId="77777777" w:rsidR="00B55A61" w:rsidRDefault="00B55A61" w:rsidP="00535EE7">
      <w:pPr>
        <w:jc w:val="both"/>
        <w:rPr>
          <w:rFonts w:ascii="Book Antiqua" w:hAnsi="Book Antiqua"/>
          <w:color w:val="000000" w:themeColor="text1"/>
          <w:lang w:val="es-PR"/>
        </w:rPr>
      </w:pPr>
    </w:p>
    <w:p w14:paraId="0352B75F" w14:textId="4DDE121A" w:rsidR="00535EE7" w:rsidRPr="00535EE7" w:rsidRDefault="00535EE7" w:rsidP="00B55A61">
      <w:pPr>
        <w:ind w:firstLine="720"/>
        <w:jc w:val="both"/>
        <w:rPr>
          <w:rFonts w:ascii="Book Antiqua" w:hAnsi="Book Antiqua"/>
          <w:color w:val="000000" w:themeColor="text1"/>
          <w:lang w:val="es-PR"/>
        </w:rPr>
      </w:pPr>
      <w:r w:rsidRPr="00535EE7">
        <w:rPr>
          <w:rFonts w:ascii="Book Antiqua" w:hAnsi="Book Antiqua"/>
          <w:color w:val="000000" w:themeColor="text1"/>
          <w:lang w:val="es-PR"/>
        </w:rPr>
        <w:t xml:space="preserve">En un contexto donde la seguridad alimentaria, la conservación de recursos naturales y el desarrollo económico sustentable son prioridades nacionales, esta medida permite al sistema educativo contribuir directamente a estos objetivos mediante una formación integral, práctica y pertinente. Preservar y utilizar adecuadamente los terrenos agrícolas escolares, establecer alianzas estratégicas </w:t>
      </w:r>
      <w:proofErr w:type="spellStart"/>
      <w:r w:rsidRPr="00535EE7">
        <w:rPr>
          <w:rFonts w:ascii="Book Antiqua" w:hAnsi="Book Antiqua"/>
          <w:color w:val="000000" w:themeColor="text1"/>
          <w:lang w:val="es-PR"/>
        </w:rPr>
        <w:t>interagenciales</w:t>
      </w:r>
      <w:proofErr w:type="spellEnd"/>
      <w:r w:rsidRPr="00535EE7">
        <w:rPr>
          <w:rFonts w:ascii="Book Antiqua" w:hAnsi="Book Antiqua"/>
          <w:color w:val="000000" w:themeColor="text1"/>
          <w:lang w:val="es-PR"/>
        </w:rPr>
        <w:t xml:space="preserve"> y fomentar el aprendizaje activo en huertos escolares representan pasos concretos para empoderar a nuestros jóvenes y preparar a una nueva generación de líderes agrícolas. Por tanto, la aprobación del Proyecto del Senado 189 no solo responde a una necesidad pedagógica, sino también a una visión de país comprometida con su futuro alimentario, económico y ambiental.</w:t>
      </w:r>
    </w:p>
    <w:p w14:paraId="4EAEBDBA" w14:textId="77777777" w:rsidR="00B4494D" w:rsidRDefault="00B4494D" w:rsidP="0039139D">
      <w:pPr>
        <w:tabs>
          <w:tab w:val="left" w:pos="-720"/>
        </w:tabs>
        <w:suppressAutoHyphens/>
        <w:jc w:val="both"/>
        <w:rPr>
          <w:rFonts w:ascii="Book Antiqua" w:hAnsi="Book Antiqua"/>
          <w:color w:val="000000" w:themeColor="text1"/>
          <w:szCs w:val="24"/>
          <w:lang w:val="es-PR"/>
        </w:rPr>
      </w:pPr>
    </w:p>
    <w:p w14:paraId="6EEA8EC1" w14:textId="4888608C" w:rsidR="00286C08" w:rsidRPr="000E2480" w:rsidRDefault="00B4494D" w:rsidP="0039139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sidR="00120444">
        <w:rPr>
          <w:rFonts w:ascii="Book Antiqua" w:hAnsi="Book Antiqua"/>
          <w:b/>
          <w:bCs/>
          <w:color w:val="000000" w:themeColor="text1"/>
          <w:szCs w:val="24"/>
          <w:lang w:val="es-PR"/>
        </w:rPr>
        <w:t>1</w:t>
      </w:r>
      <w:r w:rsidR="00C07B35">
        <w:rPr>
          <w:rFonts w:ascii="Book Antiqua" w:hAnsi="Book Antiqua"/>
          <w:b/>
          <w:bCs/>
          <w:color w:val="000000" w:themeColor="text1"/>
          <w:szCs w:val="24"/>
          <w:lang w:val="es-PR"/>
        </w:rPr>
        <w:t>89</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con las enmiendas contenidas en el entirillado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F8702" w14:textId="77777777" w:rsidR="004C49A5" w:rsidRDefault="004C49A5">
      <w:r>
        <w:separator/>
      </w:r>
    </w:p>
  </w:endnote>
  <w:endnote w:type="continuationSeparator" w:id="0">
    <w:p w14:paraId="2E2E81C1" w14:textId="77777777" w:rsidR="004C49A5" w:rsidRDefault="004C4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08D27" w14:textId="77777777" w:rsidR="004C49A5" w:rsidRDefault="004C49A5">
      <w:r>
        <w:separator/>
      </w:r>
    </w:p>
  </w:footnote>
  <w:footnote w:type="continuationSeparator" w:id="0">
    <w:p w14:paraId="656B4DA3" w14:textId="77777777" w:rsidR="004C49A5" w:rsidRDefault="004C4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4E98792A"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120444">
      <w:rPr>
        <w:rStyle w:val="PageNumber"/>
        <w:rFonts w:ascii="Book Antiqua" w:hAnsi="Book Antiqua"/>
        <w:b/>
        <w:bCs/>
        <w:lang w:val="es-PR"/>
      </w:rPr>
      <w:t>1</w:t>
    </w:r>
    <w:r w:rsidR="003E2B6B">
      <w:rPr>
        <w:rStyle w:val="PageNumber"/>
        <w:rFonts w:ascii="Book Antiqua" w:hAnsi="Book Antiqua"/>
        <w:b/>
        <w:bCs/>
        <w:lang w:val="es-PR"/>
      </w:rPr>
      <w:t>89</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2"/>
  </w:num>
  <w:num w:numId="2" w16cid:durableId="1731150234">
    <w:abstractNumId w:val="0"/>
  </w:num>
  <w:num w:numId="3" w16cid:durableId="1153179368">
    <w:abstractNumId w:val="1"/>
  </w:num>
  <w:num w:numId="4" w16cid:durableId="586430059">
    <w:abstractNumId w:val="3"/>
  </w:num>
  <w:num w:numId="5" w16cid:durableId="21089581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35A7"/>
    <w:rsid w:val="0002603A"/>
    <w:rsid w:val="000318E7"/>
    <w:rsid w:val="00034E11"/>
    <w:rsid w:val="0004088C"/>
    <w:rsid w:val="0004421B"/>
    <w:rsid w:val="00046F56"/>
    <w:rsid w:val="000502EA"/>
    <w:rsid w:val="000560CB"/>
    <w:rsid w:val="000667AB"/>
    <w:rsid w:val="00080CAF"/>
    <w:rsid w:val="00080E3B"/>
    <w:rsid w:val="00084122"/>
    <w:rsid w:val="0008569E"/>
    <w:rsid w:val="0009448A"/>
    <w:rsid w:val="000A06C9"/>
    <w:rsid w:val="000A3EB9"/>
    <w:rsid w:val="000B081B"/>
    <w:rsid w:val="000B3575"/>
    <w:rsid w:val="000B75FB"/>
    <w:rsid w:val="000C20D3"/>
    <w:rsid w:val="000C415C"/>
    <w:rsid w:val="000C48FC"/>
    <w:rsid w:val="000C7CB0"/>
    <w:rsid w:val="000D3AA4"/>
    <w:rsid w:val="000E06B7"/>
    <w:rsid w:val="000E2480"/>
    <w:rsid w:val="000E40C9"/>
    <w:rsid w:val="000E5747"/>
    <w:rsid w:val="000E6911"/>
    <w:rsid w:val="000F6729"/>
    <w:rsid w:val="000F7E9A"/>
    <w:rsid w:val="00103419"/>
    <w:rsid w:val="00104137"/>
    <w:rsid w:val="001119D3"/>
    <w:rsid w:val="00112D46"/>
    <w:rsid w:val="00120444"/>
    <w:rsid w:val="00126D61"/>
    <w:rsid w:val="00137678"/>
    <w:rsid w:val="00140F42"/>
    <w:rsid w:val="00156AA0"/>
    <w:rsid w:val="00162460"/>
    <w:rsid w:val="00162E59"/>
    <w:rsid w:val="00163BA1"/>
    <w:rsid w:val="00170254"/>
    <w:rsid w:val="00173F53"/>
    <w:rsid w:val="00191FA4"/>
    <w:rsid w:val="00196FA9"/>
    <w:rsid w:val="00197C46"/>
    <w:rsid w:val="001A32E4"/>
    <w:rsid w:val="001B20CB"/>
    <w:rsid w:val="001C4866"/>
    <w:rsid w:val="001C4B24"/>
    <w:rsid w:val="001C6503"/>
    <w:rsid w:val="001D1DC4"/>
    <w:rsid w:val="001D3A06"/>
    <w:rsid w:val="001D401B"/>
    <w:rsid w:val="001D7277"/>
    <w:rsid w:val="001E364D"/>
    <w:rsid w:val="001E3726"/>
    <w:rsid w:val="00201DF5"/>
    <w:rsid w:val="00205201"/>
    <w:rsid w:val="00207735"/>
    <w:rsid w:val="0021453D"/>
    <w:rsid w:val="00221DCF"/>
    <w:rsid w:val="00230152"/>
    <w:rsid w:val="00231017"/>
    <w:rsid w:val="00232427"/>
    <w:rsid w:val="0023567C"/>
    <w:rsid w:val="002370F8"/>
    <w:rsid w:val="00242D7A"/>
    <w:rsid w:val="00243F0D"/>
    <w:rsid w:val="002507FE"/>
    <w:rsid w:val="00253FDF"/>
    <w:rsid w:val="0025406F"/>
    <w:rsid w:val="00262BF9"/>
    <w:rsid w:val="00263E28"/>
    <w:rsid w:val="00263F1B"/>
    <w:rsid w:val="00283054"/>
    <w:rsid w:val="0028497D"/>
    <w:rsid w:val="00286C08"/>
    <w:rsid w:val="002A0893"/>
    <w:rsid w:val="002A14BD"/>
    <w:rsid w:val="002A60B4"/>
    <w:rsid w:val="002B01B5"/>
    <w:rsid w:val="002B05B3"/>
    <w:rsid w:val="002B58A3"/>
    <w:rsid w:val="002C3E4A"/>
    <w:rsid w:val="002D0E98"/>
    <w:rsid w:val="002D7FB1"/>
    <w:rsid w:val="002E1104"/>
    <w:rsid w:val="00303731"/>
    <w:rsid w:val="00307B20"/>
    <w:rsid w:val="0031084D"/>
    <w:rsid w:val="00315B3A"/>
    <w:rsid w:val="00330111"/>
    <w:rsid w:val="00332883"/>
    <w:rsid w:val="00340519"/>
    <w:rsid w:val="00341BB6"/>
    <w:rsid w:val="00343933"/>
    <w:rsid w:val="00350909"/>
    <w:rsid w:val="00366311"/>
    <w:rsid w:val="00371871"/>
    <w:rsid w:val="00374DB6"/>
    <w:rsid w:val="00377C61"/>
    <w:rsid w:val="00386E65"/>
    <w:rsid w:val="003909DD"/>
    <w:rsid w:val="003912A4"/>
    <w:rsid w:val="0039139D"/>
    <w:rsid w:val="00391980"/>
    <w:rsid w:val="0039667F"/>
    <w:rsid w:val="003A1341"/>
    <w:rsid w:val="003A4452"/>
    <w:rsid w:val="003A4992"/>
    <w:rsid w:val="003B751D"/>
    <w:rsid w:val="003C1518"/>
    <w:rsid w:val="003D4F89"/>
    <w:rsid w:val="003E2B6B"/>
    <w:rsid w:val="003E36E3"/>
    <w:rsid w:val="003E5401"/>
    <w:rsid w:val="003E5D3A"/>
    <w:rsid w:val="003F1D78"/>
    <w:rsid w:val="003F575E"/>
    <w:rsid w:val="00400A84"/>
    <w:rsid w:val="00403016"/>
    <w:rsid w:val="00414EE7"/>
    <w:rsid w:val="00422A92"/>
    <w:rsid w:val="004321E3"/>
    <w:rsid w:val="004476EC"/>
    <w:rsid w:val="004578FF"/>
    <w:rsid w:val="00466547"/>
    <w:rsid w:val="00473E56"/>
    <w:rsid w:val="00477789"/>
    <w:rsid w:val="00484E71"/>
    <w:rsid w:val="004915E5"/>
    <w:rsid w:val="00492156"/>
    <w:rsid w:val="00497331"/>
    <w:rsid w:val="004A730C"/>
    <w:rsid w:val="004B73D4"/>
    <w:rsid w:val="004C301F"/>
    <w:rsid w:val="004C49A5"/>
    <w:rsid w:val="004D31DB"/>
    <w:rsid w:val="004E4097"/>
    <w:rsid w:val="004E5427"/>
    <w:rsid w:val="004F1947"/>
    <w:rsid w:val="004F4D10"/>
    <w:rsid w:val="00505AFD"/>
    <w:rsid w:val="00505F50"/>
    <w:rsid w:val="00511BD7"/>
    <w:rsid w:val="005133FA"/>
    <w:rsid w:val="0052092C"/>
    <w:rsid w:val="00532097"/>
    <w:rsid w:val="00532580"/>
    <w:rsid w:val="00535EE7"/>
    <w:rsid w:val="00550476"/>
    <w:rsid w:val="00567513"/>
    <w:rsid w:val="00574692"/>
    <w:rsid w:val="00575139"/>
    <w:rsid w:val="00586B5C"/>
    <w:rsid w:val="00592A08"/>
    <w:rsid w:val="0059606B"/>
    <w:rsid w:val="00596C9F"/>
    <w:rsid w:val="005A265A"/>
    <w:rsid w:val="005A27A8"/>
    <w:rsid w:val="005C03C9"/>
    <w:rsid w:val="005C2E80"/>
    <w:rsid w:val="005C3438"/>
    <w:rsid w:val="005D1109"/>
    <w:rsid w:val="005D1313"/>
    <w:rsid w:val="005D131F"/>
    <w:rsid w:val="005D3C27"/>
    <w:rsid w:val="005D5AFB"/>
    <w:rsid w:val="005E2192"/>
    <w:rsid w:val="005E5973"/>
    <w:rsid w:val="005F3890"/>
    <w:rsid w:val="005F6ADA"/>
    <w:rsid w:val="00607D66"/>
    <w:rsid w:val="00612577"/>
    <w:rsid w:val="00613E0B"/>
    <w:rsid w:val="00620BA5"/>
    <w:rsid w:val="0062705C"/>
    <w:rsid w:val="00627154"/>
    <w:rsid w:val="00637621"/>
    <w:rsid w:val="00637A2F"/>
    <w:rsid w:val="00653F5B"/>
    <w:rsid w:val="006547BF"/>
    <w:rsid w:val="00672914"/>
    <w:rsid w:val="0067316B"/>
    <w:rsid w:val="00677043"/>
    <w:rsid w:val="00677831"/>
    <w:rsid w:val="006834E9"/>
    <w:rsid w:val="00691067"/>
    <w:rsid w:val="00696278"/>
    <w:rsid w:val="006977AA"/>
    <w:rsid w:val="006A3F44"/>
    <w:rsid w:val="006A6960"/>
    <w:rsid w:val="006A7159"/>
    <w:rsid w:val="006B352C"/>
    <w:rsid w:val="006B3F39"/>
    <w:rsid w:val="006B7388"/>
    <w:rsid w:val="006B7E26"/>
    <w:rsid w:val="006C5F9B"/>
    <w:rsid w:val="006E26D6"/>
    <w:rsid w:val="006E27EE"/>
    <w:rsid w:val="006E5352"/>
    <w:rsid w:val="006E789B"/>
    <w:rsid w:val="006F309A"/>
    <w:rsid w:val="006F4E24"/>
    <w:rsid w:val="0072499D"/>
    <w:rsid w:val="0074063E"/>
    <w:rsid w:val="00747388"/>
    <w:rsid w:val="00750974"/>
    <w:rsid w:val="00751EFA"/>
    <w:rsid w:val="00783405"/>
    <w:rsid w:val="00783D2E"/>
    <w:rsid w:val="00787A9F"/>
    <w:rsid w:val="00787B94"/>
    <w:rsid w:val="007A1A88"/>
    <w:rsid w:val="007A485A"/>
    <w:rsid w:val="007A487E"/>
    <w:rsid w:val="007B5941"/>
    <w:rsid w:val="007B5A2A"/>
    <w:rsid w:val="007C0520"/>
    <w:rsid w:val="007C0C12"/>
    <w:rsid w:val="007C0DA8"/>
    <w:rsid w:val="007E3E6F"/>
    <w:rsid w:val="007E538D"/>
    <w:rsid w:val="007E6362"/>
    <w:rsid w:val="007E6D3F"/>
    <w:rsid w:val="007F1BE1"/>
    <w:rsid w:val="007F2A2C"/>
    <w:rsid w:val="007F30C2"/>
    <w:rsid w:val="007F75BB"/>
    <w:rsid w:val="00800740"/>
    <w:rsid w:val="00811335"/>
    <w:rsid w:val="00814F2E"/>
    <w:rsid w:val="00816D27"/>
    <w:rsid w:val="00826864"/>
    <w:rsid w:val="00827BDF"/>
    <w:rsid w:val="008325EC"/>
    <w:rsid w:val="00834C51"/>
    <w:rsid w:val="008444B1"/>
    <w:rsid w:val="008452CC"/>
    <w:rsid w:val="00857500"/>
    <w:rsid w:val="00877BBD"/>
    <w:rsid w:val="008938FB"/>
    <w:rsid w:val="00896242"/>
    <w:rsid w:val="008A2520"/>
    <w:rsid w:val="008A438F"/>
    <w:rsid w:val="008B0792"/>
    <w:rsid w:val="008B279A"/>
    <w:rsid w:val="008B59C1"/>
    <w:rsid w:val="008B7131"/>
    <w:rsid w:val="008D0714"/>
    <w:rsid w:val="008D1849"/>
    <w:rsid w:val="008D3D76"/>
    <w:rsid w:val="008E4DAB"/>
    <w:rsid w:val="008F3049"/>
    <w:rsid w:val="008F4B5E"/>
    <w:rsid w:val="008F540A"/>
    <w:rsid w:val="009127BC"/>
    <w:rsid w:val="0091367E"/>
    <w:rsid w:val="0091791A"/>
    <w:rsid w:val="0092109A"/>
    <w:rsid w:val="00922EEE"/>
    <w:rsid w:val="009242F0"/>
    <w:rsid w:val="00924C41"/>
    <w:rsid w:val="00935B73"/>
    <w:rsid w:val="00950FD3"/>
    <w:rsid w:val="00951D5A"/>
    <w:rsid w:val="00952AEC"/>
    <w:rsid w:val="00953076"/>
    <w:rsid w:val="0095526D"/>
    <w:rsid w:val="00963AA0"/>
    <w:rsid w:val="00967178"/>
    <w:rsid w:val="00972F33"/>
    <w:rsid w:val="00987449"/>
    <w:rsid w:val="00991236"/>
    <w:rsid w:val="00992673"/>
    <w:rsid w:val="0099501D"/>
    <w:rsid w:val="009B5C77"/>
    <w:rsid w:val="009F4930"/>
    <w:rsid w:val="00A00629"/>
    <w:rsid w:val="00A03A6E"/>
    <w:rsid w:val="00A05D7F"/>
    <w:rsid w:val="00A11F03"/>
    <w:rsid w:val="00A128EA"/>
    <w:rsid w:val="00A17FBA"/>
    <w:rsid w:val="00A210E0"/>
    <w:rsid w:val="00A2357C"/>
    <w:rsid w:val="00A340C6"/>
    <w:rsid w:val="00A50F87"/>
    <w:rsid w:val="00A56440"/>
    <w:rsid w:val="00A57245"/>
    <w:rsid w:val="00A62F10"/>
    <w:rsid w:val="00A67ED9"/>
    <w:rsid w:val="00A73989"/>
    <w:rsid w:val="00A739A7"/>
    <w:rsid w:val="00A753F4"/>
    <w:rsid w:val="00A765BC"/>
    <w:rsid w:val="00A77A85"/>
    <w:rsid w:val="00A77D6F"/>
    <w:rsid w:val="00A82206"/>
    <w:rsid w:val="00A841D5"/>
    <w:rsid w:val="00A847D1"/>
    <w:rsid w:val="00A85389"/>
    <w:rsid w:val="00AA219B"/>
    <w:rsid w:val="00AA7B63"/>
    <w:rsid w:val="00AB0FE1"/>
    <w:rsid w:val="00AE404B"/>
    <w:rsid w:val="00AE4B90"/>
    <w:rsid w:val="00AE5CBC"/>
    <w:rsid w:val="00AF1F99"/>
    <w:rsid w:val="00AF4615"/>
    <w:rsid w:val="00B01F61"/>
    <w:rsid w:val="00B120AF"/>
    <w:rsid w:val="00B14F15"/>
    <w:rsid w:val="00B2217C"/>
    <w:rsid w:val="00B226CE"/>
    <w:rsid w:val="00B31419"/>
    <w:rsid w:val="00B4494D"/>
    <w:rsid w:val="00B510E1"/>
    <w:rsid w:val="00B55A61"/>
    <w:rsid w:val="00B62DBD"/>
    <w:rsid w:val="00B726DF"/>
    <w:rsid w:val="00B73062"/>
    <w:rsid w:val="00B86A17"/>
    <w:rsid w:val="00B90E3F"/>
    <w:rsid w:val="00B91F6C"/>
    <w:rsid w:val="00BB2EDB"/>
    <w:rsid w:val="00BB301A"/>
    <w:rsid w:val="00BB7ABB"/>
    <w:rsid w:val="00BC74F8"/>
    <w:rsid w:val="00BD331F"/>
    <w:rsid w:val="00C07B35"/>
    <w:rsid w:val="00C12094"/>
    <w:rsid w:val="00C20E59"/>
    <w:rsid w:val="00C23687"/>
    <w:rsid w:val="00C274D1"/>
    <w:rsid w:val="00C40E18"/>
    <w:rsid w:val="00C515E3"/>
    <w:rsid w:val="00C52E71"/>
    <w:rsid w:val="00C60C5E"/>
    <w:rsid w:val="00C63F6D"/>
    <w:rsid w:val="00C66897"/>
    <w:rsid w:val="00C76FA2"/>
    <w:rsid w:val="00C8079A"/>
    <w:rsid w:val="00C80E1A"/>
    <w:rsid w:val="00CA4466"/>
    <w:rsid w:val="00CA79C3"/>
    <w:rsid w:val="00CB1FD5"/>
    <w:rsid w:val="00CB43BF"/>
    <w:rsid w:val="00CC58CD"/>
    <w:rsid w:val="00CD7FE1"/>
    <w:rsid w:val="00CE2C01"/>
    <w:rsid w:val="00CE3B80"/>
    <w:rsid w:val="00D13F13"/>
    <w:rsid w:val="00D3146E"/>
    <w:rsid w:val="00D332DE"/>
    <w:rsid w:val="00D36F46"/>
    <w:rsid w:val="00D43527"/>
    <w:rsid w:val="00D50266"/>
    <w:rsid w:val="00D53F1B"/>
    <w:rsid w:val="00D541C2"/>
    <w:rsid w:val="00D65F72"/>
    <w:rsid w:val="00D67278"/>
    <w:rsid w:val="00D777DA"/>
    <w:rsid w:val="00DC065F"/>
    <w:rsid w:val="00DC32CC"/>
    <w:rsid w:val="00DE09A9"/>
    <w:rsid w:val="00DE2902"/>
    <w:rsid w:val="00DE65DE"/>
    <w:rsid w:val="00E231A4"/>
    <w:rsid w:val="00E26E4F"/>
    <w:rsid w:val="00E436F2"/>
    <w:rsid w:val="00E43801"/>
    <w:rsid w:val="00E450F4"/>
    <w:rsid w:val="00E53CC2"/>
    <w:rsid w:val="00E65D3F"/>
    <w:rsid w:val="00E67798"/>
    <w:rsid w:val="00E72311"/>
    <w:rsid w:val="00E87E99"/>
    <w:rsid w:val="00E9477C"/>
    <w:rsid w:val="00EA4F74"/>
    <w:rsid w:val="00EA67A4"/>
    <w:rsid w:val="00EB7919"/>
    <w:rsid w:val="00ED552B"/>
    <w:rsid w:val="00ED6612"/>
    <w:rsid w:val="00EE189D"/>
    <w:rsid w:val="00EF5E84"/>
    <w:rsid w:val="00EF75F1"/>
    <w:rsid w:val="00EF7B8E"/>
    <w:rsid w:val="00F037F9"/>
    <w:rsid w:val="00F162A1"/>
    <w:rsid w:val="00F162B3"/>
    <w:rsid w:val="00F24D45"/>
    <w:rsid w:val="00F269DA"/>
    <w:rsid w:val="00F26E86"/>
    <w:rsid w:val="00F332DC"/>
    <w:rsid w:val="00F41601"/>
    <w:rsid w:val="00F439DC"/>
    <w:rsid w:val="00F60CBE"/>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2">
    <w:name w:val="heading 2"/>
    <w:basedOn w:val="Normal"/>
    <w:next w:val="Normal"/>
    <w:link w:val="Heading2Char"/>
    <w:semiHidden/>
    <w:unhideWhenUsed/>
    <w:qFormat/>
    <w:rsid w:val="009210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 w:type="character" w:customStyle="1" w:styleId="Heading2Char">
    <w:name w:val="Heading 2 Char"/>
    <w:basedOn w:val="DefaultParagraphFont"/>
    <w:link w:val="Heading2"/>
    <w:semiHidden/>
    <w:rsid w:val="0092109A"/>
    <w:rPr>
      <w:rFonts w:asciiTheme="majorHAnsi" w:eastAsiaTheme="majorEastAsia" w:hAnsiTheme="majorHAnsi" w:cstheme="majorBidi"/>
      <w:color w:val="2F5496"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7652">
      <w:bodyDiv w:val="1"/>
      <w:marLeft w:val="0"/>
      <w:marRight w:val="0"/>
      <w:marTop w:val="0"/>
      <w:marBottom w:val="0"/>
      <w:divBdr>
        <w:top w:val="none" w:sz="0" w:space="0" w:color="auto"/>
        <w:left w:val="none" w:sz="0" w:space="0" w:color="auto"/>
        <w:bottom w:val="none" w:sz="0" w:space="0" w:color="auto"/>
        <w:right w:val="none" w:sz="0" w:space="0" w:color="auto"/>
      </w:divBdr>
      <w:divsChild>
        <w:div w:id="1865829037">
          <w:marLeft w:val="0"/>
          <w:marRight w:val="0"/>
          <w:marTop w:val="0"/>
          <w:marBottom w:val="0"/>
          <w:divBdr>
            <w:top w:val="none" w:sz="0" w:space="0" w:color="auto"/>
            <w:left w:val="none" w:sz="0" w:space="0" w:color="auto"/>
            <w:bottom w:val="none" w:sz="0" w:space="0" w:color="auto"/>
            <w:right w:val="none" w:sz="0" w:space="0" w:color="auto"/>
          </w:divBdr>
          <w:divsChild>
            <w:div w:id="1643463010">
              <w:marLeft w:val="0"/>
              <w:marRight w:val="0"/>
              <w:marTop w:val="0"/>
              <w:marBottom w:val="0"/>
              <w:divBdr>
                <w:top w:val="none" w:sz="0" w:space="0" w:color="auto"/>
                <w:left w:val="none" w:sz="0" w:space="0" w:color="auto"/>
                <w:bottom w:val="none" w:sz="0" w:space="0" w:color="auto"/>
                <w:right w:val="none" w:sz="0" w:space="0" w:color="auto"/>
              </w:divBdr>
              <w:divsChild>
                <w:div w:id="915826861">
                  <w:marLeft w:val="0"/>
                  <w:marRight w:val="0"/>
                  <w:marTop w:val="0"/>
                  <w:marBottom w:val="0"/>
                  <w:divBdr>
                    <w:top w:val="none" w:sz="0" w:space="0" w:color="auto"/>
                    <w:left w:val="none" w:sz="0" w:space="0" w:color="auto"/>
                    <w:bottom w:val="none" w:sz="0" w:space="0" w:color="auto"/>
                    <w:right w:val="none" w:sz="0" w:space="0" w:color="auto"/>
                  </w:divBdr>
                  <w:divsChild>
                    <w:div w:id="143399889">
                      <w:marLeft w:val="0"/>
                      <w:marRight w:val="0"/>
                      <w:marTop w:val="0"/>
                      <w:marBottom w:val="0"/>
                      <w:divBdr>
                        <w:top w:val="none" w:sz="0" w:space="0" w:color="auto"/>
                        <w:left w:val="none" w:sz="0" w:space="0" w:color="auto"/>
                        <w:bottom w:val="none" w:sz="0" w:space="0" w:color="auto"/>
                        <w:right w:val="none" w:sz="0" w:space="0" w:color="auto"/>
                      </w:divBdr>
                      <w:divsChild>
                        <w:div w:id="640187978">
                          <w:marLeft w:val="0"/>
                          <w:marRight w:val="0"/>
                          <w:marTop w:val="0"/>
                          <w:marBottom w:val="0"/>
                          <w:divBdr>
                            <w:top w:val="none" w:sz="0" w:space="0" w:color="auto"/>
                            <w:left w:val="none" w:sz="0" w:space="0" w:color="auto"/>
                            <w:bottom w:val="none" w:sz="0" w:space="0" w:color="auto"/>
                            <w:right w:val="none" w:sz="0" w:space="0" w:color="auto"/>
                          </w:divBdr>
                          <w:divsChild>
                            <w:div w:id="384640907">
                              <w:marLeft w:val="0"/>
                              <w:marRight w:val="0"/>
                              <w:marTop w:val="0"/>
                              <w:marBottom w:val="0"/>
                              <w:divBdr>
                                <w:top w:val="none" w:sz="0" w:space="0" w:color="auto"/>
                                <w:left w:val="none" w:sz="0" w:space="0" w:color="auto"/>
                                <w:bottom w:val="none" w:sz="0" w:space="0" w:color="auto"/>
                                <w:right w:val="none" w:sz="0" w:space="0" w:color="auto"/>
                              </w:divBdr>
                              <w:divsChild>
                                <w:div w:id="1189103715">
                                  <w:marLeft w:val="0"/>
                                  <w:marRight w:val="0"/>
                                  <w:marTop w:val="0"/>
                                  <w:marBottom w:val="0"/>
                                  <w:divBdr>
                                    <w:top w:val="none" w:sz="0" w:space="0" w:color="auto"/>
                                    <w:left w:val="none" w:sz="0" w:space="0" w:color="auto"/>
                                    <w:bottom w:val="none" w:sz="0" w:space="0" w:color="auto"/>
                                    <w:right w:val="none" w:sz="0" w:space="0" w:color="auto"/>
                                  </w:divBdr>
                                  <w:divsChild>
                                    <w:div w:id="130377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87862938">
      <w:bodyDiv w:val="1"/>
      <w:marLeft w:val="0"/>
      <w:marRight w:val="0"/>
      <w:marTop w:val="0"/>
      <w:marBottom w:val="0"/>
      <w:divBdr>
        <w:top w:val="none" w:sz="0" w:space="0" w:color="auto"/>
        <w:left w:val="none" w:sz="0" w:space="0" w:color="auto"/>
        <w:bottom w:val="none" w:sz="0" w:space="0" w:color="auto"/>
        <w:right w:val="none" w:sz="0" w:space="0" w:color="auto"/>
      </w:divBdr>
      <w:divsChild>
        <w:div w:id="1201473594">
          <w:marLeft w:val="0"/>
          <w:marRight w:val="0"/>
          <w:marTop w:val="0"/>
          <w:marBottom w:val="0"/>
          <w:divBdr>
            <w:top w:val="none" w:sz="0" w:space="0" w:color="auto"/>
            <w:left w:val="none" w:sz="0" w:space="0" w:color="auto"/>
            <w:bottom w:val="none" w:sz="0" w:space="0" w:color="auto"/>
            <w:right w:val="none" w:sz="0" w:space="0" w:color="auto"/>
          </w:divBdr>
          <w:divsChild>
            <w:div w:id="1835340243">
              <w:marLeft w:val="0"/>
              <w:marRight w:val="0"/>
              <w:marTop w:val="0"/>
              <w:marBottom w:val="0"/>
              <w:divBdr>
                <w:top w:val="none" w:sz="0" w:space="0" w:color="auto"/>
                <w:left w:val="none" w:sz="0" w:space="0" w:color="auto"/>
                <w:bottom w:val="none" w:sz="0" w:space="0" w:color="auto"/>
                <w:right w:val="none" w:sz="0" w:space="0" w:color="auto"/>
              </w:divBdr>
              <w:divsChild>
                <w:div w:id="1863396565">
                  <w:marLeft w:val="0"/>
                  <w:marRight w:val="0"/>
                  <w:marTop w:val="0"/>
                  <w:marBottom w:val="0"/>
                  <w:divBdr>
                    <w:top w:val="none" w:sz="0" w:space="0" w:color="auto"/>
                    <w:left w:val="none" w:sz="0" w:space="0" w:color="auto"/>
                    <w:bottom w:val="none" w:sz="0" w:space="0" w:color="auto"/>
                    <w:right w:val="none" w:sz="0" w:space="0" w:color="auto"/>
                  </w:divBdr>
                  <w:divsChild>
                    <w:div w:id="1064139360">
                      <w:marLeft w:val="0"/>
                      <w:marRight w:val="0"/>
                      <w:marTop w:val="0"/>
                      <w:marBottom w:val="0"/>
                      <w:divBdr>
                        <w:top w:val="none" w:sz="0" w:space="0" w:color="auto"/>
                        <w:left w:val="none" w:sz="0" w:space="0" w:color="auto"/>
                        <w:bottom w:val="none" w:sz="0" w:space="0" w:color="auto"/>
                        <w:right w:val="none" w:sz="0" w:space="0" w:color="auto"/>
                      </w:divBdr>
                      <w:divsChild>
                        <w:div w:id="625694848">
                          <w:marLeft w:val="0"/>
                          <w:marRight w:val="0"/>
                          <w:marTop w:val="0"/>
                          <w:marBottom w:val="0"/>
                          <w:divBdr>
                            <w:top w:val="none" w:sz="0" w:space="0" w:color="auto"/>
                            <w:left w:val="none" w:sz="0" w:space="0" w:color="auto"/>
                            <w:bottom w:val="none" w:sz="0" w:space="0" w:color="auto"/>
                            <w:right w:val="none" w:sz="0" w:space="0" w:color="auto"/>
                          </w:divBdr>
                          <w:divsChild>
                            <w:div w:id="2084523745">
                              <w:marLeft w:val="0"/>
                              <w:marRight w:val="0"/>
                              <w:marTop w:val="0"/>
                              <w:marBottom w:val="0"/>
                              <w:divBdr>
                                <w:top w:val="none" w:sz="0" w:space="0" w:color="auto"/>
                                <w:left w:val="none" w:sz="0" w:space="0" w:color="auto"/>
                                <w:bottom w:val="none" w:sz="0" w:space="0" w:color="auto"/>
                                <w:right w:val="none" w:sz="0" w:space="0" w:color="auto"/>
                              </w:divBdr>
                              <w:divsChild>
                                <w:div w:id="508643199">
                                  <w:marLeft w:val="0"/>
                                  <w:marRight w:val="0"/>
                                  <w:marTop w:val="0"/>
                                  <w:marBottom w:val="0"/>
                                  <w:divBdr>
                                    <w:top w:val="none" w:sz="0" w:space="0" w:color="auto"/>
                                    <w:left w:val="none" w:sz="0" w:space="0" w:color="auto"/>
                                    <w:bottom w:val="none" w:sz="0" w:space="0" w:color="auto"/>
                                    <w:right w:val="none" w:sz="0" w:space="0" w:color="auto"/>
                                  </w:divBdr>
                                  <w:divsChild>
                                    <w:div w:id="123728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07715309">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880942182">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21851367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76688449">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4SQX5P7U7WPY-958212181-815486</_dlc_DocId>
    <_ip_UnifiedCompliancePolicyUIAction xmlns="http://schemas.microsoft.com/sharepoint/v3" xsi:nil="true"/>
    <_dlc_DocIdUrl xmlns="c890fddd-4e87-4e08-8b51-545f2a3f7b06">
      <Url>https://senpr.sharepoint.com/sites/obralegislativa/_layouts/15/DocIdRedir.aspx?ID=4SQX5P7U7WPY-958212181-815486</Url>
      <Description>4SQX5P7U7WPY-958212181-815486</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6</Pages>
  <Words>2063</Words>
  <Characters>13046</Characters>
  <Application>Microsoft Office Word</Application>
  <DocSecurity>0</DocSecurity>
  <Lines>108</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2025-05-22T13:39:00Z</cp:lastPrinted>
  <dcterms:created xsi:type="dcterms:W3CDTF">2025-06-13T13:51:00Z</dcterms:created>
  <dcterms:modified xsi:type="dcterms:W3CDTF">2025-06-13T13:51:00Z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4e5b52c7-f536-40ee-a370-4cdb18d180cb</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