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0EDECE57"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374D6E">
        <w:rPr>
          <w:rFonts w:ascii="Book Antiqua" w:hAnsi="Book Antiqua"/>
          <w:b/>
          <w:sz w:val="52"/>
          <w:szCs w:val="52"/>
          <w:lang w:val="es-ES_tradnl"/>
        </w:rPr>
        <w:t>192</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71944BCA" w:rsidR="000F6729" w:rsidRPr="007E538D" w:rsidRDefault="008E4789" w:rsidP="007E538D">
      <w:pPr>
        <w:spacing w:line="360" w:lineRule="auto"/>
        <w:jc w:val="center"/>
        <w:rPr>
          <w:rFonts w:ascii="Book Antiqua" w:hAnsi="Book Antiqua"/>
          <w:i/>
          <w:szCs w:val="24"/>
          <w:lang w:val="es-419"/>
        </w:rPr>
      </w:pPr>
      <w:r>
        <w:rPr>
          <w:rFonts w:ascii="Book Antiqua" w:hAnsi="Book Antiqua"/>
          <w:lang w:val="es-ES_tradnl"/>
        </w:rPr>
        <w:t>13</w:t>
      </w:r>
      <w:r w:rsidR="00DE2902">
        <w:rPr>
          <w:rFonts w:ascii="Book Antiqua" w:hAnsi="Book Antiqua"/>
          <w:lang w:val="es-ES_tradnl"/>
        </w:rPr>
        <w:t xml:space="preserve"> de </w:t>
      </w:r>
      <w:r w:rsidR="00374D6E">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2783AE1F"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374D6E">
        <w:rPr>
          <w:rFonts w:ascii="Book Antiqua" w:hAnsi="Book Antiqua"/>
          <w:bCs/>
          <w:szCs w:val="24"/>
          <w:lang w:val="es-ES_tradnl"/>
        </w:rPr>
        <w:t>192</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7ED28BDE" w:rsidR="00B31419" w:rsidRPr="006834E9" w:rsidRDefault="006A6960" w:rsidP="00B31419">
      <w:pPr>
        <w:ind w:firstLine="540"/>
        <w:jc w:val="both"/>
        <w:rPr>
          <w:rFonts w:ascii="Book Antiqua" w:eastAsia="Book Antiqua" w:hAnsi="Book Antiqua" w:cs="Book Antiqua"/>
          <w:color w:val="000000"/>
          <w:lang w:val="es-ES_tradnl"/>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374D6E">
        <w:rPr>
          <w:rFonts w:ascii="Book Antiqua" w:hAnsi="Book Antiqua"/>
          <w:bCs/>
          <w:szCs w:val="24"/>
          <w:lang w:val="es-ES_tradnl"/>
        </w:rPr>
        <w:t>192</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374D6E" w:rsidRPr="00421359">
        <w:rPr>
          <w:rFonts w:ascii="Book Antiqua" w:hAnsi="Book Antiqua"/>
          <w:szCs w:val="24"/>
          <w:lang w:val="es-PR"/>
        </w:rPr>
        <w:t xml:space="preserve">enmendar el Artículo 8.01 de la Ley 85-2018, según enmendada, conocida como “Ley de Reforma Educativa de Puerto Rico”, a los fines de disponer que todos los proyectos y planos de construcción de planteles escolares, deberán incluir la instalación de plantas de emergencia 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derogar la Ley 96-2005, conocida como “Ley sobre Equipos de Emergencia en los Planteles Escolares”; y la Res. </w:t>
      </w:r>
      <w:proofErr w:type="spellStart"/>
      <w:r w:rsidR="00374D6E" w:rsidRPr="00421359">
        <w:rPr>
          <w:rFonts w:ascii="Book Antiqua" w:hAnsi="Book Antiqua"/>
          <w:szCs w:val="24"/>
          <w:lang w:val="es-PR"/>
        </w:rPr>
        <w:t>Conj</w:t>
      </w:r>
      <w:proofErr w:type="spellEnd"/>
      <w:r w:rsidR="00374D6E" w:rsidRPr="00421359">
        <w:rPr>
          <w:rFonts w:ascii="Book Antiqua" w:hAnsi="Book Antiqua"/>
          <w:szCs w:val="24"/>
          <w:lang w:val="es-PR"/>
        </w:rPr>
        <w:t>. 75-2018</w:t>
      </w:r>
      <w:r w:rsidR="00374D6E">
        <w:rPr>
          <w:rFonts w:ascii="Book Antiqua" w:hAnsi="Book Antiqua"/>
          <w:szCs w:val="24"/>
          <w:lang w:val="es-PR"/>
        </w:rPr>
        <w:t>.</w:t>
      </w:r>
    </w:p>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7DBCA808"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184D6DE1" w14:textId="77777777" w:rsidR="00DC0688" w:rsidRDefault="00DC0688" w:rsidP="00DC0688">
      <w:pPr>
        <w:jc w:val="both"/>
        <w:rPr>
          <w:rFonts w:ascii="Book Antiqua" w:hAnsi="Book Antiqua"/>
          <w:iCs/>
          <w:spacing w:val="-3"/>
          <w:szCs w:val="24"/>
          <w:lang w:val="es-ES_tradnl"/>
        </w:rPr>
      </w:pPr>
    </w:p>
    <w:p w14:paraId="142B149D" w14:textId="17D4109E" w:rsidR="00533993" w:rsidRPr="00533993" w:rsidRDefault="00533993" w:rsidP="00533993">
      <w:pPr>
        <w:ind w:firstLine="720"/>
        <w:jc w:val="both"/>
        <w:rPr>
          <w:rFonts w:ascii="Book Antiqua" w:hAnsi="Book Antiqua"/>
          <w:iCs/>
          <w:spacing w:val="-3"/>
          <w:szCs w:val="24"/>
          <w:lang w:val="es-PR"/>
        </w:rPr>
      </w:pPr>
      <w:r>
        <w:rPr>
          <w:rFonts w:ascii="Book Antiqua" w:hAnsi="Book Antiqua"/>
          <w:iCs/>
          <w:spacing w:val="-3"/>
          <w:szCs w:val="24"/>
          <w:lang w:val="es-PR"/>
        </w:rPr>
        <w:t xml:space="preserve">El </w:t>
      </w:r>
      <w:r w:rsidRPr="00533993">
        <w:rPr>
          <w:rFonts w:ascii="Book Antiqua" w:hAnsi="Book Antiqua"/>
          <w:iCs/>
          <w:spacing w:val="-3"/>
          <w:szCs w:val="24"/>
          <w:lang w:val="es-PR"/>
        </w:rPr>
        <w:t xml:space="preserve">Proyecto del Senado 192 resulta esencial para garantizar la continuidad del proceso educativo ante las crecientes interrupciones en el suministro de servicios básicos </w:t>
      </w:r>
      <w:r w:rsidRPr="00533993">
        <w:rPr>
          <w:rFonts w:ascii="Book Antiqua" w:hAnsi="Book Antiqua"/>
          <w:iCs/>
          <w:spacing w:val="-3"/>
          <w:szCs w:val="24"/>
          <w:lang w:val="es-PR"/>
        </w:rPr>
        <w:lastRenderedPageBreak/>
        <w:t>como la energía eléctrica y el agua potable. Esta medida enmienda la Ley 85-2018</w:t>
      </w:r>
      <w:r>
        <w:rPr>
          <w:rFonts w:ascii="Book Antiqua" w:hAnsi="Book Antiqua"/>
          <w:iCs/>
          <w:spacing w:val="-3"/>
          <w:szCs w:val="24"/>
          <w:lang w:val="es-PR"/>
        </w:rPr>
        <w:t xml:space="preserve">, </w:t>
      </w:r>
      <w:r w:rsidRPr="00533993">
        <w:rPr>
          <w:rFonts w:ascii="Book Antiqua" w:hAnsi="Book Antiqua"/>
          <w:i/>
          <w:spacing w:val="-3"/>
          <w:szCs w:val="24"/>
          <w:lang w:val="es-PR"/>
        </w:rPr>
        <w:t>supra</w:t>
      </w:r>
      <w:r>
        <w:rPr>
          <w:rFonts w:ascii="Book Antiqua" w:hAnsi="Book Antiqua"/>
          <w:iCs/>
          <w:spacing w:val="-3"/>
          <w:szCs w:val="24"/>
          <w:lang w:val="es-PR"/>
        </w:rPr>
        <w:t>,</w:t>
      </w:r>
      <w:r w:rsidRPr="00533993">
        <w:rPr>
          <w:rFonts w:ascii="Book Antiqua" w:hAnsi="Book Antiqua"/>
          <w:iCs/>
          <w:spacing w:val="-3"/>
          <w:szCs w:val="24"/>
          <w:lang w:val="es-PR"/>
        </w:rPr>
        <w:t xml:space="preserve"> para requerir que todos los proyectos y planos de construcción de planteles escolares incluyan sistemas de energía renovable y de captación de agua. Aunque existe legislación previa </w:t>
      </w:r>
      <w:r>
        <w:rPr>
          <w:rFonts w:ascii="Book Antiqua" w:hAnsi="Book Antiqua"/>
          <w:iCs/>
          <w:spacing w:val="-3"/>
          <w:szCs w:val="24"/>
          <w:lang w:val="es-PR"/>
        </w:rPr>
        <w:t>(</w:t>
      </w:r>
      <w:r w:rsidRPr="00533993">
        <w:rPr>
          <w:rFonts w:ascii="Book Antiqua" w:hAnsi="Book Antiqua"/>
          <w:iCs/>
          <w:spacing w:val="-3"/>
          <w:szCs w:val="24"/>
          <w:lang w:val="es-PR"/>
        </w:rPr>
        <w:t>como la Ley 96-2005</w:t>
      </w:r>
      <w:r>
        <w:rPr>
          <w:rFonts w:ascii="Book Antiqua" w:hAnsi="Book Antiqua"/>
          <w:iCs/>
          <w:spacing w:val="-3"/>
          <w:szCs w:val="24"/>
          <w:lang w:val="es-PR"/>
        </w:rPr>
        <w:t xml:space="preserve">, </w:t>
      </w:r>
      <w:r w:rsidRPr="00533993">
        <w:rPr>
          <w:rFonts w:ascii="Book Antiqua" w:hAnsi="Book Antiqua"/>
          <w:i/>
          <w:spacing w:val="-3"/>
          <w:szCs w:val="24"/>
          <w:lang w:val="es-PR"/>
        </w:rPr>
        <w:t>supra</w:t>
      </w:r>
      <w:r>
        <w:rPr>
          <w:rFonts w:ascii="Book Antiqua" w:hAnsi="Book Antiqua"/>
          <w:iCs/>
          <w:spacing w:val="-3"/>
          <w:szCs w:val="24"/>
          <w:lang w:val="es-PR"/>
        </w:rPr>
        <w:t>)</w:t>
      </w:r>
      <w:r w:rsidRPr="00533993">
        <w:rPr>
          <w:rFonts w:ascii="Book Antiqua" w:hAnsi="Book Antiqua"/>
          <w:iCs/>
          <w:spacing w:val="-3"/>
          <w:szCs w:val="24"/>
          <w:lang w:val="es-PR"/>
        </w:rPr>
        <w:t xml:space="preserve"> que abordaba estos temas, la falta de implementación efectiva ha dejado a muchos planteles en condiciones vulnerables, </w:t>
      </w:r>
      <w:r>
        <w:rPr>
          <w:rFonts w:ascii="Book Antiqua" w:hAnsi="Book Antiqua"/>
          <w:iCs/>
          <w:spacing w:val="-3"/>
          <w:szCs w:val="24"/>
          <w:lang w:val="es-PR"/>
        </w:rPr>
        <w:t xml:space="preserve">y </w:t>
      </w:r>
      <w:r w:rsidRPr="00533993">
        <w:rPr>
          <w:rFonts w:ascii="Book Antiqua" w:hAnsi="Book Antiqua"/>
          <w:iCs/>
          <w:spacing w:val="-3"/>
          <w:szCs w:val="24"/>
          <w:lang w:val="es-PR"/>
        </w:rPr>
        <w:t>sin los recursos mínimos para operar con normalidad durante emergencias o fallos en la infraestructura.</w:t>
      </w:r>
    </w:p>
    <w:p w14:paraId="1F0FDCB5" w14:textId="77777777" w:rsidR="00533993" w:rsidRDefault="00533993" w:rsidP="00533993">
      <w:pPr>
        <w:jc w:val="both"/>
        <w:rPr>
          <w:rFonts w:ascii="Book Antiqua" w:hAnsi="Book Antiqua"/>
          <w:iCs/>
          <w:spacing w:val="-3"/>
          <w:szCs w:val="24"/>
          <w:lang w:val="es-PR"/>
        </w:rPr>
      </w:pPr>
    </w:p>
    <w:p w14:paraId="53C27BD0" w14:textId="5BD78184" w:rsidR="00533993" w:rsidRPr="00533993" w:rsidRDefault="00533993" w:rsidP="00533993">
      <w:pPr>
        <w:ind w:firstLine="720"/>
        <w:jc w:val="both"/>
        <w:rPr>
          <w:rFonts w:ascii="Book Antiqua" w:hAnsi="Book Antiqua"/>
          <w:iCs/>
          <w:spacing w:val="-3"/>
          <w:szCs w:val="24"/>
          <w:lang w:val="es-PR"/>
        </w:rPr>
      </w:pPr>
      <w:r w:rsidRPr="00533993">
        <w:rPr>
          <w:rFonts w:ascii="Book Antiqua" w:hAnsi="Book Antiqua"/>
          <w:iCs/>
          <w:spacing w:val="-3"/>
          <w:szCs w:val="24"/>
          <w:lang w:val="es-PR"/>
        </w:rPr>
        <w:t xml:space="preserve">Si bien es cierto que el Gobierno Federal ha promulgado regulaciones relacionadas con la seguridad y funcionalidad de las instalaciones escolares, la realidad puertorriqueña requiere un marco normativo propio que atienda nuestras particularidades geográficas, económicas y sociales. Las frecuentes interrupciones en el servicio eléctrico y los eventos climatológicos extremos, como huracanes y sequías, justifican plenamente la necesidad de contar con legislación estatal robusta y específica. Esta medida no solo reafirma el compromiso del </w:t>
      </w:r>
      <w:r>
        <w:rPr>
          <w:rFonts w:ascii="Book Antiqua" w:hAnsi="Book Antiqua"/>
          <w:iCs/>
          <w:spacing w:val="-3"/>
          <w:szCs w:val="24"/>
          <w:lang w:val="es-PR"/>
        </w:rPr>
        <w:t xml:space="preserve">Gobierno de Puerto Rico </w:t>
      </w:r>
      <w:r w:rsidRPr="00533993">
        <w:rPr>
          <w:rFonts w:ascii="Book Antiqua" w:hAnsi="Book Antiqua"/>
          <w:iCs/>
          <w:spacing w:val="-3"/>
          <w:szCs w:val="24"/>
          <w:lang w:val="es-PR"/>
        </w:rPr>
        <w:t>con la seguridad y el bienestar de los estudiantes y personal escolar, sino que también actualiza y consolida el marco legal vigente en función de las nuevas políticas educativas y prioridades energéticas del país.</w:t>
      </w:r>
    </w:p>
    <w:p w14:paraId="1EE18A8E" w14:textId="77777777" w:rsidR="00533993" w:rsidRDefault="00533993" w:rsidP="00533993">
      <w:pPr>
        <w:jc w:val="both"/>
        <w:rPr>
          <w:rFonts w:ascii="Book Antiqua" w:hAnsi="Book Antiqua"/>
          <w:iCs/>
          <w:spacing w:val="-3"/>
          <w:szCs w:val="24"/>
          <w:lang w:val="es-PR"/>
        </w:rPr>
      </w:pPr>
    </w:p>
    <w:p w14:paraId="6714BDEA" w14:textId="3E92C021" w:rsidR="00533993" w:rsidRPr="00533993" w:rsidRDefault="00533993" w:rsidP="00533993">
      <w:pPr>
        <w:ind w:firstLine="720"/>
        <w:jc w:val="both"/>
        <w:rPr>
          <w:rFonts w:ascii="Book Antiqua" w:hAnsi="Book Antiqua"/>
          <w:iCs/>
          <w:spacing w:val="-3"/>
          <w:szCs w:val="24"/>
          <w:lang w:val="es-PR"/>
        </w:rPr>
      </w:pPr>
      <w:r w:rsidRPr="00533993">
        <w:rPr>
          <w:rFonts w:ascii="Book Antiqua" w:hAnsi="Book Antiqua"/>
          <w:iCs/>
          <w:spacing w:val="-3"/>
          <w:szCs w:val="24"/>
          <w:lang w:val="es-PR"/>
        </w:rPr>
        <w:t>Además, al incorporar estos requisitos en la Ley de Reforma Educativa de Puerto Rico, se fortalece la coherencia normativa y se optimiza la planificación de proyectos escolares, al tiempo que se promueve una política pública responsable con el ambiente y resiliente ante desastres. Esta medida representa un paso firme hacia la modernización del sistema educativo, alineando los esfuerzos locales con las mejores prácticas en infraestructura escolar, y permitiendo que Puerto Rico acceda de manera más efectiva a fondos federales y colaboraciones con el sector privado. En definitiva, su aprobación es una inversión estratégica en la estabilidad operativa y en el derecho constitucional a la educación.</w:t>
      </w:r>
    </w:p>
    <w:p w14:paraId="44041751" w14:textId="77777777" w:rsidR="00DC0688" w:rsidRDefault="00DC0688" w:rsidP="00DC0688">
      <w:pPr>
        <w:jc w:val="both"/>
        <w:rPr>
          <w:rFonts w:ascii="Book Antiqua" w:hAnsi="Book Antiqua"/>
          <w:iCs/>
          <w:spacing w:val="-3"/>
          <w:szCs w:val="24"/>
          <w:lang w:val="es-ES_tradnl"/>
        </w:rPr>
      </w:pPr>
    </w:p>
    <w:p w14:paraId="4337A519" w14:textId="77777777" w:rsidR="00533993" w:rsidRDefault="00533993" w:rsidP="00DC0688">
      <w:pPr>
        <w:jc w:val="both"/>
        <w:rPr>
          <w:rFonts w:ascii="Book Antiqua" w:hAnsi="Book Antiqua"/>
          <w:iCs/>
          <w:spacing w:val="-3"/>
          <w:szCs w:val="24"/>
          <w:lang w:val="es-ES_tradnl"/>
        </w:rPr>
      </w:pP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2A394FE7"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374D6E">
        <w:rPr>
          <w:rFonts w:ascii="Book Antiqua" w:hAnsi="Book Antiqua"/>
          <w:szCs w:val="24"/>
          <w:lang w:val="es-ES"/>
        </w:rPr>
        <w:t>192</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Pr>
          <w:rFonts w:ascii="Book Antiqua" w:hAnsi="Book Antiqua"/>
          <w:szCs w:val="24"/>
          <w:lang w:val="es-ES"/>
        </w:rPr>
        <w:t>al</w:t>
      </w:r>
      <w:r w:rsidR="00A56440" w:rsidRPr="00140F42">
        <w:rPr>
          <w:rFonts w:ascii="Book Antiqua" w:hAnsi="Book Antiqua"/>
          <w:szCs w:val="24"/>
          <w:lang w:val="es-ES"/>
        </w:rPr>
        <w:t xml:space="preserve"> Departamento de Educación; </w:t>
      </w:r>
      <w:r w:rsidR="00D911A4">
        <w:rPr>
          <w:rFonts w:ascii="Book Antiqua" w:hAnsi="Book Antiqua"/>
          <w:szCs w:val="24"/>
          <w:lang w:val="es-ES"/>
        </w:rPr>
        <w:t>Autoridad de Edificios Públicos y Colegio de Ingenieros y Agrimensores de Puerto Rico.</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0201D957"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13801889" w14:textId="15A64C5B" w:rsidR="00A2285B" w:rsidRPr="00A2285B" w:rsidRDefault="002A0893" w:rsidP="00A2285B">
      <w:pPr>
        <w:jc w:val="both"/>
        <w:rPr>
          <w:rFonts w:ascii="Book Antiqua" w:hAnsi="Book Antiqua"/>
          <w:lang w:val="es-PR"/>
        </w:rPr>
      </w:pPr>
      <w:r>
        <w:rPr>
          <w:rFonts w:ascii="Book Antiqua" w:hAnsi="Book Antiqua"/>
          <w:szCs w:val="24"/>
          <w:lang w:val="es-ES"/>
        </w:rPr>
        <w:tab/>
      </w:r>
      <w:r w:rsidR="00EF7B8E" w:rsidRPr="007F75BB">
        <w:rPr>
          <w:rFonts w:ascii="Book Antiqua" w:hAnsi="Book Antiqua"/>
          <w:szCs w:val="24"/>
          <w:lang w:val="es-ES"/>
        </w:rPr>
        <w:t xml:space="preserve"> </w:t>
      </w:r>
      <w:r w:rsidR="00FB2E20" w:rsidRPr="007F75BB">
        <w:rPr>
          <w:rFonts w:ascii="Book Antiqua" w:hAnsi="Book Antiqua"/>
          <w:szCs w:val="24"/>
          <w:lang w:val="es-ES_tradnl"/>
        </w:rPr>
        <w:t>El Departamento de Educación de Puerto Rico (DEPR),</w:t>
      </w:r>
      <w:r w:rsidR="00C52E71" w:rsidRPr="007F75BB">
        <w:rPr>
          <w:rFonts w:ascii="Book Antiqua" w:hAnsi="Book Antiqua"/>
          <w:szCs w:val="24"/>
          <w:lang w:val="es-ES_tradnl"/>
        </w:rPr>
        <w:t xml:space="preserve"> </w:t>
      </w:r>
      <w:r w:rsidR="00A2285B" w:rsidRPr="00A2285B">
        <w:rPr>
          <w:rFonts w:ascii="Book Antiqua" w:hAnsi="Book Antiqua"/>
          <w:lang w:val="es-PR"/>
        </w:rPr>
        <w:t xml:space="preserve">expresó </w:t>
      </w:r>
      <w:r w:rsidR="00BB14FA">
        <w:rPr>
          <w:rFonts w:ascii="Book Antiqua" w:hAnsi="Book Antiqua"/>
          <w:lang w:val="es-PR"/>
        </w:rPr>
        <w:t xml:space="preserve">que la presente medida se </w:t>
      </w:r>
      <w:r w:rsidR="00A2285B" w:rsidRPr="00A2285B">
        <w:rPr>
          <w:rFonts w:ascii="Book Antiqua" w:hAnsi="Book Antiqua"/>
          <w:lang w:val="es-PR"/>
        </w:rPr>
        <w:t xml:space="preserve">alinea con los deberes constitucionales y legales de la agencia de garantizar una educación pública de calidad y libre de interrupciones. El memorial destaca que la medida busca enmendar la Ley 85-2018 para requerir que todos los proyectos de </w:t>
      </w:r>
      <w:r w:rsidR="00A2285B" w:rsidRPr="00A2285B">
        <w:rPr>
          <w:rFonts w:ascii="Book Antiqua" w:hAnsi="Book Antiqua"/>
          <w:lang w:val="es-PR"/>
        </w:rPr>
        <w:lastRenderedPageBreak/>
        <w:t xml:space="preserve">construcción escolar incluyan plantas de emergencia, sistemas de energía renovable y cisternas, asegurando así la continuidad de las labores escolares ante fallos en los servicios esenciales. </w:t>
      </w:r>
    </w:p>
    <w:p w14:paraId="1E7550B7" w14:textId="77777777" w:rsidR="00BB14FA" w:rsidRDefault="00BB14FA" w:rsidP="00A2285B">
      <w:pPr>
        <w:jc w:val="both"/>
        <w:rPr>
          <w:rFonts w:ascii="Book Antiqua" w:hAnsi="Book Antiqua"/>
          <w:szCs w:val="24"/>
          <w:lang w:val="es-PR"/>
        </w:rPr>
      </w:pPr>
    </w:p>
    <w:p w14:paraId="70B791DD" w14:textId="77777777" w:rsidR="00BB14FA" w:rsidRDefault="00A2285B" w:rsidP="00BB14FA">
      <w:pPr>
        <w:ind w:firstLine="720"/>
        <w:jc w:val="both"/>
        <w:rPr>
          <w:rFonts w:ascii="Book Antiqua" w:hAnsi="Book Antiqua"/>
          <w:szCs w:val="24"/>
          <w:lang w:val="es-PR"/>
        </w:rPr>
      </w:pPr>
      <w:r w:rsidRPr="00A2285B">
        <w:rPr>
          <w:rFonts w:ascii="Book Antiqua" w:hAnsi="Book Antiqua"/>
          <w:szCs w:val="24"/>
          <w:lang w:val="es-PR"/>
        </w:rPr>
        <w:t>El D</w:t>
      </w:r>
      <w:r w:rsidR="00BB14FA">
        <w:rPr>
          <w:rFonts w:ascii="Book Antiqua" w:hAnsi="Book Antiqua"/>
          <w:szCs w:val="24"/>
          <w:lang w:val="es-PR"/>
        </w:rPr>
        <w:t>EPR</w:t>
      </w:r>
      <w:r w:rsidRPr="00A2285B">
        <w:rPr>
          <w:rFonts w:ascii="Book Antiqua" w:hAnsi="Book Antiqua"/>
          <w:szCs w:val="24"/>
          <w:lang w:val="es-PR"/>
        </w:rPr>
        <w:t xml:space="preserve"> considera acertado derogar </w:t>
      </w:r>
      <w:r w:rsidR="00BB14FA">
        <w:rPr>
          <w:rFonts w:ascii="Book Antiqua" w:hAnsi="Book Antiqua"/>
          <w:szCs w:val="24"/>
          <w:lang w:val="es-PR"/>
        </w:rPr>
        <w:t xml:space="preserve">la </w:t>
      </w:r>
      <w:r w:rsidR="00BB14FA" w:rsidRPr="00421359">
        <w:rPr>
          <w:rFonts w:ascii="Book Antiqua" w:hAnsi="Book Antiqua"/>
          <w:szCs w:val="24"/>
          <w:lang w:val="es-PR"/>
        </w:rPr>
        <w:t>Ley 96-2005</w:t>
      </w:r>
      <w:r w:rsidR="00BB14FA">
        <w:rPr>
          <w:rFonts w:ascii="Book Antiqua" w:hAnsi="Book Antiqua"/>
          <w:szCs w:val="24"/>
          <w:lang w:val="es-PR"/>
        </w:rPr>
        <w:t xml:space="preserve">, </w:t>
      </w:r>
      <w:r w:rsidR="00BB14FA" w:rsidRPr="00BB14FA">
        <w:rPr>
          <w:rFonts w:ascii="Book Antiqua" w:hAnsi="Book Antiqua"/>
          <w:i/>
          <w:iCs/>
          <w:szCs w:val="24"/>
          <w:lang w:val="es-PR"/>
        </w:rPr>
        <w:t>supra</w:t>
      </w:r>
      <w:r w:rsidR="00BB14FA">
        <w:rPr>
          <w:rFonts w:ascii="Book Antiqua" w:hAnsi="Book Antiqua"/>
          <w:szCs w:val="24"/>
          <w:lang w:val="es-PR"/>
        </w:rPr>
        <w:t xml:space="preserve">, </w:t>
      </w:r>
      <w:r w:rsidRPr="00A2285B">
        <w:rPr>
          <w:rFonts w:ascii="Book Antiqua" w:hAnsi="Book Antiqua"/>
          <w:szCs w:val="24"/>
          <w:lang w:val="es-PR"/>
        </w:rPr>
        <w:t xml:space="preserve">y consolidar sus disposiciones dentro del marco actualizado de la Ley de Reforma Educativa. Esta integración permitirá establecer un proceso reglamentado, respaldado por agencias como la Oficina de Gerencia de Permisos y el Departamento de Recursos Naturales y Ambientales, para garantizar especificaciones adecuadas que prioricen opciones sostenibles como los sistemas fotovoltaicos. </w:t>
      </w:r>
    </w:p>
    <w:p w14:paraId="078DF73A" w14:textId="77777777" w:rsidR="00BB14FA" w:rsidRDefault="00BB14FA" w:rsidP="00BB14FA">
      <w:pPr>
        <w:ind w:firstLine="720"/>
        <w:jc w:val="both"/>
        <w:rPr>
          <w:rFonts w:ascii="Book Antiqua" w:hAnsi="Book Antiqua"/>
          <w:szCs w:val="24"/>
          <w:lang w:val="es-PR"/>
        </w:rPr>
      </w:pPr>
    </w:p>
    <w:p w14:paraId="3439FE30" w14:textId="2B176FD7" w:rsidR="00A2285B" w:rsidRPr="00A2285B" w:rsidRDefault="00A2285B" w:rsidP="00BB14FA">
      <w:pPr>
        <w:ind w:firstLine="720"/>
        <w:jc w:val="both"/>
        <w:rPr>
          <w:rFonts w:ascii="Book Antiqua" w:hAnsi="Book Antiqua"/>
          <w:szCs w:val="24"/>
          <w:lang w:val="es-PR"/>
        </w:rPr>
      </w:pPr>
      <w:r w:rsidRPr="00A2285B">
        <w:rPr>
          <w:rFonts w:ascii="Book Antiqua" w:hAnsi="Book Antiqua"/>
          <w:szCs w:val="24"/>
          <w:lang w:val="es-PR"/>
        </w:rPr>
        <w:t xml:space="preserve">También se establece la obligación del </w:t>
      </w:r>
      <w:proofErr w:type="gramStart"/>
      <w:r w:rsidRPr="00A2285B">
        <w:rPr>
          <w:rFonts w:ascii="Book Antiqua" w:hAnsi="Book Antiqua"/>
          <w:szCs w:val="24"/>
          <w:lang w:val="es-PR"/>
        </w:rPr>
        <w:t>Secretario</w:t>
      </w:r>
      <w:proofErr w:type="gramEnd"/>
      <w:r w:rsidR="00665A21">
        <w:rPr>
          <w:rFonts w:ascii="Book Antiqua" w:hAnsi="Book Antiqua"/>
          <w:szCs w:val="24"/>
          <w:lang w:val="es-PR"/>
        </w:rPr>
        <w:t xml:space="preserve"> </w:t>
      </w:r>
      <w:r w:rsidRPr="00A2285B">
        <w:rPr>
          <w:rFonts w:ascii="Book Antiqua" w:hAnsi="Book Antiqua"/>
          <w:szCs w:val="24"/>
          <w:lang w:val="es-PR"/>
        </w:rPr>
        <w:t>de Educación de elaborar informes detallados sobre los planteles existentes y gestionar alianzas con entidades públicas y privadas para maximizar el acceso a fondos, especialmente federales, que faciliten la ejecución de los requisitos de infraestructura sin cargar excesivamente el presupuesto estatal.</w:t>
      </w:r>
    </w:p>
    <w:p w14:paraId="0559A139" w14:textId="77777777" w:rsidR="00BB14FA" w:rsidRDefault="00BB14FA" w:rsidP="00A2285B">
      <w:pPr>
        <w:jc w:val="both"/>
        <w:rPr>
          <w:rFonts w:ascii="Book Antiqua" w:hAnsi="Book Antiqua"/>
          <w:szCs w:val="24"/>
          <w:lang w:val="es-PR"/>
        </w:rPr>
      </w:pPr>
    </w:p>
    <w:p w14:paraId="11A6B496" w14:textId="150F24AF" w:rsidR="00BB14FA" w:rsidRPr="00665A21" w:rsidRDefault="00BB14FA" w:rsidP="00BB14FA">
      <w:pPr>
        <w:ind w:firstLine="720"/>
        <w:jc w:val="both"/>
        <w:rPr>
          <w:rFonts w:ascii="Book Antiqua" w:hAnsi="Book Antiqua"/>
          <w:color w:val="000000" w:themeColor="text1"/>
          <w:szCs w:val="24"/>
          <w:lang w:val="es-PR"/>
        </w:rPr>
      </w:pPr>
      <w:r w:rsidRPr="00665A21">
        <w:rPr>
          <w:rFonts w:ascii="Book Antiqua" w:hAnsi="Book Antiqua"/>
          <w:color w:val="000000" w:themeColor="text1"/>
          <w:szCs w:val="24"/>
          <w:lang w:val="es-PR"/>
        </w:rPr>
        <w:t>E</w:t>
      </w:r>
      <w:r w:rsidR="00A2285B" w:rsidRPr="00A2285B">
        <w:rPr>
          <w:rFonts w:ascii="Book Antiqua" w:hAnsi="Book Antiqua"/>
          <w:color w:val="000000" w:themeColor="text1"/>
          <w:szCs w:val="24"/>
          <w:lang w:val="es-PR"/>
        </w:rPr>
        <w:t>l Departamento señala que la medida está en consonancia con su actual Programa de Escuelas INNOVA, el cual contempla</w:t>
      </w:r>
      <w:r w:rsidRPr="00665A21">
        <w:rPr>
          <w:rFonts w:ascii="Book Antiqua" w:hAnsi="Book Antiqua"/>
          <w:color w:val="000000" w:themeColor="text1"/>
          <w:szCs w:val="24"/>
          <w:lang w:val="es-PR"/>
        </w:rPr>
        <w:t xml:space="preserve"> una intervención integral en la infraestructura escolar. En dicho programa </w:t>
      </w:r>
      <w:r w:rsidR="00665A21" w:rsidRPr="00665A21">
        <w:rPr>
          <w:rFonts w:ascii="Book Antiqua" w:hAnsi="Book Antiqua"/>
          <w:color w:val="000000" w:themeColor="text1"/>
          <w:szCs w:val="24"/>
          <w:lang w:val="es-PR"/>
        </w:rPr>
        <w:t>se establece como requisito</w:t>
      </w:r>
      <w:r w:rsidR="00665A21">
        <w:rPr>
          <w:rFonts w:ascii="Book Antiqua" w:hAnsi="Book Antiqua"/>
          <w:color w:val="000000" w:themeColor="text1"/>
          <w:szCs w:val="24"/>
          <w:lang w:val="es-PR"/>
        </w:rPr>
        <w:t>,</w:t>
      </w:r>
      <w:r w:rsidR="00665A21" w:rsidRPr="00665A21">
        <w:rPr>
          <w:rFonts w:ascii="Book Antiqua" w:hAnsi="Book Antiqua"/>
          <w:color w:val="000000" w:themeColor="text1"/>
          <w:szCs w:val="24"/>
          <w:lang w:val="es-PR"/>
        </w:rPr>
        <w:t xml:space="preserve"> el</w:t>
      </w:r>
      <w:r w:rsidR="00665A21" w:rsidRPr="00665A21">
        <w:rPr>
          <w:rFonts w:ascii="Book Antiqua" w:hAnsi="Book Antiqua"/>
          <w:color w:val="000000" w:themeColor="text1"/>
          <w:spacing w:val="-8"/>
          <w:szCs w:val="24"/>
          <w:lang w:val="es-PR"/>
        </w:rPr>
        <w:t xml:space="preserve"> </w:t>
      </w:r>
      <w:r w:rsidR="00665A21" w:rsidRPr="00665A21">
        <w:rPr>
          <w:rFonts w:ascii="Book Antiqua" w:hAnsi="Book Antiqua"/>
          <w:color w:val="000000" w:themeColor="text1"/>
          <w:szCs w:val="24"/>
          <w:lang w:val="es-PR"/>
        </w:rPr>
        <w:t>diseño e</w:t>
      </w:r>
      <w:r w:rsidR="00665A21" w:rsidRPr="00665A21">
        <w:rPr>
          <w:rFonts w:ascii="Book Antiqua" w:hAnsi="Book Antiqua"/>
          <w:color w:val="000000" w:themeColor="text1"/>
          <w:spacing w:val="-16"/>
          <w:szCs w:val="24"/>
          <w:lang w:val="es-PR"/>
        </w:rPr>
        <w:t xml:space="preserve"> </w:t>
      </w:r>
      <w:r w:rsidR="00665A21" w:rsidRPr="00665A21">
        <w:rPr>
          <w:rFonts w:ascii="Book Antiqua" w:hAnsi="Book Antiqua"/>
          <w:color w:val="000000" w:themeColor="text1"/>
          <w:szCs w:val="24"/>
          <w:lang w:val="es-PR"/>
        </w:rPr>
        <w:t>instalación de</w:t>
      </w:r>
      <w:r w:rsidR="00665A21" w:rsidRPr="00665A21">
        <w:rPr>
          <w:rFonts w:ascii="Book Antiqua" w:hAnsi="Book Antiqua"/>
          <w:color w:val="000000" w:themeColor="text1"/>
          <w:spacing w:val="-6"/>
          <w:szCs w:val="24"/>
          <w:lang w:val="es-PR"/>
        </w:rPr>
        <w:t xml:space="preserve"> </w:t>
      </w:r>
      <w:r w:rsidR="00665A21" w:rsidRPr="00665A21">
        <w:rPr>
          <w:rFonts w:ascii="Book Antiqua" w:hAnsi="Book Antiqua"/>
          <w:color w:val="000000" w:themeColor="text1"/>
          <w:szCs w:val="24"/>
          <w:lang w:val="es-PR"/>
        </w:rPr>
        <w:t>generadores eléctricos de emergencia</w:t>
      </w:r>
      <w:r w:rsidR="00665A21" w:rsidRPr="00665A21">
        <w:rPr>
          <w:rFonts w:ascii="Book Antiqua" w:hAnsi="Book Antiqua"/>
          <w:color w:val="000000" w:themeColor="text1"/>
          <w:spacing w:val="40"/>
          <w:szCs w:val="24"/>
          <w:lang w:val="es-PR"/>
        </w:rPr>
        <w:t xml:space="preserve"> </w:t>
      </w:r>
      <w:r w:rsidR="00665A21" w:rsidRPr="00665A21">
        <w:rPr>
          <w:rFonts w:ascii="Book Antiqua" w:hAnsi="Book Antiqua"/>
          <w:color w:val="000000" w:themeColor="text1"/>
          <w:szCs w:val="24"/>
          <w:lang w:val="es-PR"/>
        </w:rPr>
        <w:t>y sistemas</w:t>
      </w:r>
      <w:r w:rsidR="00665A21" w:rsidRPr="00665A21">
        <w:rPr>
          <w:rFonts w:ascii="Book Antiqua" w:hAnsi="Book Antiqua"/>
          <w:color w:val="000000" w:themeColor="text1"/>
          <w:spacing w:val="40"/>
          <w:szCs w:val="24"/>
          <w:lang w:val="es-PR"/>
        </w:rPr>
        <w:t xml:space="preserve"> </w:t>
      </w:r>
      <w:r w:rsidR="00665A21" w:rsidRPr="00665A21">
        <w:rPr>
          <w:rFonts w:ascii="Book Antiqua" w:hAnsi="Book Antiqua"/>
          <w:color w:val="000000" w:themeColor="text1"/>
          <w:szCs w:val="24"/>
          <w:lang w:val="es-PR"/>
        </w:rPr>
        <w:t>de almacenamiento de agua potable (cisternas)</w:t>
      </w:r>
      <w:r w:rsidR="00665A21" w:rsidRPr="00665A21">
        <w:rPr>
          <w:rFonts w:ascii="Book Antiqua" w:hAnsi="Book Antiqua"/>
          <w:color w:val="000000" w:themeColor="text1"/>
          <w:spacing w:val="40"/>
          <w:szCs w:val="24"/>
          <w:lang w:val="es-PR"/>
        </w:rPr>
        <w:t xml:space="preserve"> </w:t>
      </w:r>
      <w:r w:rsidR="00665A21" w:rsidRPr="00665A21">
        <w:rPr>
          <w:rFonts w:ascii="Book Antiqua" w:hAnsi="Book Antiqua"/>
          <w:color w:val="000000" w:themeColor="text1"/>
          <w:szCs w:val="24"/>
          <w:lang w:val="es-PR"/>
        </w:rPr>
        <w:t>en las escuelas públicas del país. Estos sistemas deben cumplir con los</w:t>
      </w:r>
      <w:r w:rsidR="00665A21" w:rsidRPr="00665A21">
        <w:rPr>
          <w:rFonts w:ascii="Book Antiqua" w:hAnsi="Book Antiqua"/>
          <w:color w:val="000000" w:themeColor="text1"/>
          <w:spacing w:val="40"/>
          <w:szCs w:val="24"/>
          <w:lang w:val="es-PR"/>
        </w:rPr>
        <w:t xml:space="preserve"> </w:t>
      </w:r>
      <w:r w:rsidR="00665A21" w:rsidRPr="00665A21">
        <w:rPr>
          <w:rFonts w:ascii="Book Antiqua" w:hAnsi="Book Antiqua"/>
          <w:color w:val="000000" w:themeColor="text1"/>
          <w:szCs w:val="24"/>
          <w:lang w:val="es-PR"/>
        </w:rPr>
        <w:t>parámetros de</w:t>
      </w:r>
      <w:r w:rsidR="00665A21" w:rsidRPr="00665A21">
        <w:rPr>
          <w:rFonts w:ascii="Book Antiqua" w:hAnsi="Book Antiqua"/>
          <w:color w:val="000000" w:themeColor="text1"/>
          <w:spacing w:val="-10"/>
          <w:szCs w:val="24"/>
          <w:lang w:val="es-PR"/>
        </w:rPr>
        <w:t xml:space="preserve"> </w:t>
      </w:r>
      <w:r w:rsidR="00665A21" w:rsidRPr="00665A21">
        <w:rPr>
          <w:rFonts w:ascii="Book Antiqua" w:hAnsi="Book Antiqua"/>
          <w:color w:val="000000" w:themeColor="text1"/>
          <w:szCs w:val="24"/>
          <w:lang w:val="es-PR"/>
        </w:rPr>
        <w:t>capacidad y</w:t>
      </w:r>
      <w:r w:rsidR="00665A21" w:rsidRPr="00665A21">
        <w:rPr>
          <w:rFonts w:ascii="Book Antiqua" w:hAnsi="Book Antiqua"/>
          <w:color w:val="000000" w:themeColor="text1"/>
          <w:spacing w:val="-8"/>
          <w:szCs w:val="24"/>
          <w:lang w:val="es-PR"/>
        </w:rPr>
        <w:t xml:space="preserve"> </w:t>
      </w:r>
      <w:r w:rsidR="00665A21" w:rsidRPr="00665A21">
        <w:rPr>
          <w:rFonts w:ascii="Book Antiqua" w:hAnsi="Book Antiqua"/>
          <w:color w:val="000000" w:themeColor="text1"/>
          <w:szCs w:val="24"/>
          <w:lang w:val="es-PR"/>
        </w:rPr>
        <w:t>operación establecidos por los</w:t>
      </w:r>
      <w:r w:rsidR="00665A21" w:rsidRPr="00665A21">
        <w:rPr>
          <w:rFonts w:ascii="Book Antiqua" w:hAnsi="Book Antiqua"/>
          <w:color w:val="000000" w:themeColor="text1"/>
          <w:spacing w:val="-4"/>
          <w:szCs w:val="24"/>
          <w:lang w:val="es-PR"/>
        </w:rPr>
        <w:t xml:space="preserve"> </w:t>
      </w:r>
      <w:r w:rsidR="00665A21" w:rsidRPr="00665A21">
        <w:rPr>
          <w:rFonts w:ascii="Book Antiqua" w:hAnsi="Book Antiqua"/>
          <w:color w:val="000000" w:themeColor="text1"/>
          <w:szCs w:val="24"/>
          <w:lang w:val="es-PR"/>
        </w:rPr>
        <w:t xml:space="preserve">códigos aplicables </w:t>
      </w:r>
      <w:r w:rsidR="00665A21" w:rsidRPr="00665A21">
        <w:rPr>
          <w:rFonts w:ascii="Book Antiqua" w:hAnsi="Book Antiqua"/>
          <w:color w:val="000000" w:themeColor="text1"/>
          <w:spacing w:val="-4"/>
          <w:szCs w:val="24"/>
          <w:lang w:val="es-PR"/>
        </w:rPr>
        <w:t>y</w:t>
      </w:r>
      <w:r w:rsidR="00665A21" w:rsidRPr="00665A21">
        <w:rPr>
          <w:rFonts w:ascii="Book Antiqua" w:hAnsi="Book Antiqua"/>
          <w:color w:val="000000" w:themeColor="text1"/>
          <w:spacing w:val="-15"/>
          <w:szCs w:val="24"/>
          <w:lang w:val="es-PR"/>
        </w:rPr>
        <w:t xml:space="preserve"> </w:t>
      </w:r>
      <w:r w:rsidR="00665A21" w:rsidRPr="00665A21">
        <w:rPr>
          <w:rFonts w:ascii="Book Antiqua" w:hAnsi="Book Antiqua"/>
          <w:color w:val="000000" w:themeColor="text1"/>
          <w:spacing w:val="-4"/>
          <w:szCs w:val="24"/>
          <w:lang w:val="es-PR"/>
        </w:rPr>
        <w:t>vigentes,</w:t>
      </w:r>
      <w:r w:rsidR="00665A21" w:rsidRPr="00665A21">
        <w:rPr>
          <w:rFonts w:ascii="Book Antiqua" w:hAnsi="Book Antiqua"/>
          <w:color w:val="000000" w:themeColor="text1"/>
          <w:spacing w:val="-15"/>
          <w:szCs w:val="24"/>
          <w:lang w:val="es-PR"/>
        </w:rPr>
        <w:t xml:space="preserve"> </w:t>
      </w:r>
      <w:r w:rsidR="00665A21" w:rsidRPr="00665A21">
        <w:rPr>
          <w:rFonts w:ascii="Book Antiqua" w:hAnsi="Book Antiqua"/>
          <w:color w:val="000000" w:themeColor="text1"/>
          <w:spacing w:val="-4"/>
          <w:szCs w:val="24"/>
          <w:lang w:val="es-PR"/>
        </w:rPr>
        <w:t>incluyendo</w:t>
      </w:r>
      <w:r w:rsidR="00665A21" w:rsidRPr="00665A21">
        <w:rPr>
          <w:rFonts w:ascii="Book Antiqua" w:hAnsi="Book Antiqua"/>
          <w:color w:val="000000" w:themeColor="text1"/>
          <w:spacing w:val="-15"/>
          <w:szCs w:val="24"/>
          <w:lang w:val="es-PR"/>
        </w:rPr>
        <w:t xml:space="preserve"> </w:t>
      </w:r>
      <w:r w:rsidR="00665A21" w:rsidRPr="00665A21">
        <w:rPr>
          <w:rFonts w:ascii="Book Antiqua" w:hAnsi="Book Antiqua"/>
          <w:color w:val="000000" w:themeColor="text1"/>
          <w:spacing w:val="-4"/>
          <w:szCs w:val="24"/>
          <w:lang w:val="es-PR"/>
        </w:rPr>
        <w:t>el</w:t>
      </w:r>
      <w:r w:rsidR="00665A21" w:rsidRPr="00665A21">
        <w:rPr>
          <w:rFonts w:ascii="Book Antiqua" w:hAnsi="Book Antiqua"/>
          <w:color w:val="000000" w:themeColor="text1"/>
          <w:spacing w:val="-15"/>
          <w:szCs w:val="24"/>
          <w:lang w:val="es-PR"/>
        </w:rPr>
        <w:t xml:space="preserve"> </w:t>
      </w:r>
      <w:r w:rsidR="00665A21" w:rsidRPr="00665A21">
        <w:rPr>
          <w:rFonts w:ascii="Book Antiqua" w:hAnsi="Book Antiqua"/>
          <w:color w:val="000000" w:themeColor="text1"/>
          <w:spacing w:val="-4"/>
          <w:szCs w:val="24"/>
          <w:lang w:val="es-PR"/>
        </w:rPr>
        <w:t>Código</w:t>
      </w:r>
      <w:r w:rsidR="00665A21" w:rsidRPr="00665A21">
        <w:rPr>
          <w:rFonts w:ascii="Book Antiqua" w:hAnsi="Book Antiqua"/>
          <w:color w:val="000000" w:themeColor="text1"/>
          <w:spacing w:val="-14"/>
          <w:szCs w:val="24"/>
          <w:lang w:val="es-PR"/>
        </w:rPr>
        <w:t xml:space="preserve"> </w:t>
      </w:r>
      <w:r w:rsidR="00665A21" w:rsidRPr="00665A21">
        <w:rPr>
          <w:rFonts w:ascii="Book Antiqua" w:hAnsi="Book Antiqua"/>
          <w:color w:val="000000" w:themeColor="text1"/>
          <w:spacing w:val="-4"/>
          <w:szCs w:val="24"/>
          <w:lang w:val="es-PR"/>
        </w:rPr>
        <w:t>de</w:t>
      </w:r>
      <w:r w:rsidR="00665A21" w:rsidRPr="00665A21">
        <w:rPr>
          <w:rFonts w:ascii="Book Antiqua" w:hAnsi="Book Antiqua"/>
          <w:color w:val="000000" w:themeColor="text1"/>
          <w:spacing w:val="-15"/>
          <w:szCs w:val="24"/>
          <w:lang w:val="es-PR"/>
        </w:rPr>
        <w:t xml:space="preserve"> </w:t>
      </w:r>
      <w:r w:rsidR="00665A21" w:rsidRPr="00665A21">
        <w:rPr>
          <w:rFonts w:ascii="Book Antiqua" w:hAnsi="Book Antiqua"/>
          <w:color w:val="000000" w:themeColor="text1"/>
          <w:spacing w:val="-4"/>
          <w:szCs w:val="24"/>
          <w:lang w:val="es-PR"/>
        </w:rPr>
        <w:t>Construcción</w:t>
      </w:r>
      <w:r w:rsidR="00665A21" w:rsidRPr="00665A21">
        <w:rPr>
          <w:rFonts w:ascii="Book Antiqua" w:hAnsi="Book Antiqua"/>
          <w:color w:val="000000" w:themeColor="text1"/>
          <w:spacing w:val="-5"/>
          <w:szCs w:val="24"/>
          <w:lang w:val="es-PR"/>
        </w:rPr>
        <w:t xml:space="preserve"> </w:t>
      </w:r>
      <w:r w:rsidR="00665A21" w:rsidRPr="00665A21">
        <w:rPr>
          <w:rFonts w:ascii="Book Antiqua" w:hAnsi="Book Antiqua"/>
          <w:color w:val="000000" w:themeColor="text1"/>
          <w:spacing w:val="-4"/>
          <w:szCs w:val="24"/>
          <w:lang w:val="es-PR"/>
        </w:rPr>
        <w:t>de</w:t>
      </w:r>
      <w:r w:rsidR="00665A21" w:rsidRPr="00665A21">
        <w:rPr>
          <w:rFonts w:ascii="Book Antiqua" w:hAnsi="Book Antiqua"/>
          <w:color w:val="000000" w:themeColor="text1"/>
          <w:spacing w:val="-15"/>
          <w:szCs w:val="24"/>
          <w:lang w:val="es-PR"/>
        </w:rPr>
        <w:t xml:space="preserve"> </w:t>
      </w:r>
      <w:r w:rsidR="00665A21" w:rsidRPr="00665A21">
        <w:rPr>
          <w:rFonts w:ascii="Book Antiqua" w:hAnsi="Book Antiqua"/>
          <w:color w:val="000000" w:themeColor="text1"/>
          <w:spacing w:val="-4"/>
          <w:szCs w:val="24"/>
          <w:lang w:val="es-PR"/>
        </w:rPr>
        <w:t>Puerto</w:t>
      </w:r>
      <w:r w:rsidR="00665A21" w:rsidRPr="00665A21">
        <w:rPr>
          <w:rFonts w:ascii="Book Antiqua" w:hAnsi="Book Antiqua"/>
          <w:color w:val="000000" w:themeColor="text1"/>
          <w:spacing w:val="-12"/>
          <w:szCs w:val="24"/>
          <w:lang w:val="es-PR"/>
        </w:rPr>
        <w:t xml:space="preserve"> </w:t>
      </w:r>
      <w:r w:rsidR="00665A21" w:rsidRPr="00665A21">
        <w:rPr>
          <w:rFonts w:ascii="Book Antiqua" w:hAnsi="Book Antiqua"/>
          <w:color w:val="000000" w:themeColor="text1"/>
          <w:spacing w:val="-4"/>
          <w:szCs w:val="24"/>
          <w:lang w:val="es-PR"/>
        </w:rPr>
        <w:t>Rico</w:t>
      </w:r>
      <w:r w:rsidR="00665A21" w:rsidRPr="00665A21">
        <w:rPr>
          <w:rFonts w:ascii="Book Antiqua" w:hAnsi="Book Antiqua"/>
          <w:color w:val="000000" w:themeColor="text1"/>
          <w:szCs w:val="24"/>
          <w:lang w:val="es-PR"/>
        </w:rPr>
        <w:t xml:space="preserve"> </w:t>
      </w:r>
      <w:r w:rsidR="00665A21" w:rsidRPr="00665A21">
        <w:rPr>
          <w:rFonts w:ascii="Book Antiqua" w:hAnsi="Book Antiqua"/>
          <w:color w:val="000000" w:themeColor="text1"/>
          <w:spacing w:val="-4"/>
          <w:szCs w:val="24"/>
          <w:lang w:val="es-PR"/>
        </w:rPr>
        <w:t>(PRBC),</w:t>
      </w:r>
      <w:r w:rsidR="00665A21" w:rsidRPr="00665A21">
        <w:rPr>
          <w:rFonts w:ascii="Book Antiqua" w:hAnsi="Book Antiqua"/>
          <w:color w:val="000000" w:themeColor="text1"/>
          <w:spacing w:val="-15"/>
          <w:szCs w:val="24"/>
          <w:lang w:val="es-PR"/>
        </w:rPr>
        <w:t xml:space="preserve"> </w:t>
      </w:r>
      <w:r w:rsidR="00665A21" w:rsidRPr="00665A21">
        <w:rPr>
          <w:rFonts w:ascii="Book Antiqua" w:hAnsi="Book Antiqua"/>
          <w:color w:val="000000" w:themeColor="text1"/>
          <w:spacing w:val="-4"/>
          <w:szCs w:val="24"/>
          <w:lang w:val="es-PR"/>
        </w:rPr>
        <w:t xml:space="preserve">NFPA, </w:t>
      </w:r>
      <w:r w:rsidR="00665A21" w:rsidRPr="00665A21">
        <w:rPr>
          <w:rFonts w:ascii="Book Antiqua" w:hAnsi="Book Antiqua"/>
          <w:color w:val="000000" w:themeColor="text1"/>
          <w:szCs w:val="24"/>
          <w:lang w:val="es-PR"/>
        </w:rPr>
        <w:t>y otras normas relacionadas</w:t>
      </w:r>
      <w:r w:rsidR="00665A21">
        <w:rPr>
          <w:rFonts w:ascii="Book Antiqua" w:hAnsi="Book Antiqua"/>
          <w:color w:val="000000" w:themeColor="text1"/>
          <w:szCs w:val="24"/>
          <w:lang w:val="es-PR"/>
        </w:rPr>
        <w:t>.</w:t>
      </w:r>
    </w:p>
    <w:p w14:paraId="6E655B1C" w14:textId="77777777" w:rsidR="00BB14FA" w:rsidRDefault="00BB14FA" w:rsidP="00BB14FA">
      <w:pPr>
        <w:ind w:firstLine="720"/>
        <w:jc w:val="both"/>
        <w:rPr>
          <w:rFonts w:ascii="Book Antiqua" w:hAnsi="Book Antiqua"/>
          <w:szCs w:val="24"/>
          <w:lang w:val="es-PR"/>
        </w:rPr>
      </w:pPr>
    </w:p>
    <w:p w14:paraId="2FD936AE" w14:textId="7DA4EE0A" w:rsidR="00A2285B" w:rsidRPr="00A2285B" w:rsidRDefault="00665A21" w:rsidP="00BB14FA">
      <w:pPr>
        <w:ind w:firstLine="720"/>
        <w:jc w:val="both"/>
        <w:rPr>
          <w:rFonts w:ascii="Book Antiqua" w:hAnsi="Book Antiqua"/>
          <w:szCs w:val="24"/>
          <w:lang w:val="es-PR"/>
        </w:rPr>
      </w:pPr>
      <w:r w:rsidRPr="00665A21">
        <w:rPr>
          <w:rFonts w:ascii="Book Antiqua" w:hAnsi="Book Antiqua"/>
          <w:color w:val="000000" w:themeColor="text1"/>
          <w:szCs w:val="24"/>
          <w:lang w:val="es-PR"/>
        </w:rPr>
        <w:t>Para aquellas instalaciones identificadas como refugios certificados, las especificaciones técnicas de capacidad para los generadores y las cisternas deben ser ampliadas conforme a los</w:t>
      </w:r>
      <w:r w:rsidRPr="00665A21">
        <w:rPr>
          <w:rFonts w:ascii="Book Antiqua" w:hAnsi="Book Antiqua"/>
          <w:color w:val="000000" w:themeColor="text1"/>
          <w:spacing w:val="-1"/>
          <w:szCs w:val="24"/>
          <w:lang w:val="es-PR"/>
        </w:rPr>
        <w:t xml:space="preserve"> </w:t>
      </w:r>
      <w:r w:rsidRPr="00665A21">
        <w:rPr>
          <w:rFonts w:ascii="Book Antiqua" w:hAnsi="Book Antiqua"/>
          <w:color w:val="000000" w:themeColor="text1"/>
          <w:szCs w:val="24"/>
          <w:lang w:val="es-PR"/>
        </w:rPr>
        <w:t>criterios establecidos para instalaciones de uso crítico, asegurando autonomía operativa conforme a los requisitos mínimos establecidos para refugios de emergencia</w:t>
      </w:r>
      <w:r>
        <w:rPr>
          <w:rFonts w:ascii="Book Antiqua" w:hAnsi="Book Antiqua"/>
          <w:color w:val="000000" w:themeColor="text1"/>
          <w:szCs w:val="24"/>
          <w:lang w:val="es-PR"/>
        </w:rPr>
        <w:t xml:space="preserve">. Concluyen reiterando </w:t>
      </w:r>
      <w:r w:rsidR="00A2285B" w:rsidRPr="00A2285B">
        <w:rPr>
          <w:rFonts w:ascii="Book Antiqua" w:hAnsi="Book Antiqua"/>
          <w:szCs w:val="24"/>
          <w:lang w:val="es-PR"/>
        </w:rPr>
        <w:t>su compromiso con la implementación efectiva de esta política pública, y su disposición para colaborar con la Asamblea Legislativa en la ejecución de los objetivos del proyecto.</w:t>
      </w:r>
    </w:p>
    <w:p w14:paraId="7D152FF8" w14:textId="3B137060" w:rsidR="009839D2" w:rsidRDefault="009839D2" w:rsidP="00D911A4">
      <w:pPr>
        <w:jc w:val="both"/>
        <w:rPr>
          <w:rFonts w:ascii="Book Antiqua" w:hAnsi="Book Antiqua"/>
          <w:szCs w:val="24"/>
          <w:lang w:val="es-ES_tradnl"/>
        </w:rPr>
      </w:pPr>
    </w:p>
    <w:p w14:paraId="7482C4F3" w14:textId="77777777" w:rsidR="00D911A4" w:rsidRDefault="00D911A4" w:rsidP="00D911A4">
      <w:pPr>
        <w:jc w:val="both"/>
        <w:rPr>
          <w:rFonts w:ascii="Book Antiqua" w:hAnsi="Book Antiqua"/>
          <w:szCs w:val="24"/>
          <w:lang w:val="es-ES_tradnl"/>
        </w:rPr>
      </w:pPr>
    </w:p>
    <w:p w14:paraId="2B38D11F" w14:textId="77777777" w:rsidR="00D911A4" w:rsidRDefault="00D911A4" w:rsidP="009839D2">
      <w:pPr>
        <w:jc w:val="center"/>
        <w:rPr>
          <w:rFonts w:ascii="Book Antiqua" w:hAnsi="Book Antiqua"/>
          <w:b/>
          <w:bCs/>
          <w:u w:val="single"/>
          <w:lang w:val="es-PR"/>
        </w:rPr>
      </w:pPr>
    </w:p>
    <w:p w14:paraId="48CC8714" w14:textId="5528EC50" w:rsidR="00AF1F99" w:rsidRPr="00D911A4" w:rsidRDefault="00D911A4" w:rsidP="00AF1F99">
      <w:pPr>
        <w:tabs>
          <w:tab w:val="left" w:pos="-720"/>
        </w:tabs>
        <w:suppressAutoHyphens/>
        <w:spacing w:before="120" w:after="120"/>
        <w:jc w:val="center"/>
        <w:rPr>
          <w:rFonts w:ascii="Book Antiqua" w:hAnsi="Book Antiqua"/>
          <w:b/>
          <w:bCs/>
          <w:u w:val="single"/>
          <w:lang w:val="es-ES_tradnl"/>
        </w:rPr>
      </w:pPr>
      <w:r w:rsidRPr="00D911A4">
        <w:rPr>
          <w:rFonts w:ascii="Book Antiqua" w:hAnsi="Book Antiqua"/>
          <w:b/>
          <w:bCs/>
          <w:szCs w:val="24"/>
          <w:u w:val="single"/>
          <w:lang w:val="es-ES"/>
        </w:rPr>
        <w:t>AUTORIDAD DE EDIFICIOS PÚBLICOS</w:t>
      </w:r>
    </w:p>
    <w:p w14:paraId="0BD53BA8" w14:textId="77777777" w:rsidR="000E2480" w:rsidRDefault="000E2480" w:rsidP="00A56440">
      <w:pPr>
        <w:jc w:val="both"/>
        <w:rPr>
          <w:rFonts w:ascii="Book Antiqua" w:hAnsi="Book Antiqua"/>
          <w:b/>
          <w:bCs/>
          <w:lang w:val="es-ES_tradnl"/>
        </w:rPr>
      </w:pPr>
    </w:p>
    <w:p w14:paraId="64383F41" w14:textId="7C7EECF1" w:rsidR="00665A21" w:rsidRPr="00665A21" w:rsidRDefault="00665A21" w:rsidP="00665A21">
      <w:pPr>
        <w:ind w:firstLine="720"/>
        <w:jc w:val="both"/>
        <w:rPr>
          <w:rFonts w:ascii="Book Antiqua" w:hAnsi="Book Antiqua"/>
          <w:lang w:val="es-PR"/>
        </w:rPr>
      </w:pPr>
      <w:r w:rsidRPr="00665A21">
        <w:rPr>
          <w:rFonts w:ascii="Book Antiqua" w:hAnsi="Book Antiqua"/>
          <w:lang w:val="es-PR"/>
        </w:rPr>
        <w:t xml:space="preserve">La Autoridad de Edificios Públicos (AEP) expresó </w:t>
      </w:r>
      <w:r>
        <w:rPr>
          <w:rFonts w:ascii="Book Antiqua" w:hAnsi="Book Antiqua"/>
          <w:lang w:val="es-PR"/>
        </w:rPr>
        <w:t xml:space="preserve">estar de acuerdo </w:t>
      </w:r>
      <w:r w:rsidRPr="00665A21">
        <w:rPr>
          <w:rFonts w:ascii="Book Antiqua" w:hAnsi="Book Antiqua"/>
          <w:lang w:val="es-PR"/>
        </w:rPr>
        <w:t xml:space="preserve">con los objetivos que persigue el Proyecto del Senado 192, y reconoció la importancia y urgencia de adoptar medidas legislativas que garanticen la continuidad de las labores escolares aún en circunstancias de interrupciones en los servicios esenciales como la energía </w:t>
      </w:r>
      <w:r w:rsidRPr="00665A21">
        <w:rPr>
          <w:rFonts w:ascii="Book Antiqua" w:hAnsi="Book Antiqua"/>
          <w:lang w:val="es-PR"/>
        </w:rPr>
        <w:lastRenderedPageBreak/>
        <w:t>eléctrica y el agua potable. La AEP identificó la medida como una respuesta legislativa necesaria para enfrentar los desafíos estructurales y operacionales que experimentan muchos planteles escolares en Puerto Rico ante eventos fortuitos, como desastres naturales o deficiencias en la infraestructura energética e hídrica del país.</w:t>
      </w:r>
    </w:p>
    <w:p w14:paraId="646C2919" w14:textId="77777777" w:rsidR="00665A21" w:rsidRDefault="00665A21" w:rsidP="00665A21">
      <w:pPr>
        <w:jc w:val="both"/>
        <w:rPr>
          <w:rFonts w:ascii="Book Antiqua" w:hAnsi="Book Antiqua"/>
          <w:lang w:val="es-PR"/>
        </w:rPr>
      </w:pPr>
    </w:p>
    <w:p w14:paraId="5CDF871D" w14:textId="4B302648" w:rsidR="00665A21" w:rsidRPr="00665A21" w:rsidRDefault="00665A21" w:rsidP="00665A21">
      <w:pPr>
        <w:ind w:firstLine="720"/>
        <w:jc w:val="both"/>
        <w:rPr>
          <w:rFonts w:ascii="Book Antiqua" w:hAnsi="Book Antiqua"/>
          <w:lang w:val="es-PR"/>
        </w:rPr>
      </w:pPr>
      <w:r w:rsidRPr="00665A21">
        <w:rPr>
          <w:rFonts w:ascii="Book Antiqua" w:hAnsi="Book Antiqua"/>
          <w:lang w:val="es-PR"/>
        </w:rPr>
        <w:t>La Autoridad reconoció que el propósito del proyecto es encomiable, ya que la interrupción de clases debido a fallas en estos servicios esenciales tiene consecuencias directas sobre el aprovechamiento académico de los estudiantes, así como en la ejecución de los planes de trabajo del personal docente y no docente. Al disponer que todos los nuevos proyectos de construcción de escuelas públicas incluyan plantas de emergencia, sistemas de energía renovable, cisternas y mecanismos alternos de captación de agua</w:t>
      </w:r>
      <w:r w:rsidR="005459BD">
        <w:rPr>
          <w:rFonts w:ascii="Book Antiqua" w:hAnsi="Book Antiqua"/>
          <w:lang w:val="es-PR"/>
        </w:rPr>
        <w:t>;</w:t>
      </w:r>
      <w:r w:rsidRPr="00665A21">
        <w:rPr>
          <w:rFonts w:ascii="Book Antiqua" w:hAnsi="Book Antiqua"/>
          <w:lang w:val="es-PR"/>
        </w:rPr>
        <w:t xml:space="preserve"> la medida fortalece los pilares de resiliencia y continuidad educativa. Esta visión preventiva y sustentable representa un paso firme hacia la modernización del sistema educativo y de la infraestructura pública en la </w:t>
      </w:r>
      <w:r w:rsidR="005459BD">
        <w:rPr>
          <w:rFonts w:ascii="Book Antiqua" w:hAnsi="Book Antiqua"/>
          <w:lang w:val="es-PR"/>
        </w:rPr>
        <w:t>I</w:t>
      </w:r>
      <w:r w:rsidRPr="00665A21">
        <w:rPr>
          <w:rFonts w:ascii="Book Antiqua" w:hAnsi="Book Antiqua"/>
          <w:lang w:val="es-PR"/>
        </w:rPr>
        <w:t>sla.</w:t>
      </w:r>
    </w:p>
    <w:p w14:paraId="350089FB" w14:textId="77777777" w:rsidR="00665A21" w:rsidRDefault="00665A21" w:rsidP="00665A21">
      <w:pPr>
        <w:jc w:val="both"/>
        <w:rPr>
          <w:rFonts w:ascii="Book Antiqua" w:hAnsi="Book Antiqua"/>
          <w:lang w:val="es-PR"/>
        </w:rPr>
      </w:pPr>
    </w:p>
    <w:p w14:paraId="064F4FF6" w14:textId="247198D3" w:rsidR="00665A21" w:rsidRPr="00665A21" w:rsidRDefault="00665A21" w:rsidP="005459BD">
      <w:pPr>
        <w:ind w:firstLine="720"/>
        <w:jc w:val="both"/>
        <w:rPr>
          <w:rFonts w:ascii="Book Antiqua" w:hAnsi="Book Antiqua"/>
          <w:lang w:val="es-PR"/>
        </w:rPr>
      </w:pPr>
      <w:r w:rsidRPr="00665A21">
        <w:rPr>
          <w:rFonts w:ascii="Book Antiqua" w:hAnsi="Book Antiqua"/>
          <w:lang w:val="es-PR"/>
        </w:rPr>
        <w:t>Sin embargo, aunque la AEP apoya la aprobación del proyecto, planteó varias recomendaciones técnicas que, desde su perspectiva, deben considerarse para asegurar una implementación efectiva y sostenible. En primer lugar, destacó que, por tratarse de la entidad pública especializada en el diseño, construcción, remodelación y mantenimiento de estructuras gubernamentales, le corresponde participar desde la etapa inicial en el análisis y aprobación de las especificaciones técnicas relacionadas con los equipos propuestos. Esta participación debe ser en coordinación con el Departamento de Educación, la Oficina de Gerencia de Permisos (</w:t>
      </w:r>
      <w:proofErr w:type="spellStart"/>
      <w:r w:rsidRPr="00665A21">
        <w:rPr>
          <w:rFonts w:ascii="Book Antiqua" w:hAnsi="Book Antiqua"/>
          <w:lang w:val="es-PR"/>
        </w:rPr>
        <w:t>OGPe</w:t>
      </w:r>
      <w:proofErr w:type="spellEnd"/>
      <w:r w:rsidRPr="00665A21">
        <w:rPr>
          <w:rFonts w:ascii="Book Antiqua" w:hAnsi="Book Antiqua"/>
          <w:lang w:val="es-PR"/>
        </w:rPr>
        <w:t>) y el Departamento de Recursos Naturales y Ambientales (DRNA), de modo que se logre una reglamentación coherente, práctica y conforme a los estándares vigentes.</w:t>
      </w:r>
    </w:p>
    <w:p w14:paraId="304D8A01" w14:textId="77777777" w:rsidR="00665A21" w:rsidRDefault="00665A21" w:rsidP="00665A21">
      <w:pPr>
        <w:jc w:val="both"/>
        <w:rPr>
          <w:rFonts w:ascii="Book Antiqua" w:hAnsi="Book Antiqua"/>
          <w:lang w:val="es-PR"/>
        </w:rPr>
      </w:pPr>
    </w:p>
    <w:p w14:paraId="49323222" w14:textId="69A272C2" w:rsidR="00665A21" w:rsidRPr="00665A21" w:rsidRDefault="00665A21" w:rsidP="008A0FB2">
      <w:pPr>
        <w:ind w:firstLine="720"/>
        <w:jc w:val="both"/>
        <w:rPr>
          <w:rFonts w:ascii="Book Antiqua" w:hAnsi="Book Antiqua"/>
          <w:lang w:val="es-PR"/>
        </w:rPr>
      </w:pPr>
      <w:r w:rsidRPr="00665A21">
        <w:rPr>
          <w:rFonts w:ascii="Book Antiqua" w:hAnsi="Book Antiqua"/>
          <w:lang w:val="es-PR"/>
        </w:rPr>
        <w:t xml:space="preserve">Además, la Autoridad hizo énfasis en que, al considerarse estos nuevos sistemas como parte integral de la infraestructura de los planteles, debe contemplarse también la planificación de los recursos para el mantenimiento y reparación de dichos equipos. La sostenibilidad de esta política pública depende en gran medida de que los generadores, cisternas y sistemas fotovoltaicos funcionen adecuadamente a largo plazo, lo cual requiere una estrategia clara de conservación. En este sentido, reiteró que el dueño de la obra </w:t>
      </w:r>
      <w:r>
        <w:rPr>
          <w:rFonts w:ascii="Book Antiqua" w:hAnsi="Book Antiqua"/>
          <w:lang w:val="es-PR"/>
        </w:rPr>
        <w:t>(</w:t>
      </w:r>
      <w:r w:rsidRPr="00665A21">
        <w:rPr>
          <w:rFonts w:ascii="Book Antiqua" w:hAnsi="Book Antiqua"/>
          <w:lang w:val="es-PR"/>
        </w:rPr>
        <w:t>el Departamento de Educación u otra agencia pertinente</w:t>
      </w:r>
      <w:r>
        <w:rPr>
          <w:rFonts w:ascii="Book Antiqua" w:hAnsi="Book Antiqua"/>
          <w:lang w:val="es-PR"/>
        </w:rPr>
        <w:t xml:space="preserve">) </w:t>
      </w:r>
      <w:r w:rsidRPr="00665A21">
        <w:rPr>
          <w:rFonts w:ascii="Book Antiqua" w:hAnsi="Book Antiqua"/>
          <w:lang w:val="es-PR"/>
        </w:rPr>
        <w:t>debe asumir la responsabilidad directa de la operación y mantenimiento de los equipos instalados.</w:t>
      </w:r>
    </w:p>
    <w:p w14:paraId="4313CCBE" w14:textId="77777777" w:rsidR="008A0FB2" w:rsidRDefault="008A0FB2" w:rsidP="00665A21">
      <w:pPr>
        <w:jc w:val="both"/>
        <w:rPr>
          <w:rFonts w:ascii="Book Antiqua" w:hAnsi="Book Antiqua"/>
          <w:lang w:val="es-PR"/>
        </w:rPr>
      </w:pPr>
    </w:p>
    <w:p w14:paraId="25BA20C3" w14:textId="3EB025D8" w:rsidR="00665A21" w:rsidRPr="00665A21" w:rsidRDefault="00665A21" w:rsidP="008A0FB2">
      <w:pPr>
        <w:ind w:firstLine="720"/>
        <w:jc w:val="both"/>
        <w:rPr>
          <w:rFonts w:ascii="Book Antiqua" w:hAnsi="Book Antiqua"/>
          <w:lang w:val="es-PR"/>
        </w:rPr>
      </w:pPr>
      <w:r w:rsidRPr="00665A21">
        <w:rPr>
          <w:rFonts w:ascii="Book Antiqua" w:hAnsi="Book Antiqua"/>
          <w:lang w:val="es-PR"/>
        </w:rPr>
        <w:t>Finalmente, la AEP reiteró su compromiso institucional con el desarrollo y conservación de instalaciones públicas modernas, resilientes y funcionales, y reafirmó su disposición de colaborar con la Asamblea Legislativa y con las agencias pertinentes para cumplir con los objetivos de esta legislación</w:t>
      </w:r>
      <w:r w:rsidR="008A0FB2">
        <w:rPr>
          <w:rFonts w:ascii="Book Antiqua" w:hAnsi="Book Antiqua"/>
          <w:lang w:val="es-PR"/>
        </w:rPr>
        <w:t xml:space="preserve">, por lo que </w:t>
      </w:r>
      <w:r w:rsidRPr="00665A21">
        <w:rPr>
          <w:rFonts w:ascii="Book Antiqua" w:hAnsi="Book Antiqua"/>
          <w:lang w:val="es-PR"/>
        </w:rPr>
        <w:t>apoya</w:t>
      </w:r>
      <w:r w:rsidR="008A0FB2">
        <w:rPr>
          <w:rFonts w:ascii="Book Antiqua" w:hAnsi="Book Antiqua"/>
          <w:lang w:val="es-PR"/>
        </w:rPr>
        <w:t>n</w:t>
      </w:r>
      <w:r w:rsidRPr="00665A21">
        <w:rPr>
          <w:rFonts w:ascii="Book Antiqua" w:hAnsi="Book Antiqua"/>
          <w:lang w:val="es-PR"/>
        </w:rPr>
        <w:t xml:space="preserve"> firmemente su aprobación, al entender que representa un avance significativo en la protección del derecho a la educación, el fortalecimiento de la infraestructura pública y la resiliencia del sistema escolar ante futuras contingencias.</w:t>
      </w:r>
    </w:p>
    <w:p w14:paraId="0ECBABCC" w14:textId="77777777" w:rsidR="00D911A4" w:rsidRPr="00665A21" w:rsidRDefault="00D911A4" w:rsidP="00A56440">
      <w:pPr>
        <w:jc w:val="both"/>
        <w:rPr>
          <w:rFonts w:ascii="Book Antiqua" w:hAnsi="Book Antiqua"/>
          <w:lang w:val="es-ES_tradnl"/>
        </w:rPr>
      </w:pPr>
    </w:p>
    <w:p w14:paraId="100A60BD" w14:textId="77777777" w:rsidR="00665A21" w:rsidRDefault="00665A21" w:rsidP="00A56440">
      <w:pPr>
        <w:jc w:val="both"/>
        <w:rPr>
          <w:rFonts w:ascii="Book Antiqua" w:hAnsi="Book Antiqua"/>
          <w:b/>
          <w:bCs/>
          <w:lang w:val="es-ES_tradnl"/>
        </w:rPr>
      </w:pPr>
    </w:p>
    <w:p w14:paraId="73D69C5F" w14:textId="77777777" w:rsidR="00665A21" w:rsidRDefault="00665A21" w:rsidP="00A56440">
      <w:pPr>
        <w:jc w:val="both"/>
        <w:rPr>
          <w:rFonts w:ascii="Book Antiqua" w:hAnsi="Book Antiqua"/>
          <w:b/>
          <w:bCs/>
          <w:lang w:val="es-ES_tradnl"/>
        </w:rPr>
      </w:pPr>
    </w:p>
    <w:p w14:paraId="2AA8D67F" w14:textId="4F7EB170" w:rsidR="00D911A4" w:rsidRPr="00D911A4" w:rsidRDefault="00D911A4" w:rsidP="00D911A4">
      <w:pPr>
        <w:jc w:val="center"/>
        <w:rPr>
          <w:rFonts w:ascii="Book Antiqua" w:hAnsi="Book Antiqua"/>
          <w:b/>
          <w:bCs/>
          <w:u w:val="single"/>
          <w:lang w:val="es-ES_tradnl"/>
        </w:rPr>
      </w:pPr>
      <w:r w:rsidRPr="00D911A4">
        <w:rPr>
          <w:rFonts w:ascii="Book Antiqua" w:hAnsi="Book Antiqua"/>
          <w:b/>
          <w:bCs/>
          <w:szCs w:val="24"/>
          <w:u w:val="single"/>
          <w:lang w:val="es-ES"/>
        </w:rPr>
        <w:t>COLEGIO DE INGENIEROS Y AGRIMENSORES DE PUERTO RICO</w:t>
      </w:r>
    </w:p>
    <w:p w14:paraId="7E569B86" w14:textId="77777777" w:rsidR="00D911A4" w:rsidRDefault="00D911A4" w:rsidP="00A56440">
      <w:pPr>
        <w:jc w:val="both"/>
        <w:rPr>
          <w:rFonts w:ascii="Book Antiqua" w:hAnsi="Book Antiqua"/>
          <w:b/>
          <w:bCs/>
          <w:lang w:val="es-ES_tradnl"/>
        </w:rPr>
      </w:pPr>
    </w:p>
    <w:p w14:paraId="0E3B77E1" w14:textId="77777777" w:rsidR="008A0FB2" w:rsidRDefault="008A0FB2" w:rsidP="008A0FB2">
      <w:pPr>
        <w:ind w:firstLine="720"/>
        <w:jc w:val="both"/>
        <w:rPr>
          <w:rFonts w:ascii="Book Antiqua" w:hAnsi="Book Antiqua"/>
          <w:lang w:val="es-PR"/>
        </w:rPr>
      </w:pPr>
      <w:r w:rsidRPr="008A0FB2">
        <w:rPr>
          <w:rFonts w:ascii="Book Antiqua" w:hAnsi="Book Antiqua"/>
          <w:lang w:val="es-PR"/>
        </w:rPr>
        <w:t xml:space="preserve">El Colegio de Ingenieros y Agrimensores de Puerto Rico (CIAPR) expresó su apoyo al Proyecto del Senado 192, reconociendo que la medida representa un avance significativo en la planificación y resiliencia de la infraestructura escolar del país. </w:t>
      </w:r>
      <w:r>
        <w:rPr>
          <w:rFonts w:ascii="Book Antiqua" w:hAnsi="Book Antiqua"/>
          <w:lang w:val="es-PR"/>
        </w:rPr>
        <w:t>D</w:t>
      </w:r>
      <w:r w:rsidRPr="008A0FB2">
        <w:rPr>
          <w:rFonts w:ascii="Book Antiqua" w:hAnsi="Book Antiqua"/>
          <w:lang w:val="es-PR"/>
        </w:rPr>
        <w:t xml:space="preserve">estacó que dicha medida es oportuna y necesaria, especialmente a la luz de los eventos naturales extremos que ha enfrentado la </w:t>
      </w:r>
      <w:r>
        <w:rPr>
          <w:rFonts w:ascii="Book Antiqua" w:hAnsi="Book Antiqua"/>
          <w:lang w:val="es-PR"/>
        </w:rPr>
        <w:t>I</w:t>
      </w:r>
      <w:r w:rsidRPr="008A0FB2">
        <w:rPr>
          <w:rFonts w:ascii="Book Antiqua" w:hAnsi="Book Antiqua"/>
          <w:lang w:val="es-PR"/>
        </w:rPr>
        <w:t xml:space="preserve">sla en los últimos años, como huracanes y sequías, los cuales han evidenciado la vulnerabilidad de la infraestructura educativa. </w:t>
      </w:r>
    </w:p>
    <w:p w14:paraId="3D9E43CA" w14:textId="77777777" w:rsidR="008A0FB2" w:rsidRDefault="008A0FB2" w:rsidP="008A0FB2">
      <w:pPr>
        <w:ind w:firstLine="720"/>
        <w:jc w:val="both"/>
        <w:rPr>
          <w:rFonts w:ascii="Book Antiqua" w:hAnsi="Book Antiqua"/>
          <w:lang w:val="es-PR"/>
        </w:rPr>
      </w:pPr>
    </w:p>
    <w:p w14:paraId="79CE3FEE" w14:textId="1A72B534" w:rsidR="008A0FB2" w:rsidRPr="008A0FB2" w:rsidRDefault="008A0FB2" w:rsidP="008A0FB2">
      <w:pPr>
        <w:ind w:firstLine="720"/>
        <w:jc w:val="both"/>
        <w:rPr>
          <w:rFonts w:ascii="Book Antiqua" w:hAnsi="Book Antiqua"/>
          <w:lang w:val="es-PR"/>
        </w:rPr>
      </w:pPr>
      <w:r w:rsidRPr="008A0FB2">
        <w:rPr>
          <w:rFonts w:ascii="Book Antiqua" w:hAnsi="Book Antiqua"/>
          <w:lang w:val="es-PR"/>
        </w:rPr>
        <w:t>A través de esta legislación, se busca integrar desde la etapa de diseño y planificación los sistemas de respaldo energético e hídrico que permitan que los planteles escolares continúen operando en situaciones de emergencia. El Colegio enfatizó que estas disposiciones son consistentes con las mejores prácticas de ingeniería y con una visión preventiva que prioriza la seguridad y el bienestar de los estudiantes y del personal escolar.</w:t>
      </w:r>
    </w:p>
    <w:p w14:paraId="7ED99695" w14:textId="77777777" w:rsidR="008A0FB2" w:rsidRDefault="008A0FB2" w:rsidP="008A0FB2">
      <w:pPr>
        <w:jc w:val="both"/>
        <w:rPr>
          <w:rFonts w:ascii="Book Antiqua" w:hAnsi="Book Antiqua"/>
          <w:lang w:val="es-PR"/>
        </w:rPr>
      </w:pPr>
    </w:p>
    <w:p w14:paraId="78778F29" w14:textId="47163C94" w:rsidR="008A0FB2" w:rsidRPr="008A0FB2" w:rsidRDefault="008A0FB2" w:rsidP="008A0FB2">
      <w:pPr>
        <w:ind w:firstLine="720"/>
        <w:jc w:val="both"/>
        <w:rPr>
          <w:rFonts w:ascii="Book Antiqua" w:hAnsi="Book Antiqua"/>
          <w:lang w:val="es-PR"/>
        </w:rPr>
      </w:pPr>
      <w:r w:rsidRPr="008A0FB2">
        <w:rPr>
          <w:rFonts w:ascii="Book Antiqua" w:hAnsi="Book Antiqua"/>
          <w:lang w:val="es-PR"/>
        </w:rPr>
        <w:t>Asimismo, el CIAPR reconoció que el proyecto no parte de cero, sino que se construye sobre el marco establecido por la derogada Ley 96-2005</w:t>
      </w:r>
      <w:r>
        <w:rPr>
          <w:rFonts w:ascii="Book Antiqua" w:hAnsi="Book Antiqua"/>
          <w:lang w:val="es-PR"/>
        </w:rPr>
        <w:t xml:space="preserve">, </w:t>
      </w:r>
      <w:r w:rsidRPr="008A0FB2">
        <w:rPr>
          <w:rFonts w:ascii="Book Antiqua" w:hAnsi="Book Antiqua"/>
          <w:i/>
          <w:iCs/>
          <w:lang w:val="es-PR"/>
        </w:rPr>
        <w:t>supra</w:t>
      </w:r>
      <w:r w:rsidRPr="008A0FB2">
        <w:rPr>
          <w:rFonts w:ascii="Book Antiqua" w:hAnsi="Book Antiqua"/>
          <w:lang w:val="es-PR"/>
        </w:rPr>
        <w:t xml:space="preserve">. Sin embargo, resaltó que el nuevo texto es más abarcador y realista, y se inserta en un contexto actualizado que permite una integración más efectiva con las normas de construcción vigentes y con los avances tecnológicos disponibles. También reconoció como positiva la disposición del proyecto de darle preferencia al uso de sistemas de energía renovable </w:t>
      </w:r>
      <w:r>
        <w:rPr>
          <w:rFonts w:ascii="Book Antiqua" w:hAnsi="Book Antiqua"/>
          <w:lang w:val="es-PR"/>
        </w:rPr>
        <w:t>(</w:t>
      </w:r>
      <w:r w:rsidRPr="008A0FB2">
        <w:rPr>
          <w:rFonts w:ascii="Book Antiqua" w:hAnsi="Book Antiqua"/>
          <w:lang w:val="es-PR"/>
        </w:rPr>
        <w:t>como las placas solare</w:t>
      </w:r>
      <w:r>
        <w:rPr>
          <w:rFonts w:ascii="Book Antiqua" w:hAnsi="Book Antiqua"/>
          <w:lang w:val="es-PR"/>
        </w:rPr>
        <w:t xml:space="preserve">s) </w:t>
      </w:r>
      <w:r w:rsidRPr="008A0FB2">
        <w:rPr>
          <w:rFonts w:ascii="Book Antiqua" w:hAnsi="Book Antiqua"/>
          <w:lang w:val="es-PR"/>
        </w:rPr>
        <w:t>para cumplir con sus objetivos, lo cual representa un compromiso con la sostenibilidad ambiental y la eficiencia energética.</w:t>
      </w:r>
    </w:p>
    <w:p w14:paraId="0F027C5F" w14:textId="77777777" w:rsidR="008A0FB2" w:rsidRDefault="008A0FB2" w:rsidP="008A0FB2">
      <w:pPr>
        <w:jc w:val="both"/>
        <w:rPr>
          <w:rFonts w:ascii="Book Antiqua" w:hAnsi="Book Antiqua"/>
          <w:lang w:val="es-PR"/>
        </w:rPr>
      </w:pPr>
    </w:p>
    <w:p w14:paraId="1DBC01EC" w14:textId="3B5D8D4C" w:rsidR="008A0FB2" w:rsidRPr="008A0FB2" w:rsidRDefault="008A0FB2" w:rsidP="008A0FB2">
      <w:pPr>
        <w:ind w:firstLine="720"/>
        <w:jc w:val="both"/>
        <w:rPr>
          <w:rFonts w:ascii="Book Antiqua" w:hAnsi="Book Antiqua"/>
          <w:lang w:val="es-PR"/>
        </w:rPr>
      </w:pPr>
      <w:r w:rsidRPr="008A0FB2">
        <w:rPr>
          <w:rFonts w:ascii="Book Antiqua" w:hAnsi="Book Antiqua"/>
          <w:lang w:val="es-PR"/>
        </w:rPr>
        <w:t>De igual manera, el Colegio de Ingenieros y Agrimensores apoyó la disposición que ordena al Departamento de Educación realizar un inventario de las escuelas construidas antes de julio de 2021, así como someter un informe a la Asamblea Legislativa con los costos estimados de equipar dichas instalaciones y establecer un programa de “</w:t>
      </w:r>
      <w:proofErr w:type="spellStart"/>
      <w:r w:rsidRPr="008A0FB2">
        <w:rPr>
          <w:rFonts w:ascii="Book Antiqua" w:hAnsi="Book Antiqua"/>
          <w:lang w:val="es-PR"/>
        </w:rPr>
        <w:t>retrofitting</w:t>
      </w:r>
      <w:proofErr w:type="spellEnd"/>
      <w:r w:rsidRPr="008A0FB2">
        <w:rPr>
          <w:rFonts w:ascii="Book Antiqua" w:hAnsi="Book Antiqua"/>
          <w:lang w:val="es-PR"/>
        </w:rPr>
        <w:t>” o reacondicionamiento. El CIAPR considera que este enfoque integral de evaluación y planificación permite establecer prioridades y estrategias de implementación viables, y puede facilitar la obtención de fondos federales o colaboraciones con el sector privado para llevar a cabo las mejoras requeridas.</w:t>
      </w:r>
    </w:p>
    <w:p w14:paraId="2B38157F" w14:textId="77777777" w:rsidR="008A0FB2" w:rsidRDefault="008A0FB2" w:rsidP="008A0FB2">
      <w:pPr>
        <w:ind w:firstLine="720"/>
        <w:jc w:val="both"/>
        <w:rPr>
          <w:rFonts w:ascii="Book Antiqua" w:hAnsi="Book Antiqua"/>
          <w:lang w:val="es-PR"/>
        </w:rPr>
      </w:pPr>
    </w:p>
    <w:p w14:paraId="50A26F1C" w14:textId="3B1EE4B0" w:rsidR="008A0FB2" w:rsidRPr="008A0FB2" w:rsidRDefault="008A0FB2" w:rsidP="008A0FB2">
      <w:pPr>
        <w:ind w:firstLine="720"/>
        <w:jc w:val="both"/>
        <w:rPr>
          <w:rFonts w:ascii="Book Antiqua" w:hAnsi="Book Antiqua"/>
          <w:lang w:val="es-PR"/>
        </w:rPr>
      </w:pPr>
      <w:r w:rsidRPr="008A0FB2">
        <w:rPr>
          <w:rFonts w:ascii="Book Antiqua" w:hAnsi="Book Antiqua"/>
          <w:lang w:val="es-PR"/>
        </w:rPr>
        <w:t>Finalmente, el CIAPR manifestó su disponibilidad para colaborar con el Departamento de Educación, la Oficina de Gerencia de Permisos (</w:t>
      </w:r>
      <w:proofErr w:type="spellStart"/>
      <w:r w:rsidRPr="008A0FB2">
        <w:rPr>
          <w:rFonts w:ascii="Book Antiqua" w:hAnsi="Book Antiqua"/>
          <w:lang w:val="es-PR"/>
        </w:rPr>
        <w:t>OGPe</w:t>
      </w:r>
      <w:proofErr w:type="spellEnd"/>
      <w:r w:rsidRPr="008A0FB2">
        <w:rPr>
          <w:rFonts w:ascii="Book Antiqua" w:hAnsi="Book Antiqua"/>
          <w:lang w:val="es-PR"/>
        </w:rPr>
        <w:t xml:space="preserve">), el Departamento de Recursos Naturales y Ambientales (DRNA) y otras entidades pertinentes en la redacción de reglamentos, guías técnicas y parámetros de diseño que garanticen la correcta implementación de esta política pública. Con su peritaje profesional y técnico, el Colegio se posiciona como un aliado clave para asegurar que los </w:t>
      </w:r>
      <w:r w:rsidRPr="008A0FB2">
        <w:rPr>
          <w:rFonts w:ascii="Book Antiqua" w:hAnsi="Book Antiqua"/>
          <w:lang w:val="es-PR"/>
        </w:rPr>
        <w:lastRenderedPageBreak/>
        <w:t>proyectos cumplan con los estándares de seguridad, calidad y eficiencia que demanda la infraestructura educativa moderna.</w:t>
      </w:r>
    </w:p>
    <w:p w14:paraId="16BE2188" w14:textId="77777777" w:rsidR="008A0FB2" w:rsidRDefault="008A0FB2" w:rsidP="008A0FB2">
      <w:pPr>
        <w:jc w:val="both"/>
        <w:rPr>
          <w:rFonts w:ascii="Book Antiqua" w:hAnsi="Book Antiqua"/>
          <w:lang w:val="es-PR"/>
        </w:rPr>
      </w:pPr>
    </w:p>
    <w:p w14:paraId="028D5DBE" w14:textId="6D6A013B" w:rsidR="008A0FB2" w:rsidRPr="008A0FB2" w:rsidRDefault="008A0FB2" w:rsidP="008A0FB2">
      <w:pPr>
        <w:ind w:firstLine="720"/>
        <w:jc w:val="both"/>
        <w:rPr>
          <w:rFonts w:ascii="Book Antiqua" w:hAnsi="Book Antiqua"/>
          <w:lang w:val="es-PR"/>
        </w:rPr>
      </w:pPr>
      <w:r w:rsidRPr="008A0FB2">
        <w:rPr>
          <w:rFonts w:ascii="Book Antiqua" w:hAnsi="Book Antiqua"/>
          <w:lang w:val="es-PR"/>
        </w:rPr>
        <w:t>En resumen, el Colegio de Ingenieros y Agrimensores avala la aprobación del Proyecto del Senado 192 por entender que fortalece la resiliencia del sistema educativo, promueve la sostenibilidad ambiental y establece un marco legal coherente y actualizado para el desarrollo de infraestructura escolar. Además, reafirma su compromiso con aportar su experiencia técnica para garantizar la implementación efectiva y responsable de esta medida.</w:t>
      </w:r>
    </w:p>
    <w:p w14:paraId="285FD26B" w14:textId="77777777" w:rsidR="00D911A4" w:rsidRPr="008A0FB2" w:rsidRDefault="00D911A4" w:rsidP="00A56440">
      <w:pPr>
        <w:jc w:val="both"/>
        <w:rPr>
          <w:rFonts w:ascii="Book Antiqua" w:hAnsi="Book Antiqua"/>
          <w:lang w:val="es-ES_tradnl"/>
        </w:rPr>
      </w:pPr>
    </w:p>
    <w:p w14:paraId="58DAA8F1" w14:textId="77777777" w:rsidR="00D911A4" w:rsidRDefault="00D911A4"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1E250B6E"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374D6E">
        <w:rPr>
          <w:rFonts w:ascii="Book Antiqua" w:hAnsi="Book Antiqua"/>
          <w:szCs w:val="24"/>
          <w:lang w:val="es-PR"/>
        </w:rPr>
        <w:t>192</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7FD9358" w14:textId="77777777" w:rsidR="00A03358" w:rsidRDefault="00A03358" w:rsidP="007F30C2">
      <w:pPr>
        <w:tabs>
          <w:tab w:val="left" w:pos="-720"/>
        </w:tabs>
        <w:suppressAutoHyphens/>
        <w:spacing w:before="120" w:after="120" w:line="360" w:lineRule="auto"/>
        <w:jc w:val="center"/>
        <w:rPr>
          <w:rFonts w:ascii="Book Antiqua" w:hAnsi="Book Antiqua"/>
          <w:b/>
          <w:bCs/>
          <w:szCs w:val="24"/>
          <w:lang w:val="es-PR"/>
        </w:rPr>
      </w:pPr>
    </w:p>
    <w:p w14:paraId="3F7B5FD5" w14:textId="7AF0FA14"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78B2982E" w14:textId="2201FD74" w:rsidR="008B151C" w:rsidRPr="008B151C" w:rsidRDefault="007F30C2" w:rsidP="008B151C">
      <w:pPr>
        <w:jc w:val="both"/>
        <w:rPr>
          <w:rFonts w:ascii="Book Antiqua" w:hAnsi="Book Antiqua"/>
          <w:color w:val="000000" w:themeColor="text1"/>
          <w:lang w:val="es-PR"/>
        </w:rPr>
      </w:pPr>
      <w:r>
        <w:rPr>
          <w:rFonts w:ascii="Book Antiqua" w:hAnsi="Book Antiqua"/>
          <w:szCs w:val="24"/>
          <w:lang w:val="es-PR"/>
        </w:rPr>
        <w:tab/>
      </w:r>
      <w:r w:rsidR="00F269DA" w:rsidRPr="000E2480">
        <w:rPr>
          <w:rFonts w:ascii="Book Antiqua" w:hAnsi="Book Antiqua"/>
          <w:color w:val="000000" w:themeColor="text1"/>
          <w:lang w:val="es-ES_tradnl"/>
        </w:rPr>
        <w:t xml:space="preserve"> </w:t>
      </w:r>
      <w:r w:rsidR="008B151C">
        <w:rPr>
          <w:rFonts w:ascii="Book Antiqua" w:hAnsi="Book Antiqua"/>
          <w:color w:val="000000" w:themeColor="text1"/>
          <w:lang w:val="es-ES_tradnl"/>
        </w:rPr>
        <w:t>E</w:t>
      </w:r>
      <w:r w:rsidR="008B151C" w:rsidRPr="008B151C">
        <w:rPr>
          <w:rFonts w:ascii="Book Antiqua" w:hAnsi="Book Antiqua"/>
          <w:color w:val="000000" w:themeColor="text1"/>
          <w:lang w:val="es-PR"/>
        </w:rPr>
        <w:t>l Proyecto del Senado 192</w:t>
      </w:r>
      <w:r w:rsidR="008B151C">
        <w:rPr>
          <w:rFonts w:ascii="Book Antiqua" w:hAnsi="Book Antiqua"/>
          <w:color w:val="000000" w:themeColor="text1"/>
          <w:lang w:val="es-PR"/>
        </w:rPr>
        <w:t>,</w:t>
      </w:r>
      <w:r w:rsidR="008B151C" w:rsidRPr="008B151C">
        <w:rPr>
          <w:rFonts w:ascii="Book Antiqua" w:hAnsi="Book Antiqua"/>
          <w:color w:val="000000" w:themeColor="text1"/>
          <w:lang w:val="es-PR"/>
        </w:rPr>
        <w:t xml:space="preserve"> representa un paso decisivo hacia la modernización y resiliencia del sistema de infraestructura escolar en Puerto Rico, al exigir que toda nueva construcción de planteles escolares incluya sistemas de respaldo energético y mecanismos alternos para la captación de agua. Se trata de una política pública estratégica, que busca garantizar la continuidad del proceso educativo ante interrupciones en el suministro de servicios esenciales, como la energía eléctrica y el agua potable, situaciones que han afectado históricamente a nuestro sistema educativo y que se han intensificado por la vulnerabilidad de la </w:t>
      </w:r>
      <w:r w:rsidR="008B151C">
        <w:rPr>
          <w:rFonts w:ascii="Book Antiqua" w:hAnsi="Book Antiqua"/>
          <w:color w:val="000000" w:themeColor="text1"/>
          <w:lang w:val="es-PR"/>
        </w:rPr>
        <w:t>I</w:t>
      </w:r>
      <w:r w:rsidR="008B151C" w:rsidRPr="008B151C">
        <w:rPr>
          <w:rFonts w:ascii="Book Antiqua" w:hAnsi="Book Antiqua"/>
          <w:color w:val="000000" w:themeColor="text1"/>
          <w:lang w:val="es-PR"/>
        </w:rPr>
        <w:t>sla ante fenómenos naturales extremos.</w:t>
      </w:r>
    </w:p>
    <w:p w14:paraId="466267E8" w14:textId="77777777" w:rsidR="008B151C" w:rsidRPr="008B151C" w:rsidRDefault="008B151C" w:rsidP="008B151C">
      <w:pPr>
        <w:jc w:val="both"/>
        <w:rPr>
          <w:rFonts w:ascii="Book Antiqua" w:hAnsi="Book Antiqua"/>
          <w:color w:val="000000" w:themeColor="text1"/>
          <w:lang w:val="es-PR"/>
        </w:rPr>
      </w:pPr>
    </w:p>
    <w:p w14:paraId="7685253A" w14:textId="4E7BD775" w:rsidR="008B151C" w:rsidRPr="008B151C" w:rsidRDefault="008B151C" w:rsidP="008B151C">
      <w:pPr>
        <w:ind w:firstLine="720"/>
        <w:jc w:val="both"/>
        <w:rPr>
          <w:rFonts w:ascii="Book Antiqua" w:hAnsi="Book Antiqua"/>
          <w:color w:val="000000" w:themeColor="text1"/>
          <w:lang w:val="es-PR"/>
        </w:rPr>
      </w:pPr>
      <w:r w:rsidRPr="008B151C">
        <w:rPr>
          <w:rFonts w:ascii="Book Antiqua" w:hAnsi="Book Antiqua"/>
          <w:color w:val="000000" w:themeColor="text1"/>
          <w:lang w:val="es-PR"/>
        </w:rPr>
        <w:t>El Departamento de Educación señal</w:t>
      </w:r>
      <w:r>
        <w:rPr>
          <w:rFonts w:ascii="Book Antiqua" w:hAnsi="Book Antiqua"/>
          <w:color w:val="000000" w:themeColor="text1"/>
          <w:lang w:val="es-PR"/>
        </w:rPr>
        <w:t>ó</w:t>
      </w:r>
      <w:r w:rsidRPr="008B151C">
        <w:rPr>
          <w:rFonts w:ascii="Book Antiqua" w:hAnsi="Book Antiqua"/>
          <w:color w:val="000000" w:themeColor="text1"/>
          <w:lang w:val="es-PR"/>
        </w:rPr>
        <w:t xml:space="preserve"> que la misma es coherente con su obligación constitucional de proveer una educación pública de calidad y sin interrupciones. La medida complementa y refuerza los objetivos del Programa de Escuelas INNOVA, el cual ya contempla la inclusión de generadores y cisternas en las escuelas públicas del país. De igual manera, reconoce la necesidad de derogar disposiciones legislativas anteriores que no fueron efectivamente implementadas y de consolidarlas en un marco normativo más actualizado y ejecutable, como lo es la Ley de Reforma Educativa de Puerto Rico.</w:t>
      </w:r>
    </w:p>
    <w:p w14:paraId="6BB24124" w14:textId="77777777" w:rsidR="008B151C" w:rsidRDefault="008B151C" w:rsidP="008B151C">
      <w:pPr>
        <w:jc w:val="both"/>
        <w:rPr>
          <w:rFonts w:ascii="Book Antiqua" w:hAnsi="Book Antiqua"/>
          <w:color w:val="000000" w:themeColor="text1"/>
          <w:lang w:val="es-PR"/>
        </w:rPr>
      </w:pPr>
    </w:p>
    <w:p w14:paraId="1FD4AC48" w14:textId="6FAEAB86" w:rsidR="008B151C" w:rsidRPr="008B151C" w:rsidRDefault="008B151C" w:rsidP="008B151C">
      <w:pPr>
        <w:ind w:firstLine="720"/>
        <w:jc w:val="both"/>
        <w:rPr>
          <w:rFonts w:ascii="Book Antiqua" w:hAnsi="Book Antiqua"/>
          <w:color w:val="000000" w:themeColor="text1"/>
          <w:lang w:val="es-PR"/>
        </w:rPr>
      </w:pPr>
      <w:r w:rsidRPr="008B151C">
        <w:rPr>
          <w:rFonts w:ascii="Book Antiqua" w:hAnsi="Book Antiqua"/>
          <w:color w:val="000000" w:themeColor="text1"/>
          <w:lang w:val="es-PR"/>
        </w:rPr>
        <w:t xml:space="preserve">Por su parte, la Autoridad de Edificios Públicos apoya la medida y subraya la urgencia de establecer un diseño integral que no solo contemple la instalación de equipos, sino que también garantice su operación y mantenimiento continuo. </w:t>
      </w:r>
      <w:r>
        <w:rPr>
          <w:rFonts w:ascii="Book Antiqua" w:hAnsi="Book Antiqua"/>
          <w:color w:val="000000" w:themeColor="text1"/>
          <w:lang w:val="es-PR"/>
        </w:rPr>
        <w:t>E</w:t>
      </w:r>
      <w:r w:rsidRPr="008B151C">
        <w:rPr>
          <w:rFonts w:ascii="Book Antiqua" w:hAnsi="Book Antiqua"/>
          <w:color w:val="000000" w:themeColor="text1"/>
          <w:lang w:val="es-PR"/>
        </w:rPr>
        <w:t xml:space="preserve">l Colegio de Ingenieros y Agrimensores de Puerto Rico también acoge la medida positivamente, reconociéndola como una propuesta coherente con los más altos estándares de ingeniería </w:t>
      </w:r>
      <w:r w:rsidRPr="008B151C">
        <w:rPr>
          <w:rFonts w:ascii="Book Antiqua" w:hAnsi="Book Antiqua"/>
          <w:color w:val="000000" w:themeColor="text1"/>
          <w:lang w:val="es-PR"/>
        </w:rPr>
        <w:lastRenderedPageBreak/>
        <w:t xml:space="preserve">moderna, que fomenta la sostenibilidad energética y la seguridad estructural. El Colegio destaca que la planificación adecuada, el uso preferente de tecnologías limpias como los sistemas fotovoltaicos y la implementación de programas de </w:t>
      </w:r>
      <w:proofErr w:type="spellStart"/>
      <w:r w:rsidRPr="008B151C">
        <w:rPr>
          <w:rFonts w:ascii="Book Antiqua" w:hAnsi="Book Antiqua"/>
          <w:color w:val="000000" w:themeColor="text1"/>
          <w:lang w:val="es-PR"/>
        </w:rPr>
        <w:t>retrofitting</w:t>
      </w:r>
      <w:proofErr w:type="spellEnd"/>
      <w:r w:rsidRPr="008B151C">
        <w:rPr>
          <w:rFonts w:ascii="Book Antiqua" w:hAnsi="Book Antiqua"/>
          <w:color w:val="000000" w:themeColor="text1"/>
          <w:lang w:val="es-PR"/>
        </w:rPr>
        <w:t xml:space="preserve"> son elementos esenciales para una infraestructura escolar preparada para los retos del presente y del futuro. Además, reitera su disposición a colaborar técnicamente en los procesos de reglamentación y ejecución.</w:t>
      </w:r>
    </w:p>
    <w:p w14:paraId="15A89838" w14:textId="77777777" w:rsidR="008B151C" w:rsidRDefault="008B151C" w:rsidP="008B151C">
      <w:pPr>
        <w:jc w:val="both"/>
        <w:rPr>
          <w:rFonts w:ascii="Book Antiqua" w:hAnsi="Book Antiqua"/>
          <w:color w:val="000000" w:themeColor="text1"/>
          <w:lang w:val="es-PR"/>
        </w:rPr>
      </w:pPr>
    </w:p>
    <w:p w14:paraId="3CE21668" w14:textId="1AF7208E" w:rsidR="008B151C" w:rsidRPr="008B151C" w:rsidRDefault="008B151C" w:rsidP="008B151C">
      <w:pPr>
        <w:ind w:firstLine="720"/>
        <w:jc w:val="both"/>
        <w:rPr>
          <w:rFonts w:ascii="Book Antiqua" w:hAnsi="Book Antiqua"/>
          <w:color w:val="000000" w:themeColor="text1"/>
          <w:lang w:val="es-PR"/>
        </w:rPr>
      </w:pPr>
      <w:r w:rsidRPr="008B151C">
        <w:rPr>
          <w:rFonts w:ascii="Book Antiqua" w:hAnsi="Book Antiqua"/>
          <w:color w:val="000000" w:themeColor="text1"/>
          <w:lang w:val="es-PR"/>
        </w:rPr>
        <w:t>En conjunto, estos memoriales reafirman que el Proyecto del Senado 192 no solo atiende una necesidad urgente, sino que también presenta una solución estructurada, técnicamente viable y estratégicamente alineada con los principios de resiliencia, sostenibilidad y equidad. Su aprobación es indispensable para asegurar que nuestras escuelas estén preparadas para afrontar cualquier contingencia sin poner en riesgo el derecho fundamental a la educación. Esta medida, en definitiva, no es solo una respuesta a las fallas del pasado, sino una inversión visionaria en el futuro de nuestras niñas, niños y jóvenes.</w:t>
      </w:r>
    </w:p>
    <w:p w14:paraId="3E21972B" w14:textId="48825BDD" w:rsidR="00A03358" w:rsidRPr="00A03358" w:rsidRDefault="00A03358" w:rsidP="00EB678D">
      <w:pPr>
        <w:jc w:val="both"/>
        <w:rPr>
          <w:rFonts w:ascii="Book Antiqua" w:hAnsi="Book Antiqua"/>
          <w:color w:val="000000" w:themeColor="text1"/>
          <w:lang w:val="es-PR"/>
        </w:rPr>
      </w:pPr>
    </w:p>
    <w:p w14:paraId="6EEA8EC1" w14:textId="742D6497" w:rsidR="00286C08" w:rsidRPr="000E2480" w:rsidRDefault="00FF34C4"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EB678D">
        <w:rPr>
          <w:rFonts w:ascii="Book Antiqua" w:hAnsi="Book Antiqua"/>
          <w:b/>
          <w:bCs/>
          <w:color w:val="000000" w:themeColor="text1"/>
          <w:szCs w:val="24"/>
          <w:lang w:val="es-PR"/>
        </w:rPr>
        <w:t>192</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C1B78" w14:textId="77777777" w:rsidR="006A6FB2" w:rsidRDefault="006A6FB2">
      <w:r>
        <w:separator/>
      </w:r>
    </w:p>
  </w:endnote>
  <w:endnote w:type="continuationSeparator" w:id="0">
    <w:p w14:paraId="02A5292A" w14:textId="77777777" w:rsidR="006A6FB2" w:rsidRDefault="006A6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289BB" w14:textId="77777777" w:rsidR="006A6FB2" w:rsidRDefault="006A6FB2">
      <w:r>
        <w:separator/>
      </w:r>
    </w:p>
  </w:footnote>
  <w:footnote w:type="continuationSeparator" w:id="0">
    <w:p w14:paraId="72234257" w14:textId="77777777" w:rsidR="006A6FB2" w:rsidRDefault="006A6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273E89A1"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374D6E">
      <w:rPr>
        <w:rStyle w:val="PageNumber"/>
        <w:rFonts w:ascii="Book Antiqua" w:hAnsi="Book Antiqua"/>
        <w:b/>
        <w:bCs/>
        <w:lang w:val="es-PR"/>
      </w:rPr>
      <w:t>192</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2F52"/>
    <w:multiLevelType w:val="hybridMultilevel"/>
    <w:tmpl w:val="11042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3A7334"/>
    <w:multiLevelType w:val="hybridMultilevel"/>
    <w:tmpl w:val="D1EE14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F2D7DFF"/>
    <w:multiLevelType w:val="hybridMultilevel"/>
    <w:tmpl w:val="03BA5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627413">
    <w:abstractNumId w:val="2"/>
  </w:num>
  <w:num w:numId="2" w16cid:durableId="853153479">
    <w:abstractNumId w:val="0"/>
  </w:num>
  <w:num w:numId="3" w16cid:durableId="863010279">
    <w:abstractNumId w:val="3"/>
  </w:num>
  <w:num w:numId="4" w16cid:durableId="1949072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4820"/>
    <w:rsid w:val="000216BB"/>
    <w:rsid w:val="00023454"/>
    <w:rsid w:val="0002603A"/>
    <w:rsid w:val="00034E11"/>
    <w:rsid w:val="0004088C"/>
    <w:rsid w:val="0004421B"/>
    <w:rsid w:val="0004635F"/>
    <w:rsid w:val="000560CB"/>
    <w:rsid w:val="000667AB"/>
    <w:rsid w:val="00080E3B"/>
    <w:rsid w:val="00084122"/>
    <w:rsid w:val="0008569E"/>
    <w:rsid w:val="0009448A"/>
    <w:rsid w:val="000A06C9"/>
    <w:rsid w:val="000A3EB9"/>
    <w:rsid w:val="000A755B"/>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119D3"/>
    <w:rsid w:val="00112D46"/>
    <w:rsid w:val="00126D61"/>
    <w:rsid w:val="00134AC0"/>
    <w:rsid w:val="00137678"/>
    <w:rsid w:val="00140F42"/>
    <w:rsid w:val="00156AA0"/>
    <w:rsid w:val="00162460"/>
    <w:rsid w:val="00162E59"/>
    <w:rsid w:val="00163BA1"/>
    <w:rsid w:val="00170254"/>
    <w:rsid w:val="00173F53"/>
    <w:rsid w:val="00191FA4"/>
    <w:rsid w:val="00196FA9"/>
    <w:rsid w:val="00197C46"/>
    <w:rsid w:val="001A32E4"/>
    <w:rsid w:val="001B20CB"/>
    <w:rsid w:val="001B417D"/>
    <w:rsid w:val="001C2B30"/>
    <w:rsid w:val="001C4866"/>
    <w:rsid w:val="001C4B24"/>
    <w:rsid w:val="001C6503"/>
    <w:rsid w:val="001D1DC4"/>
    <w:rsid w:val="001D3A06"/>
    <w:rsid w:val="001D401B"/>
    <w:rsid w:val="001D7277"/>
    <w:rsid w:val="001E364D"/>
    <w:rsid w:val="001E3726"/>
    <w:rsid w:val="001F68ED"/>
    <w:rsid w:val="00201DF5"/>
    <w:rsid w:val="00207735"/>
    <w:rsid w:val="0021453D"/>
    <w:rsid w:val="00214BC5"/>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A0893"/>
    <w:rsid w:val="002A14BD"/>
    <w:rsid w:val="002A60B4"/>
    <w:rsid w:val="002B05B3"/>
    <w:rsid w:val="002B58A3"/>
    <w:rsid w:val="002C3E4A"/>
    <w:rsid w:val="002D0E98"/>
    <w:rsid w:val="002D2660"/>
    <w:rsid w:val="002E1104"/>
    <w:rsid w:val="00303731"/>
    <w:rsid w:val="0031084D"/>
    <w:rsid w:val="00315B3A"/>
    <w:rsid w:val="00332883"/>
    <w:rsid w:val="00340519"/>
    <w:rsid w:val="00341BB6"/>
    <w:rsid w:val="00366311"/>
    <w:rsid w:val="00367A13"/>
    <w:rsid w:val="00371871"/>
    <w:rsid w:val="00374D6E"/>
    <w:rsid w:val="00377C61"/>
    <w:rsid w:val="00386E65"/>
    <w:rsid w:val="003909DD"/>
    <w:rsid w:val="003912A4"/>
    <w:rsid w:val="0039139D"/>
    <w:rsid w:val="00391980"/>
    <w:rsid w:val="003A1341"/>
    <w:rsid w:val="003A4452"/>
    <w:rsid w:val="003A4992"/>
    <w:rsid w:val="003B751D"/>
    <w:rsid w:val="003C1518"/>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C3133"/>
    <w:rsid w:val="004D31DB"/>
    <w:rsid w:val="004E4097"/>
    <w:rsid w:val="004F1947"/>
    <w:rsid w:val="004F4D10"/>
    <w:rsid w:val="00505AFD"/>
    <w:rsid w:val="00511BD7"/>
    <w:rsid w:val="005133FA"/>
    <w:rsid w:val="0052092C"/>
    <w:rsid w:val="00532097"/>
    <w:rsid w:val="00532580"/>
    <w:rsid w:val="00533993"/>
    <w:rsid w:val="00533B52"/>
    <w:rsid w:val="005459BD"/>
    <w:rsid w:val="00567513"/>
    <w:rsid w:val="00574692"/>
    <w:rsid w:val="00575139"/>
    <w:rsid w:val="00586B5C"/>
    <w:rsid w:val="00596C9F"/>
    <w:rsid w:val="005A265A"/>
    <w:rsid w:val="005A27A8"/>
    <w:rsid w:val="005B32E4"/>
    <w:rsid w:val="005C03C9"/>
    <w:rsid w:val="005C2E80"/>
    <w:rsid w:val="005C3438"/>
    <w:rsid w:val="005D1313"/>
    <w:rsid w:val="005D131F"/>
    <w:rsid w:val="005D5AFB"/>
    <w:rsid w:val="005E2192"/>
    <w:rsid w:val="005E5973"/>
    <w:rsid w:val="005F321F"/>
    <w:rsid w:val="005F3890"/>
    <w:rsid w:val="005F6ADA"/>
    <w:rsid w:val="00607D66"/>
    <w:rsid w:val="00612577"/>
    <w:rsid w:val="00613E0B"/>
    <w:rsid w:val="0061413F"/>
    <w:rsid w:val="00620BA5"/>
    <w:rsid w:val="0062705C"/>
    <w:rsid w:val="00627154"/>
    <w:rsid w:val="00637621"/>
    <w:rsid w:val="00637A2F"/>
    <w:rsid w:val="00653F5B"/>
    <w:rsid w:val="006547BF"/>
    <w:rsid w:val="00665A21"/>
    <w:rsid w:val="00672914"/>
    <w:rsid w:val="0067316B"/>
    <w:rsid w:val="00677043"/>
    <w:rsid w:val="006834E9"/>
    <w:rsid w:val="00696278"/>
    <w:rsid w:val="006977AA"/>
    <w:rsid w:val="006A3F44"/>
    <w:rsid w:val="006A6960"/>
    <w:rsid w:val="006A6FB2"/>
    <w:rsid w:val="006A7159"/>
    <w:rsid w:val="006B352C"/>
    <w:rsid w:val="006B3F39"/>
    <w:rsid w:val="006B7388"/>
    <w:rsid w:val="006B7E26"/>
    <w:rsid w:val="006C5F9B"/>
    <w:rsid w:val="006E26D6"/>
    <w:rsid w:val="006E27EE"/>
    <w:rsid w:val="006E789B"/>
    <w:rsid w:val="006F309A"/>
    <w:rsid w:val="006F4E24"/>
    <w:rsid w:val="0072499D"/>
    <w:rsid w:val="0074063E"/>
    <w:rsid w:val="00751C5D"/>
    <w:rsid w:val="00751EFA"/>
    <w:rsid w:val="00783405"/>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25EC"/>
    <w:rsid w:val="00834C51"/>
    <w:rsid w:val="0084332B"/>
    <w:rsid w:val="008444B1"/>
    <w:rsid w:val="008452CC"/>
    <w:rsid w:val="008722FB"/>
    <w:rsid w:val="00877BBD"/>
    <w:rsid w:val="008938FB"/>
    <w:rsid w:val="00896242"/>
    <w:rsid w:val="008A0FB2"/>
    <w:rsid w:val="008A2520"/>
    <w:rsid w:val="008A438F"/>
    <w:rsid w:val="008B0792"/>
    <w:rsid w:val="008B151C"/>
    <w:rsid w:val="008B279A"/>
    <w:rsid w:val="008B5887"/>
    <w:rsid w:val="008D0714"/>
    <w:rsid w:val="008D1849"/>
    <w:rsid w:val="008D3D76"/>
    <w:rsid w:val="008E4789"/>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39D2"/>
    <w:rsid w:val="00986F2F"/>
    <w:rsid w:val="00987449"/>
    <w:rsid w:val="00991236"/>
    <w:rsid w:val="00992673"/>
    <w:rsid w:val="009B5C77"/>
    <w:rsid w:val="009F4930"/>
    <w:rsid w:val="00A03358"/>
    <w:rsid w:val="00A03A6E"/>
    <w:rsid w:val="00A05D7F"/>
    <w:rsid w:val="00A11F03"/>
    <w:rsid w:val="00A128EA"/>
    <w:rsid w:val="00A210E0"/>
    <w:rsid w:val="00A2285B"/>
    <w:rsid w:val="00A2357C"/>
    <w:rsid w:val="00A340C6"/>
    <w:rsid w:val="00A36C8C"/>
    <w:rsid w:val="00A50F87"/>
    <w:rsid w:val="00A56440"/>
    <w:rsid w:val="00A62F10"/>
    <w:rsid w:val="00A67ED9"/>
    <w:rsid w:val="00A73989"/>
    <w:rsid w:val="00A739A7"/>
    <w:rsid w:val="00A753F4"/>
    <w:rsid w:val="00A765BC"/>
    <w:rsid w:val="00A77A85"/>
    <w:rsid w:val="00A77D6F"/>
    <w:rsid w:val="00A82206"/>
    <w:rsid w:val="00A841D5"/>
    <w:rsid w:val="00A847D1"/>
    <w:rsid w:val="00A85389"/>
    <w:rsid w:val="00AA219B"/>
    <w:rsid w:val="00AA2355"/>
    <w:rsid w:val="00AA7B63"/>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77053"/>
    <w:rsid w:val="00B86A17"/>
    <w:rsid w:val="00B91F6C"/>
    <w:rsid w:val="00BB14FA"/>
    <w:rsid w:val="00BB2EDB"/>
    <w:rsid w:val="00BB301A"/>
    <w:rsid w:val="00BB7ABB"/>
    <w:rsid w:val="00BC74F8"/>
    <w:rsid w:val="00BD331F"/>
    <w:rsid w:val="00BE526F"/>
    <w:rsid w:val="00C0538B"/>
    <w:rsid w:val="00C12094"/>
    <w:rsid w:val="00C20E59"/>
    <w:rsid w:val="00C23687"/>
    <w:rsid w:val="00C274D1"/>
    <w:rsid w:val="00C40E18"/>
    <w:rsid w:val="00C515E3"/>
    <w:rsid w:val="00C52E71"/>
    <w:rsid w:val="00C60C5E"/>
    <w:rsid w:val="00C63F6D"/>
    <w:rsid w:val="00C66897"/>
    <w:rsid w:val="00C74425"/>
    <w:rsid w:val="00C76FA2"/>
    <w:rsid w:val="00C8079A"/>
    <w:rsid w:val="00C80E1A"/>
    <w:rsid w:val="00CA79C3"/>
    <w:rsid w:val="00CB2A04"/>
    <w:rsid w:val="00CB43BF"/>
    <w:rsid w:val="00CD7FE1"/>
    <w:rsid w:val="00CE2C01"/>
    <w:rsid w:val="00CE3B80"/>
    <w:rsid w:val="00D13F13"/>
    <w:rsid w:val="00D15514"/>
    <w:rsid w:val="00D332DE"/>
    <w:rsid w:val="00D43527"/>
    <w:rsid w:val="00D50266"/>
    <w:rsid w:val="00D53F1B"/>
    <w:rsid w:val="00D541C2"/>
    <w:rsid w:val="00D6015C"/>
    <w:rsid w:val="00D65F72"/>
    <w:rsid w:val="00D67278"/>
    <w:rsid w:val="00D777DA"/>
    <w:rsid w:val="00D911A4"/>
    <w:rsid w:val="00DA2F8D"/>
    <w:rsid w:val="00DC065F"/>
    <w:rsid w:val="00DC0688"/>
    <w:rsid w:val="00DC32CC"/>
    <w:rsid w:val="00DC58E5"/>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678D"/>
    <w:rsid w:val="00EB7919"/>
    <w:rsid w:val="00ED552B"/>
    <w:rsid w:val="00ED6612"/>
    <w:rsid w:val="00EE189D"/>
    <w:rsid w:val="00EF5E84"/>
    <w:rsid w:val="00EF75F1"/>
    <w:rsid w:val="00EF7B8E"/>
    <w:rsid w:val="00F037F9"/>
    <w:rsid w:val="00F162A1"/>
    <w:rsid w:val="00F162B3"/>
    <w:rsid w:val="00F24D45"/>
    <w:rsid w:val="00F269DA"/>
    <w:rsid w:val="00F26E86"/>
    <w:rsid w:val="00F2772C"/>
    <w:rsid w:val="00F41601"/>
    <w:rsid w:val="00F439DC"/>
    <w:rsid w:val="00F60CBE"/>
    <w:rsid w:val="00F65E46"/>
    <w:rsid w:val="00F773C6"/>
    <w:rsid w:val="00F77766"/>
    <w:rsid w:val="00F779FC"/>
    <w:rsid w:val="00F8037D"/>
    <w:rsid w:val="00F83DC8"/>
    <w:rsid w:val="00F92ADB"/>
    <w:rsid w:val="00F95679"/>
    <w:rsid w:val="00F97447"/>
    <w:rsid w:val="00FB2E20"/>
    <w:rsid w:val="00FC0269"/>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DC58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0538B"/>
    <w:pPr>
      <w:ind w:left="720"/>
      <w:contextualSpacing/>
    </w:pPr>
  </w:style>
  <w:style w:type="character" w:customStyle="1" w:styleId="Heading2Char">
    <w:name w:val="Heading 2 Char"/>
    <w:basedOn w:val="DefaultParagraphFont"/>
    <w:link w:val="Heading2"/>
    <w:semiHidden/>
    <w:rsid w:val="00DC58E5"/>
    <w:rPr>
      <w:rFonts w:asciiTheme="majorHAnsi" w:eastAsiaTheme="majorEastAsia" w:hAnsiTheme="majorHAnsi" w:cstheme="majorBidi"/>
      <w:color w:val="2F5496" w:themeColor="accent1" w:themeShade="BF"/>
      <w:sz w:val="26"/>
      <w:szCs w:val="26"/>
      <w:lang w:val="en-US" w:eastAsia="en-US"/>
    </w:rPr>
  </w:style>
  <w:style w:type="character" w:styleId="Hyperlink">
    <w:name w:val="Hyperlink"/>
    <w:basedOn w:val="DefaultParagraphFont"/>
    <w:rsid w:val="00DC58E5"/>
    <w:rPr>
      <w:color w:val="0563C1" w:themeColor="hyperlink"/>
      <w:u w:val="single"/>
    </w:rPr>
  </w:style>
  <w:style w:type="character" w:styleId="UnresolvedMention">
    <w:name w:val="Unresolved Mention"/>
    <w:basedOn w:val="DefaultParagraphFont"/>
    <w:uiPriority w:val="99"/>
    <w:semiHidden/>
    <w:unhideWhenUsed/>
    <w:rsid w:val="00DC5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3129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2386442">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3573729">
      <w:bodyDiv w:val="1"/>
      <w:marLeft w:val="0"/>
      <w:marRight w:val="0"/>
      <w:marTop w:val="0"/>
      <w:marBottom w:val="0"/>
      <w:divBdr>
        <w:top w:val="none" w:sz="0" w:space="0" w:color="auto"/>
        <w:left w:val="none" w:sz="0" w:space="0" w:color="auto"/>
        <w:bottom w:val="none" w:sz="0" w:space="0" w:color="auto"/>
        <w:right w:val="none" w:sz="0" w:space="0" w:color="auto"/>
      </w:divBdr>
    </w:div>
    <w:div w:id="109588440">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18074929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779086">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19428033">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49419396">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05783">
      <w:bodyDiv w:val="1"/>
      <w:marLeft w:val="0"/>
      <w:marRight w:val="0"/>
      <w:marTop w:val="0"/>
      <w:marBottom w:val="0"/>
      <w:divBdr>
        <w:top w:val="none" w:sz="0" w:space="0" w:color="auto"/>
        <w:left w:val="none" w:sz="0" w:space="0" w:color="auto"/>
        <w:bottom w:val="none" w:sz="0" w:space="0" w:color="auto"/>
        <w:right w:val="none" w:sz="0" w:space="0" w:color="auto"/>
      </w:divBdr>
    </w:div>
    <w:div w:id="716973614">
      <w:bodyDiv w:val="1"/>
      <w:marLeft w:val="0"/>
      <w:marRight w:val="0"/>
      <w:marTop w:val="0"/>
      <w:marBottom w:val="0"/>
      <w:divBdr>
        <w:top w:val="none" w:sz="0" w:space="0" w:color="auto"/>
        <w:left w:val="none" w:sz="0" w:space="0" w:color="auto"/>
        <w:bottom w:val="none" w:sz="0" w:space="0" w:color="auto"/>
        <w:right w:val="none" w:sz="0" w:space="0" w:color="auto"/>
      </w:divBdr>
    </w:div>
    <w:div w:id="803037939">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77146610">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13000070">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10860516">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0368142">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527513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50879">
      <w:bodyDiv w:val="1"/>
      <w:marLeft w:val="0"/>
      <w:marRight w:val="0"/>
      <w:marTop w:val="0"/>
      <w:marBottom w:val="0"/>
      <w:divBdr>
        <w:top w:val="none" w:sz="0" w:space="0" w:color="auto"/>
        <w:left w:val="none" w:sz="0" w:space="0" w:color="auto"/>
        <w:bottom w:val="none" w:sz="0" w:space="0" w:color="auto"/>
        <w:right w:val="none" w:sz="0" w:space="0" w:color="auto"/>
      </w:divBdr>
    </w:div>
    <w:div w:id="214731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4SQX5P7U7WPY-958212181-815488</_dlc_DocId>
    <_ip_UnifiedCompliancePolicyUIAction xmlns="http://schemas.microsoft.com/sharepoint/v3" xsi:nil="true"/>
    <_dlc_DocIdUrl xmlns="c890fddd-4e87-4e08-8b51-545f2a3f7b06">
      <Url>https://senpr.sharepoint.com/sites/obralegislativa/_layouts/15/DocIdRedir.aspx?ID=4SQX5P7U7WPY-958212181-815488</Url>
      <Description>4SQX5P7U7WPY-958212181-815488</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0</TotalTime>
  <Pages>7</Pages>
  <Words>2435</Words>
  <Characters>14131</Characters>
  <Application>Microsoft Office Word</Application>
  <DocSecurity>0</DocSecurity>
  <Lines>117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2025-06-09T20:17:00Z</cp:lastPrinted>
  <dcterms:created xsi:type="dcterms:W3CDTF">2025-06-13T13:30:00Z</dcterms:created>
  <dcterms:modified xsi:type="dcterms:W3CDTF">2025-06-13T13:30:00Z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1a566272-267e-4c25-9335-11464e20bbd1</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