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5F64C" w14:textId="3360E7B2" w:rsidR="00697257" w:rsidRPr="00954834" w:rsidRDefault="00697257" w:rsidP="00697257">
      <w:pPr>
        <w:spacing w:after="0" w:line="240" w:lineRule="auto"/>
        <w:jc w:val="center"/>
        <w:rPr>
          <w:rFonts w:ascii="Book Antiqua" w:eastAsia="Times New Roman" w:hAnsi="Book Antiqua"/>
          <w:sz w:val="36"/>
          <w:szCs w:val="20"/>
          <w:lang w:val="es-ES_tradnl"/>
        </w:rPr>
      </w:pPr>
      <w:r w:rsidRPr="00954834">
        <w:rPr>
          <w:rFonts w:ascii="Book Antiqua" w:eastAsia="Times New Roman" w:hAnsi="Book Antiqua"/>
          <w:sz w:val="36"/>
          <w:szCs w:val="20"/>
          <w:lang w:val="es-ES_tradnl"/>
        </w:rPr>
        <w:t>GOBIERNO DE PUERTO RICO</w:t>
      </w:r>
    </w:p>
    <w:p w14:paraId="30169C59" w14:textId="77777777" w:rsidR="00697257" w:rsidRPr="00954834" w:rsidRDefault="00697257" w:rsidP="00697257">
      <w:pPr>
        <w:spacing w:after="0" w:line="240" w:lineRule="auto"/>
        <w:jc w:val="center"/>
        <w:rPr>
          <w:rFonts w:ascii="Book Antiqua" w:eastAsia="Times New Roman" w:hAnsi="Book Antiqua"/>
          <w:sz w:val="36"/>
          <w:szCs w:val="20"/>
          <w:lang w:val="es-ES_tradnl"/>
        </w:rPr>
      </w:pPr>
    </w:p>
    <w:p w14:paraId="6E78DAE5" w14:textId="77777777" w:rsidR="00697257" w:rsidRPr="00954834" w:rsidRDefault="00697257" w:rsidP="00697257">
      <w:pPr>
        <w:tabs>
          <w:tab w:val="left" w:pos="648"/>
          <w:tab w:val="right" w:pos="7776"/>
          <w:tab w:val="left" w:pos="7848"/>
        </w:tabs>
        <w:spacing w:after="0" w:line="240" w:lineRule="auto"/>
        <w:rPr>
          <w:rFonts w:ascii="Book Antiqua" w:eastAsia="Times New Roman" w:hAnsi="Book Antiqua"/>
          <w:sz w:val="24"/>
          <w:szCs w:val="20"/>
          <w:lang w:val="es-ES_tradnl"/>
        </w:rPr>
      </w:pPr>
      <w:r w:rsidRPr="00954834">
        <w:rPr>
          <w:rFonts w:ascii="Book Antiqua" w:eastAsia="Times New Roman" w:hAnsi="Book Antiqua"/>
          <w:sz w:val="24"/>
          <w:szCs w:val="20"/>
          <w:lang w:val="es-ES_tradnl"/>
        </w:rPr>
        <w:t>20</w:t>
      </w:r>
      <w:r w:rsidRPr="00954834">
        <w:rPr>
          <w:rFonts w:ascii="Book Antiqua" w:eastAsia="Times New Roman" w:hAnsi="Book Antiqua"/>
          <w:sz w:val="24"/>
          <w:szCs w:val="20"/>
          <w:vertAlign w:val="superscript"/>
          <w:lang w:val="es-ES_tradnl"/>
        </w:rPr>
        <w:t>ma.</w:t>
      </w:r>
      <w:r w:rsidRPr="00954834">
        <w:rPr>
          <w:rFonts w:ascii="Book Antiqua" w:eastAsia="Times New Roman" w:hAnsi="Book Antiqua"/>
          <w:sz w:val="24"/>
          <w:szCs w:val="20"/>
          <w:lang w:val="es-ES_tradnl"/>
        </w:rPr>
        <w:tab/>
        <w:t>Asamblea</w:t>
      </w:r>
      <w:r w:rsidRPr="00954834">
        <w:rPr>
          <w:rFonts w:ascii="Book Antiqua" w:eastAsia="Times New Roman" w:hAnsi="Book Antiqua"/>
          <w:sz w:val="24"/>
          <w:szCs w:val="20"/>
          <w:lang w:val="es-ES_tradnl"/>
        </w:rPr>
        <w:tab/>
        <w:t>1</w:t>
      </w:r>
      <w:r w:rsidRPr="00954834">
        <w:rPr>
          <w:rFonts w:ascii="Book Antiqua" w:eastAsia="Times New Roman" w:hAnsi="Book Antiqua"/>
          <w:sz w:val="24"/>
          <w:szCs w:val="20"/>
          <w:vertAlign w:val="superscript"/>
          <w:lang w:val="es-ES_tradnl"/>
        </w:rPr>
        <w:t>ra.</w:t>
      </w:r>
      <w:r w:rsidRPr="00954834">
        <w:rPr>
          <w:rFonts w:ascii="Book Antiqua" w:eastAsia="Times New Roman" w:hAnsi="Book Antiqua"/>
          <w:sz w:val="24"/>
          <w:szCs w:val="20"/>
          <w:lang w:val="es-ES_tradnl"/>
        </w:rPr>
        <w:tab/>
        <w:t>Sesión</w:t>
      </w:r>
    </w:p>
    <w:p w14:paraId="2D7277DB" w14:textId="77777777" w:rsidR="00697257" w:rsidRPr="00954834" w:rsidRDefault="00697257" w:rsidP="00697257">
      <w:pPr>
        <w:tabs>
          <w:tab w:val="left" w:pos="648"/>
          <w:tab w:val="right" w:pos="7776"/>
          <w:tab w:val="left" w:pos="7848"/>
        </w:tabs>
        <w:spacing w:after="0" w:line="240" w:lineRule="auto"/>
        <w:rPr>
          <w:rFonts w:ascii="Book Antiqua" w:eastAsia="Times New Roman" w:hAnsi="Book Antiqua"/>
          <w:sz w:val="24"/>
          <w:szCs w:val="20"/>
          <w:lang w:val="es-ES_tradnl"/>
        </w:rPr>
      </w:pPr>
      <w:r w:rsidRPr="00954834">
        <w:rPr>
          <w:rFonts w:ascii="Book Antiqua" w:eastAsia="Times New Roman" w:hAnsi="Book Antiqua"/>
          <w:sz w:val="24"/>
          <w:szCs w:val="20"/>
          <w:lang w:val="es-ES_tradnl"/>
        </w:rPr>
        <w:tab/>
        <w:t>Legislativa</w:t>
      </w:r>
      <w:r w:rsidRPr="00954834">
        <w:rPr>
          <w:rFonts w:ascii="Book Antiqua" w:eastAsia="Times New Roman" w:hAnsi="Book Antiqua"/>
          <w:sz w:val="24"/>
          <w:szCs w:val="20"/>
          <w:lang w:val="es-ES_tradnl"/>
        </w:rPr>
        <w:tab/>
      </w:r>
      <w:r w:rsidRPr="00954834">
        <w:rPr>
          <w:rFonts w:ascii="Book Antiqua" w:eastAsia="Times New Roman" w:hAnsi="Book Antiqua"/>
          <w:sz w:val="24"/>
          <w:szCs w:val="20"/>
          <w:lang w:val="es-ES_tradnl"/>
        </w:rPr>
        <w:tab/>
        <w:t>Ordinaria</w:t>
      </w:r>
    </w:p>
    <w:p w14:paraId="1B6CDF5B" w14:textId="77777777" w:rsidR="00697257" w:rsidRPr="00954834" w:rsidRDefault="00697257" w:rsidP="00697257">
      <w:pPr>
        <w:spacing w:after="0" w:line="240" w:lineRule="auto"/>
        <w:rPr>
          <w:rFonts w:ascii="Times New Roman" w:eastAsia="Times New Roman" w:hAnsi="Times New Roman"/>
          <w:sz w:val="24"/>
          <w:szCs w:val="20"/>
          <w:lang w:val="es-ES_tradnl"/>
        </w:rPr>
      </w:pPr>
    </w:p>
    <w:p w14:paraId="3AC174E2" w14:textId="77777777" w:rsidR="00697257" w:rsidRPr="00954834" w:rsidRDefault="00697257" w:rsidP="00697257">
      <w:pPr>
        <w:spacing w:after="0" w:line="240" w:lineRule="auto"/>
        <w:jc w:val="center"/>
        <w:rPr>
          <w:rFonts w:ascii="Book Antiqua" w:eastAsia="Times New Roman" w:hAnsi="Book Antiqua"/>
          <w:b/>
          <w:sz w:val="36"/>
          <w:szCs w:val="20"/>
          <w:lang w:val="es-ES_tradnl"/>
        </w:rPr>
      </w:pPr>
      <w:r w:rsidRPr="00954834">
        <w:rPr>
          <w:rFonts w:ascii="Book Antiqua" w:eastAsia="Times New Roman" w:hAnsi="Book Antiqua"/>
          <w:b/>
          <w:sz w:val="36"/>
          <w:szCs w:val="20"/>
          <w:lang w:val="es-ES_tradnl"/>
        </w:rPr>
        <w:t>SENADO DE PUERTO RICO</w:t>
      </w:r>
    </w:p>
    <w:p w14:paraId="2AADDF3D" w14:textId="77777777" w:rsidR="00697257" w:rsidRPr="00954834" w:rsidRDefault="00697257" w:rsidP="00697257">
      <w:pPr>
        <w:spacing w:before="240" w:after="0" w:line="240" w:lineRule="auto"/>
        <w:jc w:val="center"/>
        <w:rPr>
          <w:rFonts w:ascii="Book Antiqua" w:eastAsia="Times New Roman" w:hAnsi="Book Antiqua"/>
          <w:b/>
          <w:sz w:val="52"/>
          <w:szCs w:val="20"/>
          <w:lang w:val="es-ES_tradnl"/>
        </w:rPr>
      </w:pPr>
      <w:r w:rsidRPr="00954834">
        <w:rPr>
          <w:rFonts w:ascii="Book Antiqua" w:eastAsia="Times New Roman" w:hAnsi="Book Antiqua"/>
          <w:b/>
          <w:sz w:val="52"/>
          <w:szCs w:val="20"/>
          <w:lang w:val="es-ES_tradnl"/>
        </w:rPr>
        <w:t xml:space="preserve">P. del S. </w:t>
      </w:r>
      <w:r w:rsidR="0027708F" w:rsidRPr="00954834">
        <w:rPr>
          <w:rFonts w:ascii="Book Antiqua" w:eastAsia="Times New Roman" w:hAnsi="Book Antiqua"/>
          <w:b/>
          <w:sz w:val="52"/>
          <w:szCs w:val="20"/>
          <w:lang w:val="es-ES_tradnl"/>
        </w:rPr>
        <w:t>194</w:t>
      </w:r>
    </w:p>
    <w:p w14:paraId="6B59F888" w14:textId="77777777" w:rsidR="00697257" w:rsidRPr="00954834" w:rsidRDefault="0027708F" w:rsidP="00697257">
      <w:pPr>
        <w:spacing w:before="120" w:after="0" w:line="240" w:lineRule="auto"/>
        <w:jc w:val="center"/>
        <w:rPr>
          <w:rFonts w:ascii="Book Antiqua" w:eastAsia="Times New Roman" w:hAnsi="Book Antiqua"/>
          <w:sz w:val="24"/>
          <w:szCs w:val="20"/>
          <w:lang w:val="es-ES_tradnl"/>
        </w:rPr>
      </w:pPr>
      <w:r w:rsidRPr="00954834">
        <w:rPr>
          <w:rFonts w:ascii="Book Antiqua" w:eastAsia="Times New Roman" w:hAnsi="Book Antiqua"/>
          <w:sz w:val="24"/>
          <w:szCs w:val="20"/>
          <w:lang w:val="es-ES_tradnl"/>
        </w:rPr>
        <w:t>8</w:t>
      </w:r>
      <w:r w:rsidR="00697257" w:rsidRPr="00954834">
        <w:rPr>
          <w:rFonts w:ascii="Book Antiqua" w:eastAsia="Times New Roman" w:hAnsi="Book Antiqua"/>
          <w:sz w:val="24"/>
          <w:szCs w:val="20"/>
          <w:lang w:val="es-ES_tradnl"/>
        </w:rPr>
        <w:t xml:space="preserve"> de enero de 2025</w:t>
      </w:r>
    </w:p>
    <w:p w14:paraId="75A05D48" w14:textId="77777777" w:rsidR="00697257" w:rsidRDefault="00697257" w:rsidP="00697257">
      <w:pPr>
        <w:spacing w:before="120" w:after="0" w:line="240" w:lineRule="auto"/>
        <w:jc w:val="center"/>
        <w:rPr>
          <w:rFonts w:ascii="Book Antiqua" w:eastAsia="Times New Roman" w:hAnsi="Book Antiqua"/>
          <w:i/>
          <w:iCs/>
          <w:sz w:val="24"/>
          <w:szCs w:val="20"/>
          <w:lang w:val="es-ES_tradnl"/>
        </w:rPr>
      </w:pPr>
      <w:r w:rsidRPr="00954834">
        <w:rPr>
          <w:rFonts w:ascii="Book Antiqua" w:eastAsia="Times New Roman" w:hAnsi="Book Antiqua"/>
          <w:sz w:val="24"/>
          <w:szCs w:val="20"/>
          <w:lang w:val="es-ES_tradnl"/>
        </w:rPr>
        <w:t xml:space="preserve">Presentado por el </w:t>
      </w:r>
      <w:r w:rsidR="009712B8" w:rsidRPr="00954834">
        <w:rPr>
          <w:rFonts w:ascii="Book Antiqua" w:eastAsia="Times New Roman" w:hAnsi="Book Antiqua"/>
          <w:sz w:val="24"/>
          <w:szCs w:val="20"/>
          <w:lang w:val="es-ES_tradnl"/>
        </w:rPr>
        <w:t>señor</w:t>
      </w:r>
      <w:r w:rsidRPr="00954834">
        <w:rPr>
          <w:rFonts w:ascii="Book Antiqua" w:eastAsia="Times New Roman" w:hAnsi="Book Antiqua"/>
          <w:sz w:val="24"/>
          <w:szCs w:val="20"/>
          <w:lang w:val="es-ES_tradnl"/>
        </w:rPr>
        <w:t xml:space="preserve"> </w:t>
      </w:r>
      <w:r w:rsidRPr="00954834">
        <w:rPr>
          <w:rFonts w:ascii="Book Antiqua" w:eastAsia="Times New Roman" w:hAnsi="Book Antiqua"/>
          <w:i/>
          <w:iCs/>
          <w:sz w:val="24"/>
          <w:szCs w:val="20"/>
          <w:lang w:val="es-ES_tradnl"/>
        </w:rPr>
        <w:t>Toledo López</w:t>
      </w:r>
    </w:p>
    <w:p w14:paraId="77864D8A" w14:textId="7A1C22E1" w:rsidR="00A46492" w:rsidRPr="00954834" w:rsidRDefault="00A46492" w:rsidP="00697257">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i/>
          <w:iCs/>
          <w:sz w:val="24"/>
          <w:szCs w:val="20"/>
          <w:lang w:val="es-ES_tradnl"/>
        </w:rPr>
        <w:t xml:space="preserve">Coautores la señora </w:t>
      </w:r>
      <w:r w:rsidR="00C105A0">
        <w:rPr>
          <w:rFonts w:ascii="Book Antiqua" w:eastAsia="Times New Roman" w:hAnsi="Book Antiqua"/>
          <w:i/>
          <w:iCs/>
          <w:sz w:val="24"/>
          <w:szCs w:val="20"/>
          <w:lang w:val="es-ES_tradnl"/>
        </w:rPr>
        <w:t>Barlucea Rodríguez; los señores Colón La Santa, González López; la señora Pérez Soto; el señor Reyes Berríos; la señora Román Rodríguez; y los señores Rosa Ramos y Santos Ortiz</w:t>
      </w:r>
    </w:p>
    <w:p w14:paraId="2427984E" w14:textId="77777777" w:rsidR="00697257" w:rsidRPr="00954834" w:rsidRDefault="00697257" w:rsidP="00697257">
      <w:pPr>
        <w:spacing w:before="120" w:after="0" w:line="240" w:lineRule="auto"/>
        <w:jc w:val="center"/>
        <w:rPr>
          <w:rFonts w:ascii="Book Antiqua" w:eastAsia="Times New Roman" w:hAnsi="Book Antiqua"/>
          <w:i/>
          <w:sz w:val="24"/>
          <w:szCs w:val="20"/>
          <w:lang w:val="es-ES_tradnl"/>
        </w:rPr>
      </w:pPr>
      <w:r w:rsidRPr="00954834">
        <w:rPr>
          <w:rFonts w:ascii="Book Antiqua" w:eastAsia="Times New Roman" w:hAnsi="Book Antiqua"/>
          <w:i/>
          <w:sz w:val="24"/>
          <w:szCs w:val="20"/>
          <w:lang w:val="es-ES_tradnl"/>
        </w:rPr>
        <w:t xml:space="preserve">Referido a la Comisión de </w:t>
      </w:r>
      <w:r w:rsidR="00D637AA" w:rsidRPr="00954834">
        <w:rPr>
          <w:rFonts w:ascii="Book Antiqua" w:eastAsia="Times New Roman" w:hAnsi="Book Antiqua"/>
          <w:i/>
          <w:sz w:val="24"/>
          <w:szCs w:val="20"/>
          <w:lang w:val="es-ES_tradnl"/>
        </w:rPr>
        <w:t>Agricultura</w:t>
      </w:r>
    </w:p>
    <w:p w14:paraId="1E0AB9A3" w14:textId="77777777" w:rsidR="00697257" w:rsidRPr="00954834" w:rsidRDefault="00697257" w:rsidP="00697257">
      <w:pPr>
        <w:spacing w:after="0" w:line="240" w:lineRule="auto"/>
        <w:jc w:val="both"/>
        <w:rPr>
          <w:rFonts w:ascii="Book Antiqua" w:eastAsia="Times New Roman" w:hAnsi="Book Antiqua"/>
          <w:sz w:val="24"/>
          <w:szCs w:val="24"/>
          <w:lang w:val="es-PR"/>
        </w:rPr>
      </w:pPr>
    </w:p>
    <w:p w14:paraId="1C8058C4" w14:textId="77777777" w:rsidR="00697257" w:rsidRPr="00954834" w:rsidRDefault="00697257" w:rsidP="00697257">
      <w:pPr>
        <w:spacing w:after="0" w:line="240" w:lineRule="auto"/>
        <w:jc w:val="center"/>
        <w:rPr>
          <w:rFonts w:ascii="Book Antiqua" w:eastAsia="Times New Roman" w:hAnsi="Book Antiqua"/>
          <w:b/>
          <w:sz w:val="24"/>
          <w:szCs w:val="24"/>
          <w:lang w:val="es-PR"/>
        </w:rPr>
      </w:pPr>
      <w:r w:rsidRPr="00954834">
        <w:rPr>
          <w:rFonts w:ascii="Book Antiqua" w:eastAsia="Times New Roman" w:hAnsi="Book Antiqua"/>
          <w:b/>
          <w:sz w:val="24"/>
          <w:szCs w:val="24"/>
          <w:lang w:val="es-PR"/>
        </w:rPr>
        <w:t>LEY</w:t>
      </w:r>
    </w:p>
    <w:p w14:paraId="02DA13AD" w14:textId="77777777" w:rsidR="00B865DA" w:rsidRPr="00954834" w:rsidRDefault="00B865DA" w:rsidP="00B865DA">
      <w:pPr>
        <w:spacing w:after="0" w:line="240" w:lineRule="auto"/>
        <w:jc w:val="both"/>
        <w:rPr>
          <w:rFonts w:ascii="Book Antiqua" w:eastAsia="Times New Roman" w:hAnsi="Book Antiqua"/>
          <w:sz w:val="16"/>
          <w:szCs w:val="16"/>
          <w:lang w:val="es-PR"/>
        </w:rPr>
      </w:pPr>
    </w:p>
    <w:p w14:paraId="0331775E" w14:textId="4DE3F481" w:rsidR="00134C38" w:rsidRPr="009C6FBE" w:rsidRDefault="00B865DA" w:rsidP="005010EB">
      <w:pPr>
        <w:spacing w:after="0" w:line="240" w:lineRule="auto"/>
        <w:ind w:left="450" w:hanging="450"/>
        <w:jc w:val="both"/>
        <w:rPr>
          <w:rFonts w:ascii="Book Antiqua" w:hAnsi="Book Antiqua"/>
          <w:sz w:val="24"/>
          <w:szCs w:val="24"/>
          <w:lang w:val="es-PR"/>
        </w:rPr>
      </w:pPr>
      <w:r w:rsidRPr="009C6FBE">
        <w:rPr>
          <w:rFonts w:ascii="Book Antiqua" w:eastAsia="Times New Roman" w:hAnsi="Book Antiqua"/>
          <w:sz w:val="24"/>
          <w:szCs w:val="24"/>
          <w:lang w:val="es-PR"/>
        </w:rPr>
        <w:t>Para</w:t>
      </w:r>
      <w:r w:rsidR="000A583A" w:rsidRPr="009C6FBE">
        <w:rPr>
          <w:rFonts w:ascii="Book Antiqua" w:eastAsia="Times New Roman" w:hAnsi="Book Antiqua"/>
          <w:sz w:val="24"/>
          <w:szCs w:val="24"/>
          <w:lang w:val="es-PR"/>
        </w:rPr>
        <w:t xml:space="preserve"> </w:t>
      </w:r>
      <w:bookmarkStart w:id="0" w:name="_Hlk201313808"/>
      <w:bookmarkStart w:id="1" w:name="_Hlk169195102"/>
      <w:r w:rsidR="002F4246" w:rsidRPr="009C6FBE">
        <w:rPr>
          <w:rFonts w:ascii="Book Antiqua" w:eastAsia="Times New Roman" w:hAnsi="Book Antiqua"/>
          <w:sz w:val="24"/>
          <w:szCs w:val="24"/>
          <w:lang w:val="es-PR"/>
        </w:rPr>
        <w:t xml:space="preserve">enmendar los </w:t>
      </w:r>
      <w:r w:rsidR="003111F4">
        <w:rPr>
          <w:rFonts w:ascii="Book Antiqua" w:eastAsia="Times New Roman" w:hAnsi="Book Antiqua"/>
          <w:sz w:val="24"/>
          <w:szCs w:val="24"/>
          <w:lang w:val="es-PR"/>
        </w:rPr>
        <w:t>A</w:t>
      </w:r>
      <w:r w:rsidR="002F4246" w:rsidRPr="009C6FBE">
        <w:rPr>
          <w:rFonts w:ascii="Book Antiqua" w:eastAsia="Times New Roman" w:hAnsi="Book Antiqua"/>
          <w:sz w:val="24"/>
          <w:szCs w:val="24"/>
          <w:lang w:val="es-PR"/>
        </w:rPr>
        <w:t xml:space="preserve">rtículos 4 y 8 de la Ley 117-2001, conocida como “Ley de Garantía de Préstamos y Préstamos Agrícolas”, a los fines de flexibilizar o liberar los requisitos de financiamiento a los agricultores solicitantes, sin necesidad de que el Banco de Desarrollo Económico para Puerto Rico imponga cuotas para préstamos y el establecimiento de requisitos menores en los colaterales de los mismos; </w:t>
      </w:r>
      <w:r w:rsidR="00354CFD" w:rsidRPr="009C6FBE">
        <w:rPr>
          <w:rFonts w:ascii="Book Antiqua" w:eastAsia="Times New Roman" w:hAnsi="Book Antiqua"/>
          <w:sz w:val="24"/>
          <w:szCs w:val="24"/>
          <w:lang w:val="es-PR"/>
        </w:rPr>
        <w:t>proveer para la creación de un programa que le</w:t>
      </w:r>
      <w:r w:rsidR="003D7456" w:rsidRPr="009C6FBE">
        <w:rPr>
          <w:rFonts w:ascii="Book Antiqua" w:eastAsia="Times New Roman" w:hAnsi="Book Antiqua"/>
          <w:sz w:val="24"/>
          <w:szCs w:val="24"/>
          <w:lang w:val="es-PR"/>
        </w:rPr>
        <w:t>s</w:t>
      </w:r>
      <w:r w:rsidR="00354CFD" w:rsidRPr="009C6FBE">
        <w:rPr>
          <w:rFonts w:ascii="Book Antiqua" w:eastAsia="Times New Roman" w:hAnsi="Book Antiqua"/>
          <w:sz w:val="24"/>
          <w:szCs w:val="24"/>
          <w:lang w:val="es-PR"/>
        </w:rPr>
        <w:t xml:space="preserve"> brinde asesoría técnica, capacitación empresarial o mentorías a los agricultores y agro</w:t>
      </w:r>
      <w:r w:rsidR="009C6FBE">
        <w:rPr>
          <w:rFonts w:ascii="Book Antiqua" w:eastAsia="Times New Roman" w:hAnsi="Book Antiqua"/>
          <w:sz w:val="24"/>
          <w:szCs w:val="24"/>
          <w:lang w:val="es-PR"/>
        </w:rPr>
        <w:t xml:space="preserve"> </w:t>
      </w:r>
      <w:r w:rsidR="00354CFD" w:rsidRPr="009C6FBE">
        <w:rPr>
          <w:rFonts w:ascii="Book Antiqua" w:eastAsia="Times New Roman" w:hAnsi="Book Antiqua"/>
          <w:sz w:val="24"/>
          <w:szCs w:val="24"/>
          <w:lang w:val="es-PR"/>
        </w:rPr>
        <w:t xml:space="preserve">empresarios locales que interesen solicitar una garantía de préstamo agrícola o préstamo agrícola directo; </w:t>
      </w:r>
      <w:r w:rsidR="002F4246" w:rsidRPr="009C6FBE">
        <w:rPr>
          <w:rFonts w:ascii="Book Antiqua" w:eastAsia="Times New Roman" w:hAnsi="Book Antiqua"/>
          <w:sz w:val="24"/>
          <w:szCs w:val="24"/>
          <w:lang w:val="es-PR"/>
        </w:rPr>
        <w:t>y para otros fines relacionados</w:t>
      </w:r>
      <w:bookmarkEnd w:id="0"/>
      <w:r w:rsidR="00107E8E" w:rsidRPr="009C6FBE">
        <w:rPr>
          <w:rFonts w:ascii="Book Antiqua" w:eastAsia="Times New Roman" w:hAnsi="Book Antiqua"/>
          <w:sz w:val="24"/>
          <w:szCs w:val="24"/>
          <w:lang w:val="es-PR"/>
        </w:rPr>
        <w:t>.</w:t>
      </w:r>
      <w:bookmarkEnd w:id="1"/>
      <w:r w:rsidR="00305A34" w:rsidRPr="009C6FBE">
        <w:rPr>
          <w:rFonts w:ascii="Book Antiqua" w:hAnsi="Book Antiqua" w:cs="Arial"/>
          <w:sz w:val="24"/>
          <w:szCs w:val="24"/>
          <w:lang w:val="es-PR"/>
        </w:rPr>
        <w:t xml:space="preserve"> </w:t>
      </w:r>
    </w:p>
    <w:p w14:paraId="1BBD0860" w14:textId="77777777" w:rsidR="00B865DA" w:rsidRPr="006B7584" w:rsidRDefault="00B865DA" w:rsidP="00B865DA">
      <w:pPr>
        <w:spacing w:after="0" w:line="240" w:lineRule="auto"/>
        <w:ind w:left="360" w:hanging="360"/>
        <w:jc w:val="both"/>
        <w:rPr>
          <w:rFonts w:ascii="Book Antiqua" w:eastAsia="Times New Roman" w:hAnsi="Book Antiqua"/>
          <w:sz w:val="24"/>
          <w:szCs w:val="24"/>
          <w:lang w:val="es-PR"/>
        </w:rPr>
      </w:pPr>
    </w:p>
    <w:p w14:paraId="3DF71054" w14:textId="77777777" w:rsidR="00357A19" w:rsidRPr="006B7584" w:rsidRDefault="00B865DA" w:rsidP="00357A19">
      <w:pPr>
        <w:spacing w:after="240" w:line="240" w:lineRule="auto"/>
        <w:jc w:val="center"/>
        <w:rPr>
          <w:rFonts w:ascii="Book Antiqua" w:eastAsia="Times New Roman" w:hAnsi="Book Antiqua"/>
          <w:b/>
          <w:sz w:val="24"/>
          <w:szCs w:val="24"/>
          <w:lang w:val="es-PR"/>
        </w:rPr>
      </w:pPr>
      <w:r w:rsidRPr="006B7584">
        <w:rPr>
          <w:rFonts w:ascii="Book Antiqua" w:eastAsia="Times New Roman" w:hAnsi="Book Antiqua"/>
          <w:b/>
          <w:sz w:val="24"/>
          <w:szCs w:val="24"/>
          <w:lang w:val="es-PR"/>
        </w:rPr>
        <w:t>EXPOSICIÓN DE MOTIVOS</w:t>
      </w:r>
    </w:p>
    <w:p w14:paraId="4A3A4753" w14:textId="493A5970" w:rsidR="002F4246" w:rsidRPr="009C6FBE" w:rsidRDefault="002F4246" w:rsidP="00697257">
      <w:pPr>
        <w:spacing w:before="120" w:after="120" w:line="360" w:lineRule="auto"/>
        <w:ind w:firstLine="720"/>
        <w:jc w:val="both"/>
        <w:rPr>
          <w:rFonts w:ascii="Book Antiqua" w:eastAsia="Times New Roman" w:hAnsi="Book Antiqua"/>
          <w:bCs/>
          <w:sz w:val="24"/>
          <w:szCs w:val="24"/>
          <w:lang w:val="es-PR"/>
        </w:rPr>
      </w:pPr>
      <w:r w:rsidRPr="009C6FBE">
        <w:rPr>
          <w:rFonts w:ascii="Book Antiqua" w:eastAsia="Times New Roman" w:hAnsi="Book Antiqua"/>
          <w:bCs/>
          <w:sz w:val="24"/>
          <w:szCs w:val="24"/>
          <w:lang w:val="es-PR"/>
        </w:rPr>
        <w:t xml:space="preserve">En </w:t>
      </w:r>
      <w:bookmarkStart w:id="2" w:name="_Hlk201313880"/>
      <w:r w:rsidRPr="009C6FBE">
        <w:rPr>
          <w:rFonts w:ascii="Book Antiqua" w:eastAsia="Times New Roman" w:hAnsi="Book Antiqua"/>
          <w:bCs/>
          <w:sz w:val="24"/>
          <w:szCs w:val="24"/>
          <w:lang w:val="es-PR"/>
        </w:rPr>
        <w:t>Puerto Rico</w:t>
      </w:r>
      <w:r w:rsidR="007D4D00" w:rsidRPr="009C6FBE">
        <w:rPr>
          <w:rFonts w:ascii="Book Antiqua" w:eastAsia="Times New Roman" w:hAnsi="Book Antiqua"/>
          <w:bCs/>
          <w:i/>
          <w:iCs/>
          <w:sz w:val="24"/>
          <w:szCs w:val="24"/>
          <w:lang w:val="es-PR"/>
        </w:rPr>
        <w:t>,</w:t>
      </w:r>
      <w:r w:rsidRPr="009C6FBE">
        <w:rPr>
          <w:rFonts w:ascii="Book Antiqua" w:eastAsia="Times New Roman" w:hAnsi="Book Antiqua"/>
          <w:bCs/>
          <w:sz w:val="24"/>
          <w:szCs w:val="24"/>
          <w:lang w:val="es-PR"/>
        </w:rPr>
        <w:t xml:space="preserve"> es política pública el incentivar el desarrollo de las empresas agrícolas pequeñas, medianas y los núcleos de producción agrícola</w:t>
      </w:r>
      <w:r w:rsidR="007D4D00" w:rsidRPr="009C6FBE">
        <w:rPr>
          <w:rFonts w:ascii="Book Antiqua" w:eastAsia="Times New Roman" w:hAnsi="Book Antiqua"/>
          <w:bCs/>
          <w:i/>
          <w:iCs/>
          <w:sz w:val="24"/>
          <w:szCs w:val="24"/>
          <w:lang w:val="es-PR"/>
        </w:rPr>
        <w:t>,</w:t>
      </w:r>
      <w:r w:rsidRPr="009C6FBE">
        <w:rPr>
          <w:rFonts w:ascii="Book Antiqua" w:eastAsia="Times New Roman" w:hAnsi="Book Antiqua"/>
          <w:bCs/>
          <w:sz w:val="24"/>
          <w:szCs w:val="24"/>
          <w:lang w:val="es-PR"/>
        </w:rPr>
        <w:t xml:space="preserve"> mediante la creación del Programa de Garantía de Préstamos y Préstamos Agrícolas en el Departamento de Agricultura y el Fondo de Garantía de Préstamos y Préstamos Agrícolas en el Banco de Desarrollo Económico para Puerto Rico. El Departamento de Agricultura y el Banco de Desarrollo Económico para Puerto Rico, en estrecha colaboración</w:t>
      </w:r>
      <w:r w:rsidR="00C14C0F">
        <w:rPr>
          <w:rFonts w:ascii="Book Antiqua" w:eastAsia="Times New Roman" w:hAnsi="Book Antiqua"/>
          <w:bCs/>
          <w:sz w:val="24"/>
          <w:szCs w:val="24"/>
          <w:lang w:val="es-PR"/>
        </w:rPr>
        <w:t>, deben</w:t>
      </w:r>
      <w:r w:rsidRPr="009C6FBE">
        <w:rPr>
          <w:rFonts w:ascii="Book Antiqua" w:eastAsia="Times New Roman" w:hAnsi="Book Antiqua"/>
          <w:bCs/>
          <w:sz w:val="24"/>
          <w:szCs w:val="24"/>
          <w:lang w:val="es-PR"/>
        </w:rPr>
        <w:t xml:space="preserve"> estable</w:t>
      </w:r>
      <w:r w:rsidR="00C14C0F">
        <w:rPr>
          <w:rFonts w:ascii="Book Antiqua" w:eastAsia="Times New Roman" w:hAnsi="Book Antiqua"/>
          <w:bCs/>
          <w:sz w:val="24"/>
          <w:szCs w:val="24"/>
          <w:lang w:val="es-PR"/>
        </w:rPr>
        <w:t>cer</w:t>
      </w:r>
      <w:r w:rsidRPr="009C6FBE">
        <w:rPr>
          <w:rFonts w:ascii="Book Antiqua" w:eastAsia="Times New Roman" w:hAnsi="Book Antiqua"/>
          <w:bCs/>
          <w:sz w:val="24"/>
          <w:szCs w:val="24"/>
          <w:lang w:val="es-PR"/>
        </w:rPr>
        <w:t xml:space="preserve"> </w:t>
      </w:r>
      <w:r w:rsidRPr="009C6FBE">
        <w:rPr>
          <w:rFonts w:ascii="Book Antiqua" w:eastAsia="Times New Roman" w:hAnsi="Book Antiqua"/>
          <w:bCs/>
          <w:sz w:val="24"/>
          <w:szCs w:val="24"/>
          <w:lang w:val="es-PR"/>
        </w:rPr>
        <w:lastRenderedPageBreak/>
        <w:t xml:space="preserve">mecanismos de otorgamiento de garantías y préstamos que sean ágiles, simples, sencillos y eficientes. </w:t>
      </w:r>
    </w:p>
    <w:p w14:paraId="38CF08B4" w14:textId="79CD37B3" w:rsidR="002F4246" w:rsidRPr="009C6FBE" w:rsidRDefault="002F4246" w:rsidP="00697257">
      <w:pPr>
        <w:spacing w:before="120" w:after="120" w:line="360" w:lineRule="auto"/>
        <w:ind w:firstLine="720"/>
        <w:jc w:val="both"/>
        <w:rPr>
          <w:rFonts w:ascii="Book Antiqua" w:eastAsia="Times New Roman" w:hAnsi="Book Antiqua"/>
          <w:bCs/>
          <w:sz w:val="24"/>
          <w:szCs w:val="24"/>
          <w:lang w:val="es-PR"/>
        </w:rPr>
      </w:pPr>
      <w:r w:rsidRPr="009C6FBE">
        <w:rPr>
          <w:rFonts w:ascii="Book Antiqua" w:eastAsia="Times New Roman" w:hAnsi="Book Antiqua"/>
          <w:bCs/>
          <w:sz w:val="24"/>
          <w:szCs w:val="24"/>
          <w:lang w:val="es-PR"/>
        </w:rPr>
        <w:t>Cabe indicar que</w:t>
      </w:r>
      <w:r w:rsidR="007D4D00" w:rsidRPr="009C6FBE">
        <w:rPr>
          <w:rFonts w:ascii="Book Antiqua" w:eastAsia="Times New Roman" w:hAnsi="Book Antiqua"/>
          <w:bCs/>
          <w:sz w:val="24"/>
          <w:szCs w:val="24"/>
          <w:lang w:val="es-PR"/>
        </w:rPr>
        <w:t>,</w:t>
      </w:r>
      <w:r w:rsidRPr="009C6FBE">
        <w:rPr>
          <w:rFonts w:ascii="Book Antiqua" w:eastAsia="Times New Roman" w:hAnsi="Book Antiqua"/>
          <w:bCs/>
          <w:sz w:val="24"/>
          <w:szCs w:val="24"/>
          <w:lang w:val="es-PR"/>
        </w:rPr>
        <w:t xml:space="preserve"> la política pública antes esgrimida surge como corolario a la aprobación de la Ley 117-2001, conocida como “Ley de Garantía de Préstamos y Préstamos Agrícolas”. Esta Ley se crea amparada en la premisa de que es un compromiso gubernamental rescatar la agricultura del abandono, atraso y estancamiento histórico al que fue sumergida. </w:t>
      </w:r>
    </w:p>
    <w:p w14:paraId="798DBB27" w14:textId="77777777" w:rsidR="002F4246" w:rsidRPr="009C6FBE" w:rsidRDefault="002F4246" w:rsidP="00697257">
      <w:pPr>
        <w:spacing w:before="120" w:after="120" w:line="360" w:lineRule="auto"/>
        <w:ind w:firstLine="720"/>
        <w:jc w:val="both"/>
        <w:rPr>
          <w:rFonts w:ascii="Book Antiqua" w:eastAsia="Times New Roman" w:hAnsi="Book Antiqua"/>
          <w:bCs/>
          <w:sz w:val="24"/>
          <w:szCs w:val="24"/>
          <w:lang w:val="es-PR"/>
        </w:rPr>
      </w:pPr>
      <w:r w:rsidRPr="009C6FBE">
        <w:rPr>
          <w:rFonts w:ascii="Book Antiqua" w:eastAsia="Times New Roman" w:hAnsi="Book Antiqua"/>
          <w:bCs/>
          <w:sz w:val="24"/>
          <w:szCs w:val="24"/>
          <w:lang w:val="es-PR"/>
        </w:rPr>
        <w:t>Los agricultores de Puerto Rico reclaman el rescate de nuestra agricultura. Es con nueva fuerza y visión positiva de un nuevo Puerto Rico que se enmarcó el desarrollo económico de la agricultura de la Isla. La agricultura y el agricultor son los protagonistas de nuestro compromiso agrícola. El rescate de la agricultura conlleva presentar estrategias para su renacer. El desarrollo de la economía agrícola plantea una verdadera diversificación, donde la atención a los distintos sectores productivos es elemento esencial para la agenda del futuro agrícola.</w:t>
      </w:r>
    </w:p>
    <w:p w14:paraId="4D51B83C" w14:textId="77777777" w:rsidR="002F4246" w:rsidRPr="009C6FBE" w:rsidRDefault="002F4246" w:rsidP="00697257">
      <w:pPr>
        <w:spacing w:before="120" w:after="120" w:line="360" w:lineRule="auto"/>
        <w:ind w:firstLine="720"/>
        <w:jc w:val="both"/>
        <w:rPr>
          <w:rFonts w:ascii="Book Antiqua" w:eastAsia="Times New Roman" w:hAnsi="Book Antiqua"/>
          <w:bCs/>
          <w:sz w:val="24"/>
          <w:szCs w:val="24"/>
          <w:lang w:val="es-PR"/>
        </w:rPr>
      </w:pPr>
      <w:r w:rsidRPr="009C6FBE">
        <w:rPr>
          <w:rFonts w:ascii="Book Antiqua" w:eastAsia="Times New Roman" w:hAnsi="Book Antiqua"/>
          <w:bCs/>
          <w:sz w:val="24"/>
          <w:szCs w:val="24"/>
          <w:lang w:val="es-PR"/>
        </w:rPr>
        <w:t xml:space="preserve">Sin embargo, aun a pesar de las ayudas o apoyos e incentivos, este sector constantemente enfrenta los retos que suponen los altos costos de operación, la falta de acceso al crédito y el dominio de nuevas tecnologías, así como la dificultad para innovar. Mención aparte, están también los otros problemas que enfrenta este sector debido al exceso de reglamentación o procedimientos administrativos, alguno de los cuales han sido impuestos por virtud de numerosas leyes. </w:t>
      </w:r>
    </w:p>
    <w:p w14:paraId="5315B362" w14:textId="4ED6A442" w:rsidR="002F4246" w:rsidRPr="009C6FBE" w:rsidRDefault="002F4246" w:rsidP="00697257">
      <w:pPr>
        <w:spacing w:before="120" w:after="120" w:line="360" w:lineRule="auto"/>
        <w:ind w:firstLine="720"/>
        <w:jc w:val="both"/>
        <w:rPr>
          <w:rFonts w:ascii="Book Antiqua" w:eastAsia="Times New Roman" w:hAnsi="Book Antiqua"/>
          <w:bCs/>
          <w:sz w:val="24"/>
          <w:szCs w:val="24"/>
          <w:lang w:val="es-PR"/>
        </w:rPr>
      </w:pPr>
      <w:r w:rsidRPr="009C6FBE">
        <w:rPr>
          <w:rFonts w:ascii="Book Antiqua" w:eastAsia="Times New Roman" w:hAnsi="Book Antiqua"/>
          <w:bCs/>
          <w:sz w:val="24"/>
          <w:szCs w:val="24"/>
          <w:lang w:val="es-PR"/>
        </w:rPr>
        <w:t xml:space="preserve">Es importante reforzar el sector agrícola y propiciar una mayor confianza, para que nuestros agricultores se arriesguen a apostar a Puerto Rico. Por tanto, es imperativo proveerles herramientas inmediatas para facilitarle su operación en la Isla. </w:t>
      </w:r>
      <w:r w:rsidR="00066235" w:rsidRPr="009C6FBE">
        <w:rPr>
          <w:rFonts w:ascii="Book Antiqua" w:eastAsia="Times New Roman" w:hAnsi="Book Antiqua"/>
          <w:bCs/>
          <w:sz w:val="24"/>
          <w:szCs w:val="24"/>
          <w:lang w:val="es-PR"/>
        </w:rPr>
        <w:t xml:space="preserve">Por </w:t>
      </w:r>
      <w:r w:rsidR="00C14C0F">
        <w:rPr>
          <w:rFonts w:ascii="Book Antiqua" w:eastAsia="Times New Roman" w:hAnsi="Book Antiqua"/>
          <w:bCs/>
          <w:sz w:val="24"/>
          <w:szCs w:val="24"/>
          <w:lang w:val="es-PR"/>
        </w:rPr>
        <w:t>lo que</w:t>
      </w:r>
      <w:r w:rsidR="00066235" w:rsidRPr="009C6FBE">
        <w:rPr>
          <w:rFonts w:ascii="Book Antiqua" w:eastAsia="Times New Roman" w:hAnsi="Book Antiqua"/>
          <w:bCs/>
          <w:sz w:val="24"/>
          <w:szCs w:val="24"/>
          <w:lang w:val="es-PR"/>
        </w:rPr>
        <w:t xml:space="preserve"> se propone </w:t>
      </w:r>
      <w:r w:rsidRPr="009C6FBE">
        <w:rPr>
          <w:rFonts w:ascii="Book Antiqua" w:eastAsia="Times New Roman" w:hAnsi="Book Antiqua"/>
          <w:bCs/>
          <w:sz w:val="24"/>
          <w:szCs w:val="24"/>
          <w:lang w:val="es-PR"/>
        </w:rPr>
        <w:t>flexibilizar o liberar los requisitos de financiamiento a los agricultores solicitantes, sin necesidad de que el Banco de Desarrollo Económico para Puerto Rico imponga cuotas para préstamos y el establecimiento de requisitos menores en los colaterales de los mismos.</w:t>
      </w:r>
    </w:p>
    <w:p w14:paraId="028F8B6D" w14:textId="53CA0A2D" w:rsidR="002F4246" w:rsidRDefault="002F4246" w:rsidP="00697257">
      <w:pPr>
        <w:spacing w:before="120" w:after="120" w:line="360" w:lineRule="auto"/>
        <w:ind w:firstLine="720"/>
        <w:jc w:val="both"/>
        <w:rPr>
          <w:rFonts w:ascii="Book Antiqua" w:eastAsia="Times New Roman" w:hAnsi="Book Antiqua"/>
          <w:bCs/>
          <w:sz w:val="24"/>
          <w:szCs w:val="24"/>
          <w:lang w:val="es-PR"/>
        </w:rPr>
      </w:pPr>
      <w:r w:rsidRPr="009C6FBE">
        <w:rPr>
          <w:rFonts w:ascii="Book Antiqua" w:eastAsia="Times New Roman" w:hAnsi="Book Antiqua"/>
          <w:bCs/>
          <w:sz w:val="24"/>
          <w:szCs w:val="24"/>
          <w:lang w:val="es-PR"/>
        </w:rPr>
        <w:lastRenderedPageBreak/>
        <w:t>Reconociendo que los programas dirigidos a fomentar la creación de empresas agrícolas ofrecen una buena oportunidad de sumar nuevos empleos, nos parece apropiado otorgarles nuevas concesiones para facilitar su establecimiento. En</w:t>
      </w:r>
      <w:r w:rsidRPr="002F4246">
        <w:rPr>
          <w:rFonts w:ascii="Book Antiqua" w:eastAsia="Times New Roman" w:hAnsi="Book Antiqua"/>
          <w:bCs/>
          <w:sz w:val="24"/>
          <w:szCs w:val="24"/>
          <w:lang w:val="es-PR"/>
        </w:rPr>
        <w:t xml:space="preserve"> consideración a lo anterior, enmendamos la Ley 117</w:t>
      </w:r>
      <w:r w:rsidR="00C14C0F">
        <w:rPr>
          <w:rFonts w:ascii="Book Antiqua" w:eastAsia="Times New Roman" w:hAnsi="Book Antiqua"/>
          <w:bCs/>
          <w:sz w:val="24"/>
          <w:szCs w:val="24"/>
          <w:lang w:val="es-PR"/>
        </w:rPr>
        <w:t>-2001</w:t>
      </w:r>
      <w:r w:rsidRPr="002F4246">
        <w:rPr>
          <w:rFonts w:ascii="Book Antiqua" w:eastAsia="Times New Roman" w:hAnsi="Book Antiqua"/>
          <w:bCs/>
          <w:sz w:val="24"/>
          <w:szCs w:val="24"/>
          <w:lang w:val="es-PR"/>
        </w:rPr>
        <w:t xml:space="preserve">, antes citada, con el propósito de proveerles nuevas formas para ver crecer este tipo de gestión agrícola. </w:t>
      </w:r>
    </w:p>
    <w:bookmarkEnd w:id="2"/>
    <w:p w14:paraId="57E47963" w14:textId="77777777" w:rsidR="00B865DA" w:rsidRPr="006B7584" w:rsidRDefault="00AF373F" w:rsidP="009C6FBE">
      <w:pPr>
        <w:spacing w:after="0" w:line="480" w:lineRule="auto"/>
        <w:rPr>
          <w:rFonts w:ascii="Book Antiqua" w:eastAsia="Times New Roman" w:hAnsi="Book Antiqua"/>
          <w:sz w:val="24"/>
          <w:szCs w:val="24"/>
          <w:lang w:val="es-PR"/>
        </w:rPr>
      </w:pPr>
      <w:r w:rsidRPr="006B7584">
        <w:rPr>
          <w:rFonts w:ascii="Book Antiqua" w:eastAsia="Times New Roman" w:hAnsi="Book Antiqua"/>
          <w:b/>
          <w:sz w:val="24"/>
          <w:szCs w:val="24"/>
          <w:lang w:val="es-PR"/>
        </w:rPr>
        <w:t>DECR</w:t>
      </w:r>
      <w:r w:rsidR="00B865DA" w:rsidRPr="006B7584">
        <w:rPr>
          <w:rFonts w:ascii="Book Antiqua" w:eastAsia="Times New Roman" w:hAnsi="Book Antiqua"/>
          <w:b/>
          <w:sz w:val="24"/>
          <w:szCs w:val="24"/>
          <w:lang w:val="es-PR"/>
        </w:rPr>
        <w:t>É</w:t>
      </w:r>
      <w:r w:rsidRPr="006B7584">
        <w:rPr>
          <w:rFonts w:ascii="Book Antiqua" w:eastAsia="Times New Roman" w:hAnsi="Book Antiqua"/>
          <w:b/>
          <w:sz w:val="24"/>
          <w:szCs w:val="24"/>
          <w:lang w:val="es-PR"/>
        </w:rPr>
        <w:t>TA</w:t>
      </w:r>
      <w:r w:rsidR="00B865DA" w:rsidRPr="006B7584">
        <w:rPr>
          <w:rFonts w:ascii="Book Antiqua" w:eastAsia="Times New Roman" w:hAnsi="Book Antiqua"/>
          <w:b/>
          <w:sz w:val="24"/>
          <w:szCs w:val="24"/>
          <w:lang w:val="es-PR"/>
        </w:rPr>
        <w:t>SE POR LA ASAMBLEA LEGISLATIVA DE PUERTO RICO:</w:t>
      </w:r>
    </w:p>
    <w:p w14:paraId="7311ABEC" w14:textId="77777777" w:rsidR="00B865DA" w:rsidRPr="006B7584" w:rsidRDefault="00B865DA" w:rsidP="009C6FBE">
      <w:pPr>
        <w:spacing w:after="0" w:line="480" w:lineRule="auto"/>
        <w:jc w:val="both"/>
        <w:rPr>
          <w:rFonts w:ascii="Book Antiqua" w:eastAsia="Times New Roman" w:hAnsi="Book Antiqua"/>
          <w:sz w:val="24"/>
          <w:szCs w:val="24"/>
          <w:lang w:val="es-PR"/>
        </w:rPr>
        <w:sectPr w:rsidR="00B865DA" w:rsidRPr="006B7584" w:rsidSect="00992D0B">
          <w:headerReference w:type="default" r:id="rId13"/>
          <w:headerReference w:type="first" r:id="rId14"/>
          <w:pgSz w:w="12240" w:h="15840" w:code="1"/>
          <w:pgMar w:top="1440" w:right="1440" w:bottom="1440" w:left="1440" w:header="720" w:footer="720" w:gutter="0"/>
          <w:cols w:space="720"/>
          <w:titlePg/>
        </w:sectPr>
      </w:pPr>
    </w:p>
    <w:p w14:paraId="07FD6F3B" w14:textId="77777777" w:rsidR="002F4246" w:rsidRPr="002F4246" w:rsidRDefault="00161C6F" w:rsidP="009C6FBE">
      <w:pPr>
        <w:spacing w:after="0" w:line="480" w:lineRule="auto"/>
        <w:ind w:firstLine="360"/>
        <w:jc w:val="both"/>
        <w:rPr>
          <w:rFonts w:ascii="Book Antiqua" w:eastAsia="Times New Roman" w:hAnsi="Book Antiqua"/>
          <w:sz w:val="24"/>
          <w:szCs w:val="24"/>
          <w:lang w:val="es-ES"/>
        </w:rPr>
      </w:pPr>
      <w:r>
        <w:rPr>
          <w:rFonts w:ascii="Book Antiqua" w:eastAsia="Times New Roman" w:hAnsi="Book Antiqua"/>
          <w:bCs/>
          <w:sz w:val="24"/>
          <w:szCs w:val="24"/>
          <w:lang w:val="es-ES_tradnl"/>
        </w:rPr>
        <w:t xml:space="preserve">Sección </w:t>
      </w:r>
      <w:r w:rsidR="006B7584" w:rsidRPr="006B7584">
        <w:rPr>
          <w:rFonts w:ascii="Book Antiqua" w:eastAsia="Times New Roman" w:hAnsi="Book Antiqua"/>
          <w:bCs/>
          <w:sz w:val="24"/>
          <w:szCs w:val="24"/>
          <w:lang w:val="es-ES_tradnl"/>
        </w:rPr>
        <w:t>1.-</w:t>
      </w:r>
      <w:r w:rsidR="00E00D22" w:rsidRPr="00E00D22">
        <w:rPr>
          <w:rFonts w:ascii="Book Antiqua" w:eastAsia="Times New Roman" w:hAnsi="Book Antiqua"/>
          <w:sz w:val="24"/>
          <w:szCs w:val="20"/>
          <w:lang w:val="es-ES_tradnl"/>
        </w:rPr>
        <w:t xml:space="preserve"> </w:t>
      </w:r>
      <w:r w:rsidR="002F4246" w:rsidRPr="002F4246">
        <w:rPr>
          <w:rFonts w:ascii="Book Antiqua" w:eastAsia="Times New Roman" w:hAnsi="Book Antiqua"/>
          <w:sz w:val="24"/>
          <w:szCs w:val="24"/>
          <w:lang w:val="es-ES"/>
        </w:rPr>
        <w:t>Se enmienda el Artículo 4 de la Ley 117-2001, para que lea como sigue:</w:t>
      </w:r>
    </w:p>
    <w:p w14:paraId="20A0CC87" w14:textId="77777777" w:rsidR="002F4246" w:rsidRPr="002F4246" w:rsidRDefault="002F4246" w:rsidP="009C6FBE">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“Artículo 4.- Administración. </w:t>
      </w:r>
    </w:p>
    <w:p w14:paraId="53D32352" w14:textId="77777777" w:rsidR="002F4246" w:rsidRPr="002F4246" w:rsidRDefault="002F4246" w:rsidP="009C6FBE">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 El Departamento de Agricultura y el Banco de Desarrollo Económico para Puerto Rico, en estrecha colaboración, desarrollarán el Programa de Garantía de Préstamos y Préstamos Agrícolas de la siguiente manera: </w:t>
      </w:r>
    </w:p>
    <w:p w14:paraId="65FED72E" w14:textId="77777777" w:rsidR="002F4246" w:rsidRPr="002F4246" w:rsidRDefault="002F4246" w:rsidP="009C6FBE">
      <w:pPr>
        <w:spacing w:after="0" w:line="480" w:lineRule="auto"/>
        <w:ind w:left="72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(i) El Departamento de Agricultura deberá: </w:t>
      </w:r>
    </w:p>
    <w:p w14:paraId="7C91EA1B" w14:textId="77777777" w:rsidR="002F4246" w:rsidRPr="002F4246" w:rsidRDefault="002F4246" w:rsidP="009C6FBE">
      <w:pPr>
        <w:spacing w:after="0" w:line="480" w:lineRule="auto"/>
        <w:ind w:left="72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w:t>
      </w:r>
    </w:p>
    <w:p w14:paraId="04CF0B51" w14:textId="77777777" w:rsidR="002F4246" w:rsidRPr="002F4246" w:rsidRDefault="002F4246" w:rsidP="009C6FBE">
      <w:pPr>
        <w:spacing w:after="0" w:line="480" w:lineRule="auto"/>
        <w:ind w:left="72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(ii) El Banco de Desarrollo Económico para Puerto Rico deberá: </w:t>
      </w:r>
    </w:p>
    <w:p w14:paraId="15F1DF7F" w14:textId="77777777" w:rsidR="002F4246" w:rsidRPr="002F4246" w:rsidRDefault="002F4246" w:rsidP="009C6FBE">
      <w:pPr>
        <w:spacing w:after="0" w:line="480" w:lineRule="auto"/>
        <w:ind w:left="144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 … </w:t>
      </w:r>
    </w:p>
    <w:p w14:paraId="7B17C008" w14:textId="77777777" w:rsidR="002F4246" w:rsidRPr="009C6FBE" w:rsidRDefault="002F4246" w:rsidP="009C6FBE">
      <w:pPr>
        <w:spacing w:after="0" w:line="480" w:lineRule="auto"/>
        <w:ind w:left="144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(b) Evaluar la información sometida por el Departamento de Agricultura con relación al peticionario y extender garantía de préstamo agrícola o préstamo agrícola directo, de acuerdo a los parámetros para el programa, según establecidos en común acuerdo entre el Banco de Desarrollo Económico de Puerto Rico y el Departamento de Agricultura. </w:t>
      </w:r>
      <w:r w:rsidRPr="009C6FBE">
        <w:rPr>
          <w:rFonts w:ascii="Book Antiqua" w:eastAsia="Times New Roman" w:hAnsi="Book Antiqua"/>
          <w:sz w:val="24"/>
          <w:szCs w:val="24"/>
          <w:lang w:val="es-ES"/>
        </w:rPr>
        <w:t xml:space="preserve">No obstante, sin sujeción a las disposiciones que anteceden, y de contar con la debida solidez financiera, conforme a las leyes, reglamentos y prácticas aplicables, el Banco de Desarrollo Económico podrá flexibilizar </w:t>
      </w:r>
      <w:r w:rsidRPr="009C6FBE">
        <w:rPr>
          <w:rFonts w:ascii="Book Antiqua" w:eastAsia="Times New Roman" w:hAnsi="Book Antiqua"/>
          <w:sz w:val="24"/>
          <w:szCs w:val="24"/>
          <w:lang w:val="es-ES"/>
        </w:rPr>
        <w:lastRenderedPageBreak/>
        <w:t xml:space="preserve">o liberar los requisitos de financiamiento a los agricultores solicitantes, sin necesidad de imponer cuotas para préstamos y el establecimiento de requisitos menores en los colaterales de los mismos.   </w:t>
      </w:r>
    </w:p>
    <w:p w14:paraId="592EFC40" w14:textId="77777777" w:rsidR="002F4246" w:rsidRPr="009C6FBE" w:rsidRDefault="002F4246" w:rsidP="009C6FBE">
      <w:pPr>
        <w:spacing w:after="0" w:line="480" w:lineRule="auto"/>
        <w:ind w:left="1440"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 xml:space="preserve">(c)… </w:t>
      </w:r>
    </w:p>
    <w:p w14:paraId="7A8FFB23" w14:textId="730B64F5"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(b) El Departamento de Agricultura y el Banco de Desarrollo Económico para Puerto Rico, en estrecha colaboración, crearán un</w:t>
      </w:r>
      <w:r w:rsidR="006F2F16" w:rsidRPr="009C6FBE">
        <w:rPr>
          <w:rFonts w:ascii="Book Antiqua" w:eastAsia="Times New Roman" w:hAnsi="Book Antiqua"/>
          <w:sz w:val="24"/>
          <w:szCs w:val="24"/>
          <w:lang w:val="es-ES"/>
        </w:rPr>
        <w:t xml:space="preserve"> programa que le</w:t>
      </w:r>
      <w:r w:rsidR="003D7456" w:rsidRPr="009C6FBE">
        <w:rPr>
          <w:rFonts w:ascii="Book Antiqua" w:eastAsia="Times New Roman" w:hAnsi="Book Antiqua"/>
          <w:sz w:val="24"/>
          <w:szCs w:val="24"/>
          <w:lang w:val="es-ES"/>
        </w:rPr>
        <w:t>s</w:t>
      </w:r>
      <w:r w:rsidR="006F2F16" w:rsidRPr="009C6FBE">
        <w:rPr>
          <w:rFonts w:ascii="Book Antiqua" w:eastAsia="Times New Roman" w:hAnsi="Book Antiqua"/>
          <w:sz w:val="24"/>
          <w:szCs w:val="24"/>
          <w:lang w:val="es-ES"/>
        </w:rPr>
        <w:t xml:space="preserve"> brinde asesoría técnica</w:t>
      </w:r>
      <w:r w:rsidR="00354CFD" w:rsidRPr="009C6FBE">
        <w:rPr>
          <w:rFonts w:ascii="Book Antiqua" w:eastAsia="Times New Roman" w:hAnsi="Book Antiqua"/>
          <w:sz w:val="24"/>
          <w:szCs w:val="24"/>
          <w:lang w:val="es-ES"/>
        </w:rPr>
        <w:t xml:space="preserve">, capacitación empresarial </w:t>
      </w:r>
      <w:r w:rsidR="006F2F16" w:rsidRPr="009C6FBE">
        <w:rPr>
          <w:rFonts w:ascii="Book Antiqua" w:eastAsia="Times New Roman" w:hAnsi="Book Antiqua"/>
          <w:sz w:val="24"/>
          <w:szCs w:val="24"/>
          <w:lang w:val="es-ES"/>
        </w:rPr>
        <w:t>o mentorías a los agricultores y agroempresarios locales que</w:t>
      </w:r>
      <w:r w:rsidR="00354CFD" w:rsidRPr="009C6FBE">
        <w:rPr>
          <w:rFonts w:ascii="Book Antiqua" w:eastAsia="Times New Roman" w:hAnsi="Book Antiqua"/>
          <w:sz w:val="24"/>
          <w:szCs w:val="24"/>
          <w:lang w:val="es-ES"/>
        </w:rPr>
        <w:t xml:space="preserve"> interesen solicitar una garantía de préstamo agrícola o préstamo agrícola directo. Asimismo, podrán ofrecer servicios de gestoría de manera que se facilite la adquisición de licencias, permisos y certificaciones de todo tipo, relacionados a las solicitudes de garantía de préstamo agrícola o préstamo agrícola directo; disponiéndose que, el Departamento y el Banco podrán cobrar una cantidad nominal por tales servicios. </w:t>
      </w:r>
      <w:r w:rsidRPr="009C6FBE">
        <w:rPr>
          <w:rFonts w:ascii="Book Antiqua" w:eastAsia="Times New Roman" w:hAnsi="Book Antiqua"/>
          <w:sz w:val="24"/>
          <w:szCs w:val="24"/>
          <w:lang w:val="es-ES"/>
        </w:rPr>
        <w:t xml:space="preserve"> </w:t>
      </w:r>
    </w:p>
    <w:p w14:paraId="00A27065" w14:textId="2BC081AA"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(c) El Secretario del Departamento de Agricultura y el presidente del Banco de Desarrollo Económico remitirán a la Asamblea Legislativa de Puerto Rico, al 30 de junio de cada año, un informe conjunto sobre el funcionamiento del Programa de Garantía de Préstamos y Préstamos Agrícolas, según establecido al amparo de esta Ley. Disponiéndose, que los informes se presentarán a través de las Secretarías de las Cámaras Legislativas.”</w:t>
      </w:r>
    </w:p>
    <w:p w14:paraId="72BE7DC6" w14:textId="77777777" w:rsidR="002F4246" w:rsidRPr="002F4246" w:rsidRDefault="002F4246" w:rsidP="009C6FBE">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Sección 2.- Se enmienda el Artículo 8 de la Ley 117-2001, para que lea como sigue:</w:t>
      </w:r>
    </w:p>
    <w:p w14:paraId="10EBFFC8" w14:textId="77777777" w:rsidR="002F4246" w:rsidRPr="002F4246" w:rsidRDefault="002F4246" w:rsidP="009C6FBE">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“Artículo 8.- Reglamentación. </w:t>
      </w:r>
    </w:p>
    <w:p w14:paraId="48C05B6C" w14:textId="12CF2C74"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lastRenderedPageBreak/>
        <w:t xml:space="preserve">El Secretario del Departamento de Agricultura en coordinación con el Banco de Desarrollo Económico para Puerto Rico, </w:t>
      </w:r>
      <w:r w:rsidRPr="009C6FBE">
        <w:rPr>
          <w:rFonts w:ascii="Book Antiqua" w:eastAsia="Times New Roman" w:hAnsi="Book Antiqua"/>
          <w:sz w:val="24"/>
          <w:szCs w:val="24"/>
          <w:lang w:val="es-ES"/>
        </w:rPr>
        <w:t>establecerán los formularios para fines estadísticos que todo agricultor elegible deberá suscribir al solicitar la concesión de los incentivos provistos en esta Ley. Además, promulgarán aquellos reglamentos que sean necesarios para hacer efectivas las disposiciones y propósitos de esta Ley, y al así hacerlo podrán consultar con cualquier otra agencia gubernamental pertinente con jurisdicción sobre los incentivos provistos en esta Ley. Dichos reglamentos estarán sujetos, además, a las disposiciones de la Ley 38-2017, según enmendada, conocida como la “Ley de Procedimiento Administrativo Uniforme del Gobierno de Puerto Rico”. La ausencia de algún reglamento contemplado en esta Ley no impedirá la aplicación de la misma.”</w:t>
      </w:r>
    </w:p>
    <w:p w14:paraId="168007D1" w14:textId="77777777"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 xml:space="preserve">Sección 3.- Interpretación de la Ley </w:t>
      </w:r>
    </w:p>
    <w:p w14:paraId="48B89EA3" w14:textId="77777777"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 xml:space="preserve">Las disposiciones de esta Ley deberán interpretarse ampliamente para adelantar y apoyar sus propósitos. Por tanto, las disposiciones de esta Ley serán interpretadas liberalmente para poder alcanzar sus propósitos y dondequiera que algún poder específico o autoridad sea otorgado en esta Ley, la enumeración no se interpretará como que excluye o impide cualquier otro poder o autoridad de otra manera conferida a ésta. </w:t>
      </w:r>
    </w:p>
    <w:p w14:paraId="6DAAB884" w14:textId="717D241E"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Sección 4.-</w:t>
      </w:r>
      <w:r w:rsidR="009C6FBE">
        <w:rPr>
          <w:rFonts w:ascii="Book Antiqua" w:eastAsia="Times New Roman" w:hAnsi="Book Antiqua"/>
          <w:sz w:val="24"/>
          <w:szCs w:val="24"/>
          <w:lang w:val="es-ES"/>
        </w:rPr>
        <w:t xml:space="preserve"> </w:t>
      </w:r>
      <w:r w:rsidRPr="009C6FBE">
        <w:rPr>
          <w:rFonts w:ascii="Book Antiqua" w:eastAsia="Times New Roman" w:hAnsi="Book Antiqua"/>
          <w:sz w:val="24"/>
          <w:szCs w:val="24"/>
          <w:lang w:val="es-ES"/>
        </w:rPr>
        <w:t xml:space="preserve">Cláusula de Supremacía. </w:t>
      </w:r>
    </w:p>
    <w:p w14:paraId="49758FF8" w14:textId="56434133"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 xml:space="preserve">Ante cualquier inconsistencia entre la legislación o reglamentación vigente y las disposiciones incluidas en esta Ley, se dispone la supremacía de esta legislación. </w:t>
      </w:r>
    </w:p>
    <w:p w14:paraId="3E210C36" w14:textId="2198A7A8"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Sección 5.-</w:t>
      </w:r>
      <w:r w:rsidR="009C6FBE" w:rsidRPr="009C6FBE">
        <w:rPr>
          <w:rFonts w:ascii="Book Antiqua" w:eastAsia="Times New Roman" w:hAnsi="Book Antiqua"/>
          <w:sz w:val="24"/>
          <w:szCs w:val="24"/>
          <w:lang w:val="es-ES"/>
        </w:rPr>
        <w:t xml:space="preserve"> </w:t>
      </w:r>
      <w:r w:rsidRPr="009C6FBE">
        <w:rPr>
          <w:rFonts w:ascii="Book Antiqua" w:eastAsia="Times New Roman" w:hAnsi="Book Antiqua"/>
          <w:sz w:val="24"/>
          <w:szCs w:val="24"/>
          <w:lang w:val="es-ES"/>
        </w:rPr>
        <w:t xml:space="preserve">Cláusula de Separabilidad. </w:t>
      </w:r>
    </w:p>
    <w:p w14:paraId="14DE5BC5" w14:textId="77777777"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lastRenderedPageBreak/>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31735A7A" w14:textId="06AED0E6" w:rsidR="002F4246" w:rsidRPr="009C6FBE"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Sección 6.-</w:t>
      </w:r>
      <w:r w:rsidR="009C6FBE">
        <w:rPr>
          <w:rFonts w:ascii="Book Antiqua" w:eastAsia="Times New Roman" w:hAnsi="Book Antiqua"/>
          <w:sz w:val="24"/>
          <w:szCs w:val="24"/>
          <w:lang w:val="es-ES"/>
        </w:rPr>
        <w:t xml:space="preserve"> </w:t>
      </w:r>
      <w:r w:rsidRPr="009C6FBE">
        <w:rPr>
          <w:rFonts w:ascii="Book Antiqua" w:eastAsia="Times New Roman" w:hAnsi="Book Antiqua"/>
          <w:sz w:val="24"/>
          <w:szCs w:val="24"/>
          <w:lang w:val="es-ES"/>
        </w:rPr>
        <w:t xml:space="preserve">Vigencia. </w:t>
      </w:r>
    </w:p>
    <w:p w14:paraId="3162BFDB" w14:textId="77777777" w:rsidR="00D16C0B" w:rsidRDefault="002F4246" w:rsidP="009C6FBE">
      <w:pPr>
        <w:spacing w:after="0" w:line="480" w:lineRule="auto"/>
        <w:ind w:firstLine="360"/>
        <w:jc w:val="both"/>
        <w:rPr>
          <w:rFonts w:ascii="Book Antiqua" w:eastAsia="Times New Roman" w:hAnsi="Book Antiqua"/>
          <w:sz w:val="24"/>
          <w:szCs w:val="24"/>
          <w:lang w:val="es-ES"/>
        </w:rPr>
      </w:pPr>
      <w:r w:rsidRPr="009C6FBE">
        <w:rPr>
          <w:rFonts w:ascii="Book Antiqua" w:eastAsia="Times New Roman" w:hAnsi="Book Antiqua"/>
          <w:sz w:val="24"/>
          <w:szCs w:val="24"/>
          <w:lang w:val="es-ES"/>
        </w:rPr>
        <w:t>Esta Ley entrará en vigor inmediatamente después de su aprobación.</w:t>
      </w:r>
    </w:p>
    <w:p w14:paraId="78BD4655" w14:textId="77777777" w:rsidR="00487DF1" w:rsidRDefault="00487DF1" w:rsidP="00487DF1">
      <w:pPr>
        <w:suppressLineNumbers/>
        <w:spacing w:after="0" w:line="240" w:lineRule="auto"/>
        <w:ind w:left="3690" w:firstLine="270"/>
        <w:jc w:val="both"/>
        <w:rPr>
          <w:rFonts w:ascii="Book Antiqua" w:eastAsia="Times New Roman" w:hAnsi="Book Antiqua"/>
          <w:sz w:val="24"/>
          <w:szCs w:val="24"/>
          <w:lang w:val="es-ES" w:eastAsia="x-none"/>
        </w:rPr>
      </w:pPr>
    </w:p>
    <w:p w14:paraId="77FD0500" w14:textId="77777777" w:rsidR="00487DF1" w:rsidRDefault="00487DF1" w:rsidP="00487DF1">
      <w:pPr>
        <w:suppressLineNumbers/>
        <w:spacing w:after="0" w:line="240" w:lineRule="auto"/>
        <w:ind w:left="3690" w:firstLine="270"/>
        <w:jc w:val="both"/>
        <w:rPr>
          <w:rFonts w:ascii="Book Antiqua" w:eastAsia="Times New Roman" w:hAnsi="Book Antiqua"/>
          <w:sz w:val="24"/>
          <w:szCs w:val="24"/>
          <w:lang w:val="es-ES" w:eastAsia="x-none"/>
        </w:rPr>
      </w:pPr>
    </w:p>
    <w:p w14:paraId="7FE9F835" w14:textId="77777777" w:rsidR="00487DF1" w:rsidRPr="009C6FBE" w:rsidRDefault="00487DF1" w:rsidP="00487DF1">
      <w:pPr>
        <w:suppressLineNumbers/>
        <w:spacing w:after="0" w:line="480" w:lineRule="auto"/>
        <w:ind w:left="3690" w:firstLine="270"/>
        <w:jc w:val="both"/>
        <w:rPr>
          <w:rFonts w:ascii="Book Antiqua" w:eastAsia="Times New Roman" w:hAnsi="Book Antiqua"/>
          <w:sz w:val="24"/>
          <w:szCs w:val="20"/>
          <w:lang w:val="es-ES"/>
        </w:rPr>
      </w:pPr>
    </w:p>
    <w:sectPr w:rsidR="00487DF1" w:rsidRPr="009C6FBE"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1048" w14:textId="77777777" w:rsidR="00E85088" w:rsidRDefault="00E85088">
      <w:pPr>
        <w:spacing w:after="0" w:line="240" w:lineRule="auto"/>
      </w:pPr>
      <w:r>
        <w:separator/>
      </w:r>
    </w:p>
  </w:endnote>
  <w:endnote w:type="continuationSeparator" w:id="0">
    <w:p w14:paraId="55BF5E5E" w14:textId="77777777" w:rsidR="00E85088" w:rsidRDefault="00E85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C4DB1" w14:textId="77777777" w:rsidR="00E85088" w:rsidRDefault="00E85088">
      <w:pPr>
        <w:spacing w:after="0" w:line="240" w:lineRule="auto"/>
      </w:pPr>
      <w:r>
        <w:separator/>
      </w:r>
    </w:p>
  </w:footnote>
  <w:footnote w:type="continuationSeparator" w:id="0">
    <w:p w14:paraId="22BC0640" w14:textId="77777777" w:rsidR="00E85088" w:rsidRDefault="00E85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C225"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D1E8" w14:textId="77777777" w:rsidR="009C6FBE" w:rsidRPr="009C6FBE" w:rsidRDefault="009C6FBE" w:rsidP="009C6FBE">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bookmarkStart w:id="3" w:name="_Hlk36034857"/>
    <w:r w:rsidRPr="009C6FBE">
      <w:rPr>
        <w:rFonts w:ascii="Book Antiqua" w:eastAsia="MS Mincho" w:hAnsi="Book Antiqua"/>
        <w:b/>
        <w:sz w:val="24"/>
        <w:szCs w:val="24"/>
        <w:lang w:val="es-PR"/>
      </w:rPr>
      <w:t>TEXTO APROBADO EN VOTACIÓN FINAL POR EL SENADO</w:t>
    </w:r>
  </w:p>
  <w:p w14:paraId="0327A02E" w14:textId="56B4A242" w:rsidR="009C6FBE" w:rsidRPr="009C6FBE" w:rsidRDefault="009C6FBE" w:rsidP="009C6FBE">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 w:val="24"/>
        <w:szCs w:val="24"/>
      </w:rPr>
    </w:pPr>
    <w:r w:rsidRPr="009C6FBE">
      <w:rPr>
        <w:rFonts w:ascii="Book Antiqua" w:eastAsia="MS Mincho" w:hAnsi="Book Antiqua"/>
        <w:b/>
        <w:sz w:val="24"/>
        <w:szCs w:val="24"/>
      </w:rPr>
      <w:t>(</w:t>
    </w:r>
    <w:r>
      <w:rPr>
        <w:rFonts w:ascii="Book Antiqua" w:eastAsia="MS Mincho" w:hAnsi="Book Antiqua"/>
        <w:b/>
        <w:sz w:val="24"/>
        <w:szCs w:val="24"/>
      </w:rPr>
      <w:t>15</w:t>
    </w:r>
    <w:r w:rsidRPr="009C6FBE">
      <w:rPr>
        <w:rFonts w:ascii="Book Antiqua" w:eastAsia="MS Mincho" w:hAnsi="Book Antiqua"/>
        <w:b/>
        <w:sz w:val="24"/>
        <w:szCs w:val="24"/>
      </w:rPr>
      <w:t xml:space="preserve"> DE SEPTIEMBRE DE 2025)</w:t>
    </w:r>
    <w:bookmarkEnd w:id="3"/>
  </w:p>
  <w:p w14:paraId="4ABA387B" w14:textId="77777777" w:rsidR="009C6FBE" w:rsidRPr="009C6FBE" w:rsidRDefault="009C6FBE" w:rsidP="009C6FBE">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748727263">
    <w:abstractNumId w:val="0"/>
  </w:num>
  <w:num w:numId="2" w16cid:durableId="730233712">
    <w:abstractNumId w:val="2"/>
  </w:num>
  <w:num w:numId="3" w16cid:durableId="1142388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52977"/>
    <w:rsid w:val="00056129"/>
    <w:rsid w:val="00065BFA"/>
    <w:rsid w:val="00066235"/>
    <w:rsid w:val="00066500"/>
    <w:rsid w:val="00077963"/>
    <w:rsid w:val="00087773"/>
    <w:rsid w:val="000967A9"/>
    <w:rsid w:val="000A583A"/>
    <w:rsid w:val="000B323A"/>
    <w:rsid w:val="000B3E01"/>
    <w:rsid w:val="000E751B"/>
    <w:rsid w:val="000F2CCF"/>
    <w:rsid w:val="001041E0"/>
    <w:rsid w:val="0010506D"/>
    <w:rsid w:val="00107E8E"/>
    <w:rsid w:val="0013305F"/>
    <w:rsid w:val="00134C38"/>
    <w:rsid w:val="00143267"/>
    <w:rsid w:val="00143555"/>
    <w:rsid w:val="0014524B"/>
    <w:rsid w:val="00153279"/>
    <w:rsid w:val="00155A54"/>
    <w:rsid w:val="00161C6F"/>
    <w:rsid w:val="0016283B"/>
    <w:rsid w:val="00165A3F"/>
    <w:rsid w:val="00171278"/>
    <w:rsid w:val="00171CFB"/>
    <w:rsid w:val="00175948"/>
    <w:rsid w:val="0018588F"/>
    <w:rsid w:val="00195560"/>
    <w:rsid w:val="001D02A2"/>
    <w:rsid w:val="001D09DC"/>
    <w:rsid w:val="00201871"/>
    <w:rsid w:val="00202247"/>
    <w:rsid w:val="0020439E"/>
    <w:rsid w:val="00214FAE"/>
    <w:rsid w:val="00220507"/>
    <w:rsid w:val="00230F7A"/>
    <w:rsid w:val="0023395F"/>
    <w:rsid w:val="002352B8"/>
    <w:rsid w:val="00245798"/>
    <w:rsid w:val="00245DA3"/>
    <w:rsid w:val="0027708F"/>
    <w:rsid w:val="00277176"/>
    <w:rsid w:val="002834EE"/>
    <w:rsid w:val="00293074"/>
    <w:rsid w:val="00295B76"/>
    <w:rsid w:val="002962CF"/>
    <w:rsid w:val="002A1F08"/>
    <w:rsid w:val="002D357D"/>
    <w:rsid w:val="002D7ADD"/>
    <w:rsid w:val="002E3C61"/>
    <w:rsid w:val="002E51C9"/>
    <w:rsid w:val="002F3E30"/>
    <w:rsid w:val="002F4246"/>
    <w:rsid w:val="003003C0"/>
    <w:rsid w:val="00305A34"/>
    <w:rsid w:val="003111F4"/>
    <w:rsid w:val="0032550E"/>
    <w:rsid w:val="00343204"/>
    <w:rsid w:val="00345865"/>
    <w:rsid w:val="00354CFD"/>
    <w:rsid w:val="00357A19"/>
    <w:rsid w:val="003608B5"/>
    <w:rsid w:val="003625C8"/>
    <w:rsid w:val="00375864"/>
    <w:rsid w:val="003A2144"/>
    <w:rsid w:val="003A3B19"/>
    <w:rsid w:val="003D305D"/>
    <w:rsid w:val="003D7456"/>
    <w:rsid w:val="003E03D9"/>
    <w:rsid w:val="003E0A05"/>
    <w:rsid w:val="003F2983"/>
    <w:rsid w:val="003F60D5"/>
    <w:rsid w:val="00400D89"/>
    <w:rsid w:val="00403B86"/>
    <w:rsid w:val="0040637F"/>
    <w:rsid w:val="00406AC9"/>
    <w:rsid w:val="00422701"/>
    <w:rsid w:val="00450BFD"/>
    <w:rsid w:val="00461A71"/>
    <w:rsid w:val="0047070D"/>
    <w:rsid w:val="00471F47"/>
    <w:rsid w:val="00472D47"/>
    <w:rsid w:val="00477201"/>
    <w:rsid w:val="00487DF1"/>
    <w:rsid w:val="0049075C"/>
    <w:rsid w:val="0049262E"/>
    <w:rsid w:val="004939F0"/>
    <w:rsid w:val="004A0D2A"/>
    <w:rsid w:val="004A2381"/>
    <w:rsid w:val="004C0264"/>
    <w:rsid w:val="004C0C7E"/>
    <w:rsid w:val="004C7470"/>
    <w:rsid w:val="005010EB"/>
    <w:rsid w:val="00516690"/>
    <w:rsid w:val="005310A0"/>
    <w:rsid w:val="00541ACE"/>
    <w:rsid w:val="005454EC"/>
    <w:rsid w:val="0054754A"/>
    <w:rsid w:val="00553959"/>
    <w:rsid w:val="00556CAC"/>
    <w:rsid w:val="00565FC0"/>
    <w:rsid w:val="005961F4"/>
    <w:rsid w:val="005D05C3"/>
    <w:rsid w:val="005E3855"/>
    <w:rsid w:val="005F140A"/>
    <w:rsid w:val="00602769"/>
    <w:rsid w:val="00615C11"/>
    <w:rsid w:val="00622FB8"/>
    <w:rsid w:val="006304BD"/>
    <w:rsid w:val="00647CA1"/>
    <w:rsid w:val="00647E22"/>
    <w:rsid w:val="00657CD7"/>
    <w:rsid w:val="006641FA"/>
    <w:rsid w:val="006663A5"/>
    <w:rsid w:val="00697257"/>
    <w:rsid w:val="006B51ED"/>
    <w:rsid w:val="006B7584"/>
    <w:rsid w:val="006C57C3"/>
    <w:rsid w:val="006E21B0"/>
    <w:rsid w:val="006F2F16"/>
    <w:rsid w:val="006F640C"/>
    <w:rsid w:val="0070221B"/>
    <w:rsid w:val="007104A6"/>
    <w:rsid w:val="00712740"/>
    <w:rsid w:val="007307B3"/>
    <w:rsid w:val="00732A4B"/>
    <w:rsid w:val="00740E9E"/>
    <w:rsid w:val="00744193"/>
    <w:rsid w:val="00762C1C"/>
    <w:rsid w:val="007B2C95"/>
    <w:rsid w:val="007D4D00"/>
    <w:rsid w:val="007F5F45"/>
    <w:rsid w:val="00810140"/>
    <w:rsid w:val="00812DF8"/>
    <w:rsid w:val="008379A9"/>
    <w:rsid w:val="00843510"/>
    <w:rsid w:val="00851F9C"/>
    <w:rsid w:val="008639E9"/>
    <w:rsid w:val="00872807"/>
    <w:rsid w:val="008811D4"/>
    <w:rsid w:val="008911F0"/>
    <w:rsid w:val="00893E45"/>
    <w:rsid w:val="00897B97"/>
    <w:rsid w:val="008A32DF"/>
    <w:rsid w:val="008B7094"/>
    <w:rsid w:val="008C23D9"/>
    <w:rsid w:val="008C3E70"/>
    <w:rsid w:val="008E1994"/>
    <w:rsid w:val="008E5B87"/>
    <w:rsid w:val="008F1401"/>
    <w:rsid w:val="008F450E"/>
    <w:rsid w:val="0090554D"/>
    <w:rsid w:val="00906CAF"/>
    <w:rsid w:val="00911DF6"/>
    <w:rsid w:val="009219CF"/>
    <w:rsid w:val="009252D7"/>
    <w:rsid w:val="00933BDC"/>
    <w:rsid w:val="00953D7E"/>
    <w:rsid w:val="009545BE"/>
    <w:rsid w:val="00954834"/>
    <w:rsid w:val="00954A9D"/>
    <w:rsid w:val="009642BF"/>
    <w:rsid w:val="009712B8"/>
    <w:rsid w:val="00981770"/>
    <w:rsid w:val="00992D0B"/>
    <w:rsid w:val="00994DAF"/>
    <w:rsid w:val="009A3A5A"/>
    <w:rsid w:val="009A62A7"/>
    <w:rsid w:val="009A783E"/>
    <w:rsid w:val="009B1BF3"/>
    <w:rsid w:val="009C19EF"/>
    <w:rsid w:val="009C5AD6"/>
    <w:rsid w:val="009C6FBE"/>
    <w:rsid w:val="009D1502"/>
    <w:rsid w:val="009E1D4E"/>
    <w:rsid w:val="009E3F32"/>
    <w:rsid w:val="009E5E97"/>
    <w:rsid w:val="009F66B8"/>
    <w:rsid w:val="00A16B75"/>
    <w:rsid w:val="00A17841"/>
    <w:rsid w:val="00A17A6C"/>
    <w:rsid w:val="00A42E40"/>
    <w:rsid w:val="00A46492"/>
    <w:rsid w:val="00A4790A"/>
    <w:rsid w:val="00A50F5D"/>
    <w:rsid w:val="00A5528F"/>
    <w:rsid w:val="00A70EBE"/>
    <w:rsid w:val="00A81DAA"/>
    <w:rsid w:val="00A902F8"/>
    <w:rsid w:val="00A93462"/>
    <w:rsid w:val="00AA5EC0"/>
    <w:rsid w:val="00AF2339"/>
    <w:rsid w:val="00AF373F"/>
    <w:rsid w:val="00B11EB6"/>
    <w:rsid w:val="00B1575D"/>
    <w:rsid w:val="00B178EA"/>
    <w:rsid w:val="00B27408"/>
    <w:rsid w:val="00B51F91"/>
    <w:rsid w:val="00B52E55"/>
    <w:rsid w:val="00B538F9"/>
    <w:rsid w:val="00B6102A"/>
    <w:rsid w:val="00B610FE"/>
    <w:rsid w:val="00B61977"/>
    <w:rsid w:val="00B70100"/>
    <w:rsid w:val="00B70B76"/>
    <w:rsid w:val="00B71A50"/>
    <w:rsid w:val="00B7302E"/>
    <w:rsid w:val="00B865DA"/>
    <w:rsid w:val="00B950C6"/>
    <w:rsid w:val="00BA2A15"/>
    <w:rsid w:val="00BB198E"/>
    <w:rsid w:val="00BE3315"/>
    <w:rsid w:val="00BE7964"/>
    <w:rsid w:val="00C02ABF"/>
    <w:rsid w:val="00C105A0"/>
    <w:rsid w:val="00C14C0F"/>
    <w:rsid w:val="00C15CD6"/>
    <w:rsid w:val="00C37A63"/>
    <w:rsid w:val="00C4357B"/>
    <w:rsid w:val="00C60AA5"/>
    <w:rsid w:val="00C95978"/>
    <w:rsid w:val="00CA0B1D"/>
    <w:rsid w:val="00CB0C68"/>
    <w:rsid w:val="00CB7528"/>
    <w:rsid w:val="00CC3795"/>
    <w:rsid w:val="00CD1C31"/>
    <w:rsid w:val="00CD408B"/>
    <w:rsid w:val="00CD5925"/>
    <w:rsid w:val="00CD614D"/>
    <w:rsid w:val="00CE0F07"/>
    <w:rsid w:val="00CE2D95"/>
    <w:rsid w:val="00D02AA2"/>
    <w:rsid w:val="00D16C0B"/>
    <w:rsid w:val="00D24FC9"/>
    <w:rsid w:val="00D637AA"/>
    <w:rsid w:val="00D67ED8"/>
    <w:rsid w:val="00D80669"/>
    <w:rsid w:val="00D80F72"/>
    <w:rsid w:val="00DC2733"/>
    <w:rsid w:val="00DC315B"/>
    <w:rsid w:val="00DC6717"/>
    <w:rsid w:val="00DE0A10"/>
    <w:rsid w:val="00DF05A6"/>
    <w:rsid w:val="00E00D22"/>
    <w:rsid w:val="00E05AA2"/>
    <w:rsid w:val="00E224CC"/>
    <w:rsid w:val="00E2663C"/>
    <w:rsid w:val="00E40D22"/>
    <w:rsid w:val="00E41F30"/>
    <w:rsid w:val="00E45F9B"/>
    <w:rsid w:val="00E531D0"/>
    <w:rsid w:val="00E61D2D"/>
    <w:rsid w:val="00E70C85"/>
    <w:rsid w:val="00E75882"/>
    <w:rsid w:val="00E80602"/>
    <w:rsid w:val="00E838DD"/>
    <w:rsid w:val="00E85088"/>
    <w:rsid w:val="00E906EF"/>
    <w:rsid w:val="00EB5F54"/>
    <w:rsid w:val="00EC551B"/>
    <w:rsid w:val="00EC5ACE"/>
    <w:rsid w:val="00EC6EA0"/>
    <w:rsid w:val="00ED00BD"/>
    <w:rsid w:val="00ED0EA4"/>
    <w:rsid w:val="00F01D91"/>
    <w:rsid w:val="00F47E75"/>
    <w:rsid w:val="00F504D6"/>
    <w:rsid w:val="00F6165C"/>
    <w:rsid w:val="00F64EA4"/>
    <w:rsid w:val="00F80568"/>
    <w:rsid w:val="00F84EAC"/>
    <w:rsid w:val="00F85EDA"/>
    <w:rsid w:val="00F91AF4"/>
    <w:rsid w:val="00F97DF0"/>
    <w:rsid w:val="00FA0F89"/>
    <w:rsid w:val="00FA2905"/>
    <w:rsid w:val="00FC3C34"/>
    <w:rsid w:val="00FC4CD9"/>
    <w:rsid w:val="00FC620F"/>
    <w:rsid w:val="00FF539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162DF41"/>
  <w15:chartTrackingRefBased/>
  <w15:docId w15:val="{9A0E15AF-4B4E-4D86-9E86-19F907064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339387557">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9F9890-4859-4CE1-B78D-36A44052D07A}">
  <ds:schemaRefs>
    <ds:schemaRef ds:uri="http://schemas.openxmlformats.org/officeDocument/2006/bibliography"/>
  </ds:schemaRefs>
</ds:datastoreItem>
</file>

<file path=customXml/itemProps2.xml><?xml version="1.0" encoding="utf-8"?>
<ds:datastoreItem xmlns:ds="http://schemas.openxmlformats.org/officeDocument/2006/customXml" ds:itemID="{B872DA91-FEFD-4447-B11B-AB95DBB7E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AB494B-C768-44DF-98FF-B623C9E24384}">
  <ds:schemaRefs>
    <ds:schemaRef ds:uri="http://schemas.microsoft.com/sharepoint/v3/contenttype/forms"/>
  </ds:schemaRefs>
</ds:datastoreItem>
</file>

<file path=customXml/itemProps4.xml><?xml version="1.0" encoding="utf-8"?>
<ds:datastoreItem xmlns:ds="http://schemas.openxmlformats.org/officeDocument/2006/customXml" ds:itemID="{5C30E831-207A-4DEF-9A09-08D68126C721}">
  <ds:schemaRefs>
    <ds:schemaRef ds:uri="http://schemas.microsoft.com/sharepoint/events"/>
  </ds:schemaRefs>
</ds:datastoreItem>
</file>

<file path=customXml/itemProps5.xml><?xml version="1.0" encoding="utf-8"?>
<ds:datastoreItem xmlns:ds="http://schemas.openxmlformats.org/officeDocument/2006/customXml" ds:itemID="{797F9521-8376-48D3-B245-AF2284EB36F9}">
  <ds:schemaRefs>
    <ds:schemaRef ds:uri="http://schemas.microsoft.com/office/2006/metadata/longProperties"/>
  </ds:schemaRefs>
</ds:datastoreItem>
</file>

<file path=customXml/itemProps6.xml><?xml version="1.0" encoding="utf-8"?>
<ds:datastoreItem xmlns:ds="http://schemas.openxmlformats.org/officeDocument/2006/customXml" ds:itemID="{B2E26A4D-C9A6-404C-9CA4-9F6F7E66361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1281</Words>
  <Characters>7308</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Camyl Moreno Pantojas</cp:lastModifiedBy>
  <cp:revision>2</cp:revision>
  <cp:lastPrinted>2024-06-21T13:16:00Z</cp:lastPrinted>
  <dcterms:created xsi:type="dcterms:W3CDTF">2025-09-23T13:46:00Z</dcterms:created>
  <dcterms:modified xsi:type="dcterms:W3CDTF">2025-09-23T13:46:00Z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4SQX5P7U7WPY-958212181-810094</vt:lpwstr>
  </property>
  <property fmtid="{D5CDD505-2E9C-101B-9397-08002B2CF9AE}" pid="3" name="_dlc_DocIdItemGuid">
    <vt:lpwstr>3549ff57-ee93-4d25-b691-6fa4e248d50e</vt:lpwstr>
  </property>
  <property fmtid="{D5CDD505-2E9C-101B-9397-08002B2CF9AE}" pid="4" name="_dlc_DocIdUrl">
    <vt:lpwstr>https://senpr.sharepoint.com/sites/obralegislativa/_layouts/15/DocIdRedir.aspx?ID=4SQX5P7U7WPY-958212181-810094, 4SQX5P7U7WPY-958212181-810094</vt:lpwstr>
  </property>
</Properties>
</file>