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727F5" w14:textId="10AAC3B1" w:rsidR="00DF7D86" w:rsidRPr="001711E6" w:rsidRDefault="0038510E">
      <w:pPr>
        <w:tabs>
          <w:tab w:val="center" w:pos="4680"/>
        </w:tabs>
        <w:rPr>
          <w:rFonts w:ascii="Book Antiqua" w:eastAsia="Book Antiqua" w:hAnsi="Book Antiqua" w:cs="Book Antiqua"/>
          <w:color w:val="000000" w:themeColor="text1"/>
          <w:sz w:val="28"/>
          <w:szCs w:val="28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 w:val="28"/>
          <w:szCs w:val="28"/>
          <w:lang w:val="es-PR"/>
        </w:rPr>
        <w:tab/>
      </w:r>
      <w:r w:rsidR="00B45797" w:rsidRPr="001711E6">
        <w:rPr>
          <w:rFonts w:ascii="Book Antiqua" w:eastAsia="Book Antiqua" w:hAnsi="Book Antiqua" w:cs="Book Antiqua"/>
          <w:color w:val="000000" w:themeColor="text1"/>
          <w:sz w:val="28"/>
          <w:szCs w:val="28"/>
          <w:lang w:val="es-PR"/>
        </w:rPr>
        <w:t>GOBIERNO</w:t>
      </w:r>
      <w:r w:rsidRPr="001711E6">
        <w:rPr>
          <w:rFonts w:ascii="Book Antiqua" w:eastAsia="Book Antiqua" w:hAnsi="Book Antiqua" w:cs="Book Antiqua"/>
          <w:color w:val="000000" w:themeColor="text1"/>
          <w:sz w:val="28"/>
          <w:szCs w:val="28"/>
          <w:lang w:val="es-PR"/>
        </w:rPr>
        <w:t xml:space="preserve"> DE PUERTO RICO</w:t>
      </w:r>
    </w:p>
    <w:p w14:paraId="02A4AC1D" w14:textId="77777777" w:rsidR="00DF7D86" w:rsidRPr="001711E6" w:rsidRDefault="00DF7D86">
      <w:pPr>
        <w:tabs>
          <w:tab w:val="center" w:pos="4680"/>
        </w:tabs>
        <w:rPr>
          <w:rFonts w:ascii="Book Antiqua" w:eastAsia="Book Antiqua" w:hAnsi="Book Antiqua" w:cs="Book Antiqua"/>
          <w:color w:val="000000" w:themeColor="text1"/>
          <w:sz w:val="28"/>
          <w:szCs w:val="28"/>
          <w:lang w:val="es-PR"/>
        </w:rPr>
      </w:pPr>
    </w:p>
    <w:p w14:paraId="026B7A4E" w14:textId="717DDBC0" w:rsidR="00DF7D86" w:rsidRPr="001711E6" w:rsidRDefault="00B45797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>20</w:t>
      </w:r>
      <w:r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m</w:t>
      </w:r>
      <w:r w:rsidR="0038510E"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a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Asamblea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>1</w:t>
      </w:r>
      <w:r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r</w:t>
      </w:r>
      <w:r w:rsidR="0038510E"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a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Sesión</w:t>
      </w:r>
    </w:p>
    <w:p w14:paraId="703FA46E" w14:textId="77777777" w:rsidR="00DF7D86" w:rsidRPr="001711E6" w:rsidRDefault="0038510E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Legislativa</w:t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Ordinaria</w:t>
      </w:r>
    </w:p>
    <w:p w14:paraId="5493F33C" w14:textId="77777777" w:rsidR="00DF7D86" w:rsidRPr="001711E6" w:rsidRDefault="00DF7D86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36"/>
          <w:szCs w:val="36"/>
          <w:lang w:val="es-PR"/>
        </w:rPr>
      </w:pPr>
    </w:p>
    <w:p w14:paraId="4AE730EB" w14:textId="77777777" w:rsidR="00DF7D86" w:rsidRPr="00251481" w:rsidRDefault="0038510E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pacing w:val="12"/>
          <w:sz w:val="36"/>
          <w:szCs w:val="36"/>
          <w:lang w:val="es-PR"/>
        </w:rPr>
      </w:pPr>
      <w:r w:rsidRPr="00251481">
        <w:rPr>
          <w:rFonts w:ascii="Book Antiqua" w:eastAsia="Book Antiqua" w:hAnsi="Book Antiqua" w:cs="Book Antiqua"/>
          <w:b/>
          <w:color w:val="000000" w:themeColor="text1"/>
          <w:spacing w:val="12"/>
          <w:sz w:val="36"/>
          <w:szCs w:val="36"/>
          <w:lang w:val="es-PR"/>
        </w:rPr>
        <w:t>CÁMARA DE REPRESENTANTES</w:t>
      </w:r>
    </w:p>
    <w:p w14:paraId="224C8555" w14:textId="29E92A59" w:rsidR="00DF7D86" w:rsidRPr="001711E6" w:rsidRDefault="00611979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</w:pPr>
      <w:r w:rsidRPr="001711E6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 xml:space="preserve">P. de la C. </w:t>
      </w:r>
      <w:r w:rsidR="001015D5" w:rsidRPr="001711E6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1</w:t>
      </w:r>
      <w:r w:rsidR="001D23E0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80</w:t>
      </w:r>
    </w:p>
    <w:p w14:paraId="6CA3DF2C" w14:textId="77777777" w:rsidR="00DF7D86" w:rsidRPr="00251481" w:rsidRDefault="0038510E" w:rsidP="00FC1C6B">
      <w:pPr>
        <w:spacing w:after="160"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pacing w:val="12"/>
          <w:sz w:val="28"/>
          <w:szCs w:val="28"/>
          <w:lang w:val="es-PR"/>
        </w:rPr>
      </w:pPr>
      <w:r w:rsidRPr="00251481">
        <w:rPr>
          <w:rFonts w:ascii="Book Antiqua" w:eastAsia="Book Antiqua" w:hAnsi="Book Antiqua" w:cs="Book Antiqua"/>
          <w:b/>
          <w:color w:val="000000" w:themeColor="text1"/>
          <w:spacing w:val="12"/>
          <w:sz w:val="28"/>
          <w:szCs w:val="28"/>
          <w:lang w:val="es-PR"/>
        </w:rPr>
        <w:t>INFORME POSITIVO</w:t>
      </w:r>
    </w:p>
    <w:p w14:paraId="65B59E42" w14:textId="41882947" w:rsidR="00DF7D86" w:rsidRDefault="00BE2FE1" w:rsidP="00FC1C6B">
      <w:pPr>
        <w:spacing w:after="160" w:line="360" w:lineRule="auto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11</w:t>
      </w:r>
      <w:r w:rsidR="001015D5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6C5F3E">
        <w:rPr>
          <w:rFonts w:ascii="Book Antiqua" w:eastAsia="Book Antiqua" w:hAnsi="Book Antiqua" w:cs="Book Antiqua"/>
          <w:color w:val="000000" w:themeColor="text1"/>
          <w:lang w:val="es-PR"/>
        </w:rPr>
        <w:t>abril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de 202</w:t>
      </w:r>
      <w:r w:rsidR="00B45797" w:rsidRPr="001711E6">
        <w:rPr>
          <w:rFonts w:ascii="Book Antiqua" w:eastAsia="Book Antiqua" w:hAnsi="Book Antiqua" w:cs="Book Antiqua"/>
          <w:color w:val="000000" w:themeColor="text1"/>
          <w:lang w:val="es-PR"/>
        </w:rPr>
        <w:t>5</w:t>
      </w:r>
    </w:p>
    <w:p w14:paraId="2714CB15" w14:textId="77777777" w:rsidR="00DF7D86" w:rsidRPr="00251481" w:rsidRDefault="0038510E">
      <w:pPr>
        <w:jc w:val="both"/>
        <w:rPr>
          <w:rFonts w:ascii="Book Antiqua" w:eastAsia="Book Antiqua" w:hAnsi="Book Antiqua" w:cs="Book Antiqua"/>
          <w:b/>
          <w:color w:val="000000" w:themeColor="text1"/>
          <w:spacing w:val="12"/>
          <w:lang w:val="es-PR"/>
        </w:rPr>
      </w:pPr>
      <w:r w:rsidRPr="00251481">
        <w:rPr>
          <w:rFonts w:ascii="Book Antiqua" w:eastAsia="Book Antiqua" w:hAnsi="Book Antiqua" w:cs="Book Antiqua"/>
          <w:b/>
          <w:color w:val="000000" w:themeColor="text1"/>
          <w:spacing w:val="12"/>
          <w:lang w:val="es-PR"/>
        </w:rPr>
        <w:t>A LA CÁMARA DE REPRESENTANTES DE PUERTO RICO</w:t>
      </w:r>
    </w:p>
    <w:p w14:paraId="63BF9BD9" w14:textId="77777777" w:rsidR="00DF7D86" w:rsidRPr="001711E6" w:rsidRDefault="00DF7D86">
      <w:pPr>
        <w:ind w:firstLine="36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48CACF04" w14:textId="75E52D72" w:rsidR="00DF7D86" w:rsidRPr="001711E6" w:rsidRDefault="00436471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La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Comisión </w:t>
      </w:r>
      <w:r w:rsidR="00B45797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1711E6" w:rsidRPr="001711E6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1015D5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o Jurídico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>de la Cámara de Representantes</w:t>
      </w:r>
      <w:r w:rsidR="007B257D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del </w:t>
      </w:r>
      <w:r w:rsidR="00B45797" w:rsidRPr="001711E6">
        <w:rPr>
          <w:rFonts w:ascii="Book Antiqua" w:eastAsia="Book Antiqua" w:hAnsi="Book Antiqua" w:cs="Book Antiqua"/>
          <w:color w:val="000000" w:themeColor="text1"/>
          <w:lang w:val="es-PR"/>
        </w:rPr>
        <w:t>Gobierno</w:t>
      </w:r>
      <w:r w:rsidR="007B257D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de Puerto Rico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>, previo estudio y c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onsideración del P. de la C. </w:t>
      </w:r>
      <w:r w:rsidR="001015D5" w:rsidRPr="001711E6">
        <w:rPr>
          <w:rFonts w:ascii="Book Antiqua" w:eastAsia="Book Antiqua" w:hAnsi="Book Antiqua" w:cs="Book Antiqua"/>
          <w:color w:val="000000" w:themeColor="text1"/>
          <w:lang w:val="es-PR"/>
        </w:rPr>
        <w:t>1</w:t>
      </w:r>
      <w:r w:rsidR="001D23E0">
        <w:rPr>
          <w:rFonts w:ascii="Book Antiqua" w:eastAsia="Book Antiqua" w:hAnsi="Book Antiqua" w:cs="Book Antiqua"/>
          <w:color w:val="000000" w:themeColor="text1"/>
          <w:lang w:val="es-PR"/>
        </w:rPr>
        <w:t>80</w:t>
      </w:r>
      <w:r w:rsidR="00900740" w:rsidRPr="001711E6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D93990" w:rsidRPr="001711E6">
        <w:rPr>
          <w:rFonts w:ascii="Book Antiqua" w:eastAsia="Book Antiqua" w:hAnsi="Book Antiqua" w:cs="Book Antiqua"/>
          <w:color w:val="000000" w:themeColor="text1"/>
          <w:lang w:val="es-PR"/>
        </w:rPr>
        <w:t>recom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i</w:t>
      </w:r>
      <w:r w:rsidR="00D93990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enda su </w:t>
      </w:r>
      <w:r w:rsidR="007B257D" w:rsidRPr="001711E6">
        <w:rPr>
          <w:rFonts w:ascii="Book Antiqua" w:eastAsia="Book Antiqua" w:hAnsi="Book Antiqua" w:cs="Book Antiqua"/>
          <w:color w:val="000000" w:themeColor="text1"/>
          <w:lang w:val="es-PR"/>
        </w:rPr>
        <w:t>aprobación</w:t>
      </w:r>
      <w:r w:rsidR="00900740" w:rsidRPr="001711E6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con las enmiendas que se encuentran en el </w:t>
      </w:r>
      <w:r w:rsidR="006739EE" w:rsidRPr="001711E6">
        <w:rPr>
          <w:rFonts w:ascii="Book Antiqua" w:eastAsia="Book Antiqua" w:hAnsi="Book Antiqua" w:cs="Book Antiqua"/>
          <w:color w:val="000000" w:themeColor="text1"/>
          <w:lang w:val="es-PR"/>
        </w:rPr>
        <w:t>entrillado</w:t>
      </w:r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electrónico que se acompaña.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2774979C" w14:textId="77777777" w:rsidR="00DF7D86" w:rsidRPr="001711E6" w:rsidRDefault="00DF7D86">
      <w:pPr>
        <w:rPr>
          <w:rFonts w:ascii="Book Antiqua" w:eastAsia="Book Antiqua" w:hAnsi="Book Antiqua" w:cs="Book Antiqua"/>
          <w:b/>
          <w:color w:val="000000" w:themeColor="text1"/>
          <w:sz w:val="32"/>
          <w:szCs w:val="32"/>
          <w:lang w:val="es-PR"/>
        </w:rPr>
      </w:pPr>
    </w:p>
    <w:p w14:paraId="00C5E8B9" w14:textId="77777777" w:rsidR="003B38A4" w:rsidRPr="00251481" w:rsidRDefault="003B38A4" w:rsidP="003B38A4">
      <w:pPr>
        <w:jc w:val="center"/>
        <w:rPr>
          <w:rFonts w:ascii="Book Antiqua" w:eastAsia="Book Antiqua" w:hAnsi="Book Antiqua" w:cs="Book Antiqua"/>
          <w:b/>
          <w:bCs/>
          <w:color w:val="000000" w:themeColor="text1"/>
          <w:spacing w:val="12"/>
          <w:lang w:val="es-PR"/>
        </w:rPr>
      </w:pPr>
      <w:r w:rsidRPr="00251481">
        <w:rPr>
          <w:rFonts w:ascii="Book Antiqua" w:eastAsia="Book Antiqua" w:hAnsi="Book Antiqua" w:cs="Book Antiqua"/>
          <w:b/>
          <w:bCs/>
          <w:color w:val="000000" w:themeColor="text1"/>
          <w:spacing w:val="12"/>
          <w:lang w:val="es-PR"/>
        </w:rPr>
        <w:t>ALCANCE DE LA MEDIDA</w:t>
      </w:r>
    </w:p>
    <w:p w14:paraId="1C560ACC" w14:textId="77777777" w:rsidR="00C54AD6" w:rsidRPr="001711E6" w:rsidRDefault="00C54AD6" w:rsidP="003B38A4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1840F209" w14:textId="1D81F4F2" w:rsidR="0099305E" w:rsidRDefault="003B38A4" w:rsidP="001015D5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El </w:t>
      </w:r>
      <w:r w:rsidR="00FC1C6B" w:rsidRPr="001711E6">
        <w:rPr>
          <w:rFonts w:ascii="Book Antiqua" w:eastAsia="Book Antiqua" w:hAnsi="Book Antiqua" w:cs="Book Antiqua"/>
          <w:color w:val="000000" w:themeColor="text1"/>
          <w:lang w:val="es-PR"/>
        </w:rPr>
        <w:t>P. de la C. 1</w:t>
      </w:r>
      <w:r w:rsidR="008F345E">
        <w:rPr>
          <w:rFonts w:ascii="Book Antiqua" w:eastAsia="Book Antiqua" w:hAnsi="Book Antiqua" w:cs="Book Antiqua"/>
          <w:color w:val="000000" w:themeColor="text1"/>
          <w:lang w:val="es-PR"/>
        </w:rPr>
        <w:t>80</w:t>
      </w:r>
      <w:r w:rsidR="008D32D5">
        <w:rPr>
          <w:rFonts w:ascii="Book Antiqua" w:eastAsia="Book Antiqua" w:hAnsi="Book Antiqua" w:cs="Book Antiqua"/>
          <w:color w:val="000000" w:themeColor="text1"/>
          <w:lang w:val="es-PR"/>
        </w:rPr>
        <w:t xml:space="preserve"> propone</w:t>
      </w:r>
      <w:r w:rsidR="00623890">
        <w:rPr>
          <w:rFonts w:ascii="Book Antiqua" w:eastAsia="Book Antiqua" w:hAnsi="Book Antiqua" w:cs="Book Antiqua"/>
          <w:color w:val="000000" w:themeColor="text1"/>
          <w:lang w:val="es-PR"/>
        </w:rPr>
        <w:t>:</w:t>
      </w:r>
      <w:r w:rsidR="008D32D5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BF383C">
        <w:rPr>
          <w:rFonts w:ascii="Book Antiqua" w:hAnsi="Book Antiqua"/>
          <w:szCs w:val="24"/>
          <w:lang w:val="es-PR"/>
        </w:rPr>
        <w:t>enmendar el Artículo 127-C de la Ley 146-2012, según enmendada, conocida como Código Penal de Puerto Rico, a los fines de modificar las cantidades monetarias y establecer penas fijas a los delitos de explotación financiera de personas de edad avanzada</w:t>
      </w:r>
      <w:r w:rsidR="00BF383C" w:rsidRPr="00C54342">
        <w:rPr>
          <w:rFonts w:ascii="Book Antiqua" w:hAnsi="Book Antiqua"/>
          <w:lang w:val="es-ES"/>
        </w:rPr>
        <w:t>;</w:t>
      </w:r>
      <w:r w:rsidR="00BF383C" w:rsidRPr="0054195B">
        <w:rPr>
          <w:rFonts w:ascii="Book Antiqua" w:hAnsi="Book Antiqua"/>
          <w:lang w:val="es-ES"/>
        </w:rPr>
        <w:t xml:space="preserve"> y para otros fines relacionados</w:t>
      </w:r>
      <w:r w:rsidR="00BF383C" w:rsidRPr="00B124BE">
        <w:rPr>
          <w:rFonts w:ascii="Book Antiqua" w:hAnsi="Book Antiqua"/>
          <w:szCs w:val="24"/>
          <w:lang w:val="es-PR"/>
        </w:rPr>
        <w:t>.</w:t>
      </w:r>
    </w:p>
    <w:p w14:paraId="2A0B78B8" w14:textId="77777777" w:rsidR="00D36C6D" w:rsidRDefault="00D36C6D" w:rsidP="001015D5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0B26FB88" w14:textId="77777777" w:rsidR="00015228" w:rsidRPr="001711E6" w:rsidRDefault="00015228" w:rsidP="00C54AD6">
      <w:pPr>
        <w:jc w:val="center"/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</w:pPr>
    </w:p>
    <w:p w14:paraId="59AC646E" w14:textId="2DA0C15E" w:rsidR="003B38A4" w:rsidRPr="00EC35AA" w:rsidRDefault="003B38A4" w:rsidP="00C54AD6">
      <w:pPr>
        <w:jc w:val="center"/>
        <w:rPr>
          <w:rFonts w:ascii="Book Antiqua" w:eastAsia="Book Antiqua" w:hAnsi="Book Antiqua" w:cs="Book Antiqua"/>
          <w:b/>
          <w:bCs/>
          <w:color w:val="000000" w:themeColor="text1"/>
          <w:spacing w:val="12"/>
          <w:lang w:val="es-PR"/>
        </w:rPr>
      </w:pPr>
      <w:r w:rsidRPr="00EC35AA">
        <w:rPr>
          <w:rFonts w:ascii="Book Antiqua" w:eastAsia="Book Antiqua" w:hAnsi="Book Antiqua" w:cs="Book Antiqua"/>
          <w:b/>
          <w:bCs/>
          <w:color w:val="000000" w:themeColor="text1"/>
          <w:spacing w:val="12"/>
          <w:lang w:val="es-PR"/>
        </w:rPr>
        <w:t>ANÁLISIS DE LA MEDIDA</w:t>
      </w:r>
    </w:p>
    <w:p w14:paraId="4595A8FA" w14:textId="7777777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F194DCC" w14:textId="000ADEA9" w:rsidR="00AF0F3C" w:rsidRDefault="00AF0F3C" w:rsidP="008B701E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Según la exposición de motivos del </w:t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>P. de la C. 1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80, </w:t>
      </w:r>
      <w:r w:rsidR="00DE68EE">
        <w:rPr>
          <w:rFonts w:ascii="Book Antiqua" w:eastAsia="Book Antiqua" w:hAnsi="Book Antiqua" w:cs="Book Antiqua"/>
          <w:color w:val="000000" w:themeColor="text1"/>
          <w:lang w:val="es-PR"/>
        </w:rPr>
        <w:t>existe discrepancias entre</w:t>
      </w:r>
      <w:r w:rsidR="00DE68EE" w:rsidRPr="00DE68EE">
        <w:rPr>
          <w:rFonts w:ascii="Book Antiqua" w:eastAsia="Book Antiqua" w:hAnsi="Book Antiqua" w:cs="Book Antiqua"/>
          <w:color w:val="000000" w:themeColor="text1"/>
          <w:lang w:val="es-PR"/>
        </w:rPr>
        <w:t xml:space="preserve"> los Artículos 127-C y 182 del Código Penal de Puerto Rico</w:t>
      </w:r>
      <w:r w:rsidR="00DE68EE">
        <w:rPr>
          <w:rFonts w:ascii="Book Antiqua" w:eastAsia="Book Antiqua" w:hAnsi="Book Antiqua" w:cs="Book Antiqua"/>
          <w:color w:val="000000" w:themeColor="text1"/>
          <w:lang w:val="es-PR"/>
        </w:rPr>
        <w:t>:</w:t>
      </w:r>
      <w:r w:rsidR="00D16AE8">
        <w:rPr>
          <w:rFonts w:ascii="Book Antiqua" w:eastAsia="Book Antiqua" w:hAnsi="Book Antiqua" w:cs="Book Antiqua"/>
          <w:color w:val="000000" w:themeColor="text1"/>
          <w:lang w:val="es-PR"/>
        </w:rPr>
        <w:t xml:space="preserve"> podría suceder que, </w:t>
      </w:r>
      <w:r w:rsidR="00D16AE8" w:rsidRPr="00D16AE8">
        <w:rPr>
          <w:rFonts w:ascii="Book Antiqua" w:eastAsia="Book Antiqua" w:hAnsi="Book Antiqua" w:cs="Book Antiqua"/>
          <w:color w:val="000000" w:themeColor="text1"/>
          <w:lang w:val="es-PR"/>
        </w:rPr>
        <w:t>si los bienes en cuestión objeto de delito pertenecen a una persona de edad avanzada</w:t>
      </w:r>
      <w:r w:rsidR="00603D79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D16AE8" w:rsidRPr="00D16AE8">
        <w:rPr>
          <w:rFonts w:ascii="Book Antiqua" w:eastAsia="Book Antiqua" w:hAnsi="Book Antiqua" w:cs="Book Antiqua"/>
          <w:color w:val="000000" w:themeColor="text1"/>
          <w:lang w:val="es-PR"/>
        </w:rPr>
        <w:t>—a tenor con lo dispuesto en el Artículo 127-C (b)—</w:t>
      </w:r>
      <w:r w:rsidR="00603D79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D16AE8" w:rsidRPr="00D16AE8">
        <w:rPr>
          <w:rFonts w:ascii="Book Antiqua" w:eastAsia="Book Antiqua" w:hAnsi="Book Antiqua" w:cs="Book Antiqua"/>
          <w:color w:val="000000" w:themeColor="text1"/>
          <w:lang w:val="es-PR"/>
        </w:rPr>
        <w:t>la pena impuesta sería menor que si los mismos bienes muebles objeto de delito pertenecieran a cualquiera otro bajo las disposiciones del Artículo 182 del Código Penal.</w:t>
      </w:r>
      <w:r w:rsidR="008B2262">
        <w:rPr>
          <w:rFonts w:ascii="Book Antiqua" w:eastAsia="Book Antiqua" w:hAnsi="Book Antiqua" w:cs="Book Antiqua"/>
          <w:color w:val="000000" w:themeColor="text1"/>
          <w:lang w:val="es-PR"/>
        </w:rPr>
        <w:t xml:space="preserve"> Así, esta medida propone subsanar </w:t>
      </w:r>
      <w:r w:rsidR="00D076CD">
        <w:rPr>
          <w:rFonts w:ascii="Book Antiqua" w:eastAsia="Book Antiqua" w:hAnsi="Book Antiqua" w:cs="Book Antiqua"/>
          <w:color w:val="000000" w:themeColor="text1"/>
          <w:lang w:val="es-PR"/>
        </w:rPr>
        <w:t>lo anterior.</w:t>
      </w:r>
    </w:p>
    <w:p w14:paraId="5AC5AB09" w14:textId="77777777" w:rsidR="00AF0F3C" w:rsidRDefault="00AF0F3C" w:rsidP="008B701E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4A34FFD6" w14:textId="08CA7A62" w:rsidR="00F32A21" w:rsidRDefault="002A2E53" w:rsidP="008B701E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Esta Comisión tiene ante su consideración </w:t>
      </w:r>
      <w:r w:rsidR="00D1510D">
        <w:rPr>
          <w:rFonts w:ascii="Book Antiqua" w:eastAsia="Book Antiqua" w:hAnsi="Book Antiqua" w:cs="Book Antiqua"/>
          <w:color w:val="000000" w:themeColor="text1"/>
          <w:lang w:val="es-PR"/>
        </w:rPr>
        <w:t>u</w:t>
      </w:r>
      <w:r w:rsidR="00EC7D5C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na medida </w:t>
      </w:r>
      <w:r w:rsidR="005D5254">
        <w:rPr>
          <w:rFonts w:ascii="Book Antiqua" w:eastAsia="Book Antiqua" w:hAnsi="Book Antiqua" w:cs="Book Antiqua"/>
          <w:color w:val="000000" w:themeColor="text1"/>
          <w:lang w:val="es-PR"/>
        </w:rPr>
        <w:t>parecida</w:t>
      </w:r>
      <w:r w:rsidR="00EC7D5C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al</w:t>
      </w:r>
      <w:r w:rsidR="00851E49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EC7D5C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P. de la C. </w:t>
      </w:r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>1</w:t>
      </w:r>
      <w:r w:rsidR="00D1510D">
        <w:rPr>
          <w:rFonts w:ascii="Book Antiqua" w:eastAsia="Book Antiqua" w:hAnsi="Book Antiqua" w:cs="Book Antiqua"/>
          <w:color w:val="000000" w:themeColor="text1"/>
          <w:lang w:val="es-PR"/>
        </w:rPr>
        <w:t>80</w:t>
      </w:r>
      <w:r w:rsidR="005D5254">
        <w:rPr>
          <w:rFonts w:ascii="Book Antiqua" w:eastAsia="Book Antiqua" w:hAnsi="Book Antiqua" w:cs="Book Antiqua"/>
          <w:color w:val="000000" w:themeColor="text1"/>
          <w:lang w:val="es-PR"/>
        </w:rPr>
        <w:t>:</w:t>
      </w:r>
      <w:r w:rsidR="00851E49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D97C86">
        <w:rPr>
          <w:rFonts w:ascii="Book Antiqua" w:eastAsia="Book Antiqua" w:hAnsi="Book Antiqua" w:cs="Book Antiqua"/>
          <w:color w:val="000000" w:themeColor="text1"/>
          <w:lang w:val="es-PR"/>
        </w:rPr>
        <w:t>el P. del S. 113.</w:t>
      </w:r>
    </w:p>
    <w:p w14:paraId="65976D80" w14:textId="678DE91E" w:rsidR="00CE16EE" w:rsidRPr="001711E6" w:rsidRDefault="008B701E" w:rsidP="008B701E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482EF175" w14:textId="755285BF" w:rsidR="008E1A90" w:rsidRDefault="00DA1A59" w:rsidP="008B701E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>Según solicitado, esta</w:t>
      </w:r>
      <w:r w:rsidR="008E1A90">
        <w:rPr>
          <w:rFonts w:ascii="Book Antiqua" w:eastAsia="Book Antiqua" w:hAnsi="Book Antiqua" w:cs="Book Antiqua"/>
          <w:color w:val="000000" w:themeColor="text1"/>
          <w:lang w:val="es-PR"/>
        </w:rPr>
        <w:t xml:space="preserve"> Comisión recibió varios memorandos a favor de la medida,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los cuales resumimos a continuación.</w:t>
      </w:r>
      <w:r w:rsidR="008E1A90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19139031" w14:textId="77777777" w:rsidR="008E1A90" w:rsidRDefault="008E1A90" w:rsidP="008B701E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462CC620" w14:textId="3665F924" w:rsidR="00DA1A59" w:rsidRDefault="00C840E7" w:rsidP="008B701E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El </w:t>
      </w:r>
      <w:r w:rsidRPr="00C840E7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Colegio de </w:t>
      </w:r>
      <w:proofErr w:type="gramStart"/>
      <w:r w:rsidRPr="00C840E7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>Abogados y Abogadas</w:t>
      </w:r>
      <w:proofErr w:type="gramEnd"/>
      <w:r w:rsidRPr="00C840E7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 de Puerto Rico</w:t>
      </w:r>
      <w:r w:rsidRPr="00C840E7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BF548D">
        <w:rPr>
          <w:rFonts w:ascii="Book Antiqua" w:eastAsia="Book Antiqua" w:hAnsi="Book Antiqua" w:cs="Book Antiqua"/>
          <w:color w:val="000000" w:themeColor="text1"/>
          <w:lang w:val="es-PR"/>
        </w:rPr>
        <w:t>s</w:t>
      </w:r>
      <w:r w:rsidR="00305C9F">
        <w:rPr>
          <w:rFonts w:ascii="Book Antiqua" w:eastAsia="Book Antiqua" w:hAnsi="Book Antiqua" w:cs="Book Antiqua"/>
          <w:color w:val="000000" w:themeColor="text1"/>
          <w:lang w:val="es-PR"/>
        </w:rPr>
        <w:t xml:space="preserve">e limitó a comentar sobre </w:t>
      </w:r>
      <w:r w:rsidR="00623D71">
        <w:rPr>
          <w:rFonts w:ascii="Book Antiqua" w:eastAsia="Book Antiqua" w:hAnsi="Book Antiqua" w:cs="Book Antiqua"/>
          <w:color w:val="000000" w:themeColor="text1"/>
          <w:lang w:val="es-PR"/>
        </w:rPr>
        <w:t>la importancia de mantener estadísticas de la explotación financiera</w:t>
      </w:r>
      <w:r w:rsidR="00B81E9B">
        <w:rPr>
          <w:rFonts w:ascii="Book Antiqua" w:eastAsia="Book Antiqua" w:hAnsi="Book Antiqua" w:cs="Book Antiqua"/>
          <w:color w:val="000000" w:themeColor="text1"/>
          <w:lang w:val="es-PR"/>
        </w:rPr>
        <w:t xml:space="preserve"> de adultos mayores</w:t>
      </w:r>
      <w:r w:rsidR="00E70179">
        <w:rPr>
          <w:rFonts w:ascii="Book Antiqua" w:eastAsia="Book Antiqua" w:hAnsi="Book Antiqua" w:cs="Book Antiqua"/>
          <w:color w:val="000000" w:themeColor="text1"/>
          <w:lang w:val="es-PR"/>
        </w:rPr>
        <w:t xml:space="preserve">. También alegó sobre la necesidad de evaluar otras disposiciones del Código Penal y las Reglas de Procedimiento Criminal </w:t>
      </w:r>
      <w:r w:rsidR="003832F6">
        <w:rPr>
          <w:rFonts w:ascii="Book Antiqua" w:eastAsia="Book Antiqua" w:hAnsi="Book Antiqua" w:cs="Book Antiqua"/>
          <w:color w:val="000000" w:themeColor="text1"/>
          <w:lang w:val="es-PR"/>
        </w:rPr>
        <w:t>que atiendan la referida modalidad de maltrato.</w:t>
      </w:r>
    </w:p>
    <w:p w14:paraId="6A01E99A" w14:textId="77777777" w:rsidR="003832F6" w:rsidRDefault="003832F6" w:rsidP="008B701E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48F36ECB" w14:textId="143BEE3D" w:rsidR="003832F6" w:rsidRDefault="002B5B63" w:rsidP="008B701E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La </w:t>
      </w:r>
      <w:r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>Oficina de Servicios Legislativos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analizó </w:t>
      </w:r>
      <w:r w:rsidR="007A4CF4">
        <w:rPr>
          <w:rFonts w:ascii="Book Antiqua" w:eastAsia="Book Antiqua" w:hAnsi="Book Antiqua" w:cs="Book Antiqua"/>
          <w:color w:val="000000" w:themeColor="text1"/>
          <w:lang w:val="es-PR"/>
        </w:rPr>
        <w:t xml:space="preserve">la facultad del gobierno </w:t>
      </w:r>
      <w:r w:rsidR="000220C0">
        <w:rPr>
          <w:rFonts w:ascii="Book Antiqua" w:eastAsia="Book Antiqua" w:hAnsi="Book Antiqua" w:cs="Book Antiqua"/>
          <w:color w:val="000000" w:themeColor="text1"/>
          <w:lang w:val="es-PR"/>
        </w:rPr>
        <w:t xml:space="preserve">para atender la explotación financiera. </w:t>
      </w:r>
      <w:r w:rsidR="00E45D22">
        <w:rPr>
          <w:rFonts w:ascii="Book Antiqua" w:eastAsia="Book Antiqua" w:hAnsi="Book Antiqua" w:cs="Book Antiqua"/>
          <w:color w:val="000000" w:themeColor="text1"/>
          <w:lang w:val="es-PR"/>
        </w:rPr>
        <w:t xml:space="preserve">Incluyó un entrillado con sus sugerencias para mejorar el </w:t>
      </w:r>
      <w:r w:rsidR="00E45D22" w:rsidRPr="001711E6">
        <w:rPr>
          <w:rFonts w:ascii="Book Antiqua" w:eastAsia="Book Antiqua" w:hAnsi="Book Antiqua" w:cs="Book Antiqua"/>
          <w:color w:val="000000" w:themeColor="text1"/>
          <w:lang w:val="es-PR"/>
        </w:rPr>
        <w:t>P. de la C. 1</w:t>
      </w:r>
      <w:r w:rsidR="00E45D22">
        <w:rPr>
          <w:rFonts w:ascii="Book Antiqua" w:eastAsia="Book Antiqua" w:hAnsi="Book Antiqua" w:cs="Book Antiqua"/>
          <w:color w:val="000000" w:themeColor="text1"/>
          <w:lang w:val="es-PR"/>
        </w:rPr>
        <w:t>80.</w:t>
      </w:r>
    </w:p>
    <w:p w14:paraId="0EA406CA" w14:textId="77777777" w:rsidR="00E45D22" w:rsidRDefault="00E45D22" w:rsidP="008B701E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1AEEC041" w14:textId="76375799" w:rsidR="00370F8A" w:rsidRDefault="00E45D22" w:rsidP="008B701E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Por ú</w:t>
      </w:r>
      <w:r w:rsidR="00D91478">
        <w:rPr>
          <w:rFonts w:ascii="Book Antiqua" w:eastAsia="Book Antiqua" w:hAnsi="Book Antiqua" w:cs="Book Antiqua"/>
          <w:color w:val="000000" w:themeColor="text1"/>
          <w:lang w:val="es-PR"/>
        </w:rPr>
        <w:t xml:space="preserve">ltimo, </w:t>
      </w:r>
      <w:r w:rsidR="00BF548D">
        <w:rPr>
          <w:rFonts w:ascii="Book Antiqua" w:eastAsia="Book Antiqua" w:hAnsi="Book Antiqua" w:cs="Book Antiqua"/>
          <w:color w:val="000000" w:themeColor="text1"/>
          <w:lang w:val="es-PR"/>
        </w:rPr>
        <w:t>la</w:t>
      </w:r>
      <w:r w:rsidR="00253152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253152" w:rsidRPr="00253152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>Oficina de la</w:t>
      </w:r>
      <w:r w:rsidR="00BF548D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BF548D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Procuradora de las Personas de Edad Avanzada </w:t>
      </w:r>
      <w:r w:rsidR="00E0615E" w:rsidRPr="00E0615E">
        <w:rPr>
          <w:rFonts w:ascii="Book Antiqua" w:eastAsia="Book Antiqua" w:hAnsi="Book Antiqua" w:cs="Book Antiqua"/>
          <w:color w:val="000000" w:themeColor="text1"/>
          <w:lang w:val="es-PR"/>
        </w:rPr>
        <w:t>(</w:t>
      </w:r>
      <w:r w:rsidR="00253152" w:rsidRPr="00253152">
        <w:rPr>
          <w:rFonts w:ascii="Book Antiqua" w:eastAsia="Book Antiqua" w:hAnsi="Book Antiqua" w:cs="Book Antiqua"/>
          <w:color w:val="000000" w:themeColor="text1"/>
          <w:lang w:val="es-PR"/>
        </w:rPr>
        <w:t>O</w:t>
      </w:r>
      <w:r w:rsidR="00E0615E" w:rsidRPr="00253152">
        <w:rPr>
          <w:rFonts w:ascii="Book Antiqua" w:eastAsia="Book Antiqua" w:hAnsi="Book Antiqua" w:cs="Book Antiqua"/>
          <w:color w:val="000000" w:themeColor="text1"/>
          <w:lang w:val="es-PR"/>
        </w:rPr>
        <w:t>PPEA</w:t>
      </w:r>
      <w:r w:rsidR="00E0615E" w:rsidRPr="00E0615E">
        <w:rPr>
          <w:rFonts w:ascii="Book Antiqua" w:eastAsia="Book Antiqua" w:hAnsi="Book Antiqua" w:cs="Book Antiqua"/>
          <w:color w:val="000000" w:themeColor="text1"/>
          <w:lang w:val="es-PR"/>
        </w:rPr>
        <w:t>)</w:t>
      </w:r>
      <w:r w:rsidR="00E0615E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 </w:t>
      </w:r>
      <w:r w:rsidR="00860494">
        <w:rPr>
          <w:rFonts w:ascii="Book Antiqua" w:eastAsia="Book Antiqua" w:hAnsi="Book Antiqua" w:cs="Book Antiqua"/>
          <w:color w:val="000000" w:themeColor="text1"/>
          <w:lang w:val="es-PR"/>
        </w:rPr>
        <w:t xml:space="preserve">incluyó </w:t>
      </w:r>
      <w:r w:rsidR="005132E2">
        <w:rPr>
          <w:rFonts w:ascii="Book Antiqua" w:eastAsia="Book Antiqua" w:hAnsi="Book Antiqua" w:cs="Book Antiqua"/>
          <w:color w:val="000000" w:themeColor="text1"/>
          <w:lang w:val="es-PR"/>
        </w:rPr>
        <w:t xml:space="preserve">estadísticas </w:t>
      </w:r>
      <w:r w:rsidR="008E1117">
        <w:rPr>
          <w:rFonts w:ascii="Book Antiqua" w:eastAsia="Book Antiqua" w:hAnsi="Book Antiqua" w:cs="Book Antiqua"/>
          <w:color w:val="000000" w:themeColor="text1"/>
          <w:lang w:val="es-PR"/>
        </w:rPr>
        <w:t xml:space="preserve">actualizadas </w:t>
      </w:r>
      <w:r w:rsidR="005132E2">
        <w:rPr>
          <w:rFonts w:ascii="Book Antiqua" w:eastAsia="Book Antiqua" w:hAnsi="Book Antiqua" w:cs="Book Antiqua"/>
          <w:color w:val="000000" w:themeColor="text1"/>
          <w:lang w:val="es-PR"/>
        </w:rPr>
        <w:t>sobre la proporción de adultos mayores en nuestra jurisdicción</w:t>
      </w:r>
      <w:r w:rsidR="00E0615E">
        <w:rPr>
          <w:rFonts w:ascii="Book Antiqua" w:eastAsia="Book Antiqua" w:hAnsi="Book Antiqua" w:cs="Book Antiqua"/>
          <w:color w:val="000000" w:themeColor="text1"/>
          <w:lang w:val="es-PR"/>
        </w:rPr>
        <w:t xml:space="preserve">, y las querellas </w:t>
      </w:r>
      <w:r w:rsidR="003F6F83">
        <w:rPr>
          <w:rFonts w:ascii="Book Antiqua" w:eastAsia="Book Antiqua" w:hAnsi="Book Antiqua" w:cs="Book Antiqua"/>
          <w:color w:val="000000" w:themeColor="text1"/>
          <w:lang w:val="es-PR"/>
        </w:rPr>
        <w:t xml:space="preserve">de explotación financiera </w:t>
      </w:r>
      <w:r w:rsidR="00253152">
        <w:rPr>
          <w:rFonts w:ascii="Book Antiqua" w:eastAsia="Book Antiqua" w:hAnsi="Book Antiqua" w:cs="Book Antiqua"/>
          <w:color w:val="000000" w:themeColor="text1"/>
          <w:lang w:val="es-PR"/>
        </w:rPr>
        <w:t>recibidas</w:t>
      </w:r>
      <w:r w:rsidR="003F6F83">
        <w:rPr>
          <w:rFonts w:ascii="Book Antiqua" w:eastAsia="Book Antiqua" w:hAnsi="Book Antiqua" w:cs="Book Antiqua"/>
          <w:color w:val="000000" w:themeColor="text1"/>
          <w:lang w:val="es-PR"/>
        </w:rPr>
        <w:t xml:space="preserve"> en la OPPEA</w:t>
      </w:r>
      <w:r w:rsidR="00370F8A">
        <w:rPr>
          <w:rFonts w:ascii="Book Antiqua" w:eastAsia="Book Antiqua" w:hAnsi="Book Antiqua" w:cs="Book Antiqua"/>
          <w:color w:val="000000" w:themeColor="text1"/>
          <w:lang w:val="es-PR"/>
        </w:rPr>
        <w:t>:</w:t>
      </w:r>
    </w:p>
    <w:p w14:paraId="733A2E1B" w14:textId="77777777" w:rsidR="00370F8A" w:rsidRDefault="00370F8A" w:rsidP="008B701E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6E31FC2D" w14:textId="501AFE12" w:rsidR="00E45D22" w:rsidRPr="00BF548D" w:rsidRDefault="00EC1B0D" w:rsidP="008B701E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noProof/>
          <w:color w:val="000000" w:themeColor="text1"/>
          <w:lang w:val="es-PR"/>
        </w:rPr>
        <w:drawing>
          <wp:inline distT="0" distB="0" distL="0" distR="0" wp14:anchorId="3691DCCB" wp14:editId="00358E7B">
            <wp:extent cx="5119998" cy="2889504"/>
            <wp:effectExtent l="0" t="0" r="5080" b="6350"/>
            <wp:docPr id="734350211" name="Picture 1" descr="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4350211" name="Picture 1" descr="Text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3126" cy="2896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53152">
        <w:rPr>
          <w:rFonts w:ascii="Book Antiqua" w:eastAsia="Book Antiqua" w:hAnsi="Book Antiqua" w:cs="Book Antiqua"/>
          <w:color w:val="000000" w:themeColor="text1"/>
          <w:lang w:val="es-PR"/>
        </w:rPr>
        <w:t xml:space="preserve">  </w:t>
      </w:r>
    </w:p>
    <w:p w14:paraId="70B429E4" w14:textId="77777777" w:rsidR="00DA1A59" w:rsidRDefault="00DA1A59" w:rsidP="008B701E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4588BFD" w14:textId="7CDD08EE" w:rsidR="008B701E" w:rsidRPr="001711E6" w:rsidRDefault="00D36C6D" w:rsidP="008B701E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noProof/>
          <w:color w:val="000000" w:themeColor="text1"/>
          <w:lang w:val="es-PR"/>
        </w:rPr>
        <w:lastRenderedPageBreak/>
        <w:drawing>
          <wp:inline distT="0" distB="0" distL="0" distR="0" wp14:anchorId="46AC8A45" wp14:editId="644163FD">
            <wp:extent cx="4730333" cy="3438144"/>
            <wp:effectExtent l="0" t="0" r="0" b="0"/>
            <wp:docPr id="1041589021" name="Picture 2" descr="Ta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1589021" name="Picture 2" descr="Table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5444" cy="3449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AB115D" w14:textId="0CC4760A" w:rsidR="001711E6" w:rsidRPr="001711E6" w:rsidRDefault="00C76280" w:rsidP="008B701E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noProof/>
          <w:color w:val="000000" w:themeColor="text1"/>
          <w:lang w:val="es-PR"/>
        </w:rPr>
        <w:drawing>
          <wp:inline distT="0" distB="0" distL="0" distR="0" wp14:anchorId="5FF8793B" wp14:editId="486A1B3C">
            <wp:extent cx="4544035" cy="2787206"/>
            <wp:effectExtent l="0" t="0" r="9525" b="0"/>
            <wp:docPr id="1185655925" name="Picture 3" descr="Ta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5655925" name="Picture 3" descr="Table&#10;&#10;AI-generated content may be incorrect.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3971" cy="2793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63D72E" w14:textId="77777777" w:rsidR="00CE16EE" w:rsidRPr="001711E6" w:rsidRDefault="00CE16EE" w:rsidP="00532F3A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528F8908" w14:textId="26C77587" w:rsidR="003B38A4" w:rsidRPr="000142E7" w:rsidRDefault="003B38A4" w:rsidP="00F91378">
      <w:pPr>
        <w:jc w:val="center"/>
        <w:rPr>
          <w:rFonts w:ascii="Book Antiqua" w:eastAsia="Book Antiqua" w:hAnsi="Book Antiqua" w:cs="Book Antiqua"/>
          <w:b/>
          <w:bCs/>
          <w:color w:val="000000" w:themeColor="text1"/>
          <w:spacing w:val="12"/>
          <w:szCs w:val="24"/>
          <w:lang w:val="es-PR"/>
        </w:rPr>
      </w:pPr>
      <w:r w:rsidRPr="000142E7">
        <w:rPr>
          <w:rFonts w:ascii="Book Antiqua" w:eastAsia="Book Antiqua" w:hAnsi="Book Antiqua" w:cs="Book Antiqua"/>
          <w:b/>
          <w:bCs/>
          <w:color w:val="000000" w:themeColor="text1"/>
          <w:spacing w:val="12"/>
          <w:szCs w:val="24"/>
          <w:lang w:val="es-PR"/>
        </w:rPr>
        <w:t>CONCLUSIÓN</w:t>
      </w:r>
      <w:r w:rsidR="00F0476A" w:rsidRPr="000142E7">
        <w:rPr>
          <w:rFonts w:ascii="Book Antiqua" w:eastAsia="Book Antiqua" w:hAnsi="Book Antiqua" w:cs="Book Antiqua"/>
          <w:b/>
          <w:bCs/>
          <w:color w:val="000000" w:themeColor="text1"/>
          <w:spacing w:val="12"/>
          <w:szCs w:val="24"/>
          <w:lang w:val="es-PR"/>
        </w:rPr>
        <w:t xml:space="preserve"> Y RECOMENDAC</w:t>
      </w:r>
      <w:r w:rsidR="001711E6" w:rsidRPr="000142E7">
        <w:rPr>
          <w:rFonts w:ascii="Book Antiqua" w:eastAsia="Book Antiqua" w:hAnsi="Book Antiqua" w:cs="Book Antiqua"/>
          <w:b/>
          <w:bCs/>
          <w:color w:val="000000" w:themeColor="text1"/>
          <w:spacing w:val="12"/>
          <w:szCs w:val="24"/>
          <w:lang w:val="es-PR"/>
        </w:rPr>
        <w:t>I</w:t>
      </w:r>
      <w:r w:rsidR="00F0476A" w:rsidRPr="000142E7">
        <w:rPr>
          <w:rFonts w:ascii="Book Antiqua" w:eastAsia="Book Antiqua" w:hAnsi="Book Antiqua" w:cs="Book Antiqua"/>
          <w:b/>
          <w:bCs/>
          <w:color w:val="000000" w:themeColor="text1"/>
          <w:spacing w:val="12"/>
          <w:szCs w:val="24"/>
          <w:lang w:val="es-PR"/>
        </w:rPr>
        <w:t>ÓN</w:t>
      </w:r>
    </w:p>
    <w:p w14:paraId="1B8085A1" w14:textId="77777777" w:rsidR="00F0476A" w:rsidRPr="001711E6" w:rsidRDefault="00F0476A" w:rsidP="00F91378">
      <w:pPr>
        <w:jc w:val="center"/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</w:pPr>
    </w:p>
    <w:p w14:paraId="248CD3CB" w14:textId="44150A13" w:rsidR="004A4A9F" w:rsidRPr="002E4FD3" w:rsidRDefault="004A4A9F" w:rsidP="00112412">
      <w:pPr>
        <w:ind w:firstLine="720"/>
        <w:jc w:val="both"/>
        <w:rPr>
          <w:rFonts w:eastAsia="Book Antiqua"/>
          <w:bCs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Evaluada la exposición de motivos y los comentarios recibidos, esta Comisión</w:t>
      </w:r>
      <w:r w:rsidR="00770FEF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entendió prudente modificar las penas propuestas en el </w:t>
      </w:r>
      <w:r w:rsidR="00770FEF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P. de la C. 1</w:t>
      </w:r>
      <w:r w:rsidR="00770FEF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80</w:t>
      </w:r>
      <w:r w:rsidR="00EF4B3F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. Ello, </w:t>
      </w:r>
      <w:r w:rsidR="0031675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para </w:t>
      </w:r>
      <w:r w:rsidR="00EF4B3F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equipararlas con lo dispuesto en el Código Penal de Puerto Rico, Art</w:t>
      </w:r>
      <w:r w:rsidR="009A01B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ículo 182.</w:t>
      </w:r>
      <w:r w:rsidR="002E4FD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AC79A9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Así, </w:t>
      </w:r>
      <w:r w:rsidR="00A41844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se </w:t>
      </w:r>
      <w:r w:rsidR="00AC79A9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cataloga </w:t>
      </w:r>
      <w:r w:rsidR="00E63238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la e</w:t>
      </w:r>
      <w:r w:rsidR="00E63238" w:rsidRPr="00E63238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xplotación financiera de personas de edad avanzada</w:t>
      </w:r>
      <w:r w:rsidR="00E63238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como una modalidad de apropiación ilegal agravada.</w:t>
      </w:r>
    </w:p>
    <w:p w14:paraId="78D1BD71" w14:textId="77777777" w:rsidR="004A4A9F" w:rsidRDefault="004A4A9F" w:rsidP="00112412">
      <w:pPr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</w:p>
    <w:p w14:paraId="2A29750A" w14:textId="69BCD8A6" w:rsidR="00166C0A" w:rsidRDefault="00E63238" w:rsidP="00112412">
      <w:pPr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lastRenderedPageBreak/>
        <w:t>En fin, l</w:t>
      </w:r>
      <w:r w:rsidR="00DC2214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a Comisión de </w:t>
      </w:r>
      <w:r w:rsidR="0069342C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lo Jurídico</w:t>
      </w:r>
      <w:r w:rsidR="00DC2214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considera que la aprobación de e</w:t>
      </w:r>
      <w:r w:rsidR="008A170D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ste proyecto</w:t>
      </w:r>
      <w:r w:rsidR="0069342C" w:rsidRPr="001711E6">
        <w:rPr>
          <w:rFonts w:ascii="Book Antiqua" w:eastAsia="Calibri" w:hAnsi="Book Antiqua"/>
          <w:color w:val="000000" w:themeColor="text1"/>
          <w:szCs w:val="24"/>
          <w:lang w:val="es-PR"/>
        </w:rPr>
        <w:t xml:space="preserve"> </w:t>
      </w:r>
      <w:r w:rsidR="0054211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es </w:t>
      </w:r>
      <w:r w:rsidR="001711E6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necesari</w:t>
      </w:r>
      <w:r w:rsidR="008A170D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o</w:t>
      </w:r>
      <w:r w:rsidR="001711E6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. Estamos conscientes de la necesidad de evaluar la política pública del Gobierno de Puerto Rico </w:t>
      </w:r>
      <w:r w:rsidR="0054211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de eliminar </w:t>
      </w:r>
      <w:r w:rsidR="001711E6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</w:t>
      </w:r>
      <w:r w:rsidR="008A170D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ste</w:t>
      </w:r>
      <w:r w:rsidR="001711E6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mal social. </w:t>
      </w:r>
    </w:p>
    <w:p w14:paraId="10E0CC7D" w14:textId="77777777" w:rsidR="00166C0A" w:rsidRDefault="00166C0A" w:rsidP="00112412">
      <w:pPr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</w:p>
    <w:p w14:paraId="3BE57315" w14:textId="530AD399" w:rsidR="004512E8" w:rsidRPr="001711E6" w:rsidRDefault="00FD6179" w:rsidP="00112412">
      <w:pPr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Por los fundamentos antes expuestos, la Comisión de</w:t>
      </w:r>
      <w:r w:rsidR="007761C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54211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l</w:t>
      </w:r>
      <w:r w:rsidR="007761C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o Jurídico</w:t>
      </w:r>
      <w:r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54211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presenta</w:t>
      </w:r>
      <w:r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e</w:t>
      </w:r>
      <w:r w:rsidR="0054211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ste</w:t>
      </w:r>
      <w:r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Informe Positivo en el que recomendamos a este Honorable Cuerpo la aprobación del P. de la C. </w:t>
      </w:r>
      <w:r w:rsidR="007761C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1</w:t>
      </w:r>
      <w:r w:rsidR="00093934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80</w:t>
      </w:r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, con las enmiendas contenidas en el </w:t>
      </w:r>
      <w:proofErr w:type="spellStart"/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entirillado</w:t>
      </w:r>
      <w:proofErr w:type="spellEnd"/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electrónico que se acompaña junto al informe</w:t>
      </w:r>
      <w:r w:rsidR="00F17F1C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.</w:t>
      </w:r>
      <w:r w:rsidR="004512E8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</w:p>
    <w:p w14:paraId="55324CE2" w14:textId="77777777" w:rsidR="004512E8" w:rsidRPr="001711E6" w:rsidRDefault="004512E8" w:rsidP="004512E8">
      <w:pPr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</w:p>
    <w:p w14:paraId="6C8FC9E5" w14:textId="60A2F689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Respetuosamente,</w:t>
      </w:r>
    </w:p>
    <w:p w14:paraId="63414C34" w14:textId="7777777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5B154406" w14:textId="7777777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70EDA1E2" w14:textId="41BE61DF" w:rsidR="003B38A4" w:rsidRPr="001711E6" w:rsidRDefault="0044722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José</w:t>
      </w:r>
      <w:r w:rsidR="00D60D6E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J. </w:t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Pérez</w:t>
      </w:r>
      <w:r w:rsidR="00D60D6E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Cordero</w:t>
      </w:r>
      <w:r w:rsidR="003B38A4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  <w:t xml:space="preserve"> </w:t>
      </w:r>
    </w:p>
    <w:p w14:paraId="6768602C" w14:textId="40E4AC25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President</w:t>
      </w:r>
      <w:r w:rsidR="00F248D5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e</w:t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</w:p>
    <w:p w14:paraId="48961C1A" w14:textId="3167CBA1" w:rsidR="007B2F4F" w:rsidRPr="001711E6" w:rsidRDefault="003B38A4" w:rsidP="00F248D5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Comisión </w:t>
      </w:r>
      <w:r w:rsidR="00F248D5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de </w:t>
      </w:r>
      <w:r w:rsidR="00D60D6E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L</w:t>
      </w:r>
      <w:r w:rsidR="009535ED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o Jurídico </w:t>
      </w:r>
    </w:p>
    <w:p w14:paraId="3B6A5A42" w14:textId="3CCDCE84" w:rsidR="00F0476A" w:rsidRPr="001711E6" w:rsidRDefault="00F0476A" w:rsidP="00F248D5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Cámara de Representantes de Puerto Rico</w:t>
      </w:r>
    </w:p>
    <w:sectPr w:rsidR="00F0476A" w:rsidRPr="001711E6" w:rsidSect="00015228">
      <w:headerReference w:type="default" r:id="rId14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DF3CB" w14:textId="77777777" w:rsidR="00163D3F" w:rsidRDefault="00163D3F">
      <w:r>
        <w:separator/>
      </w:r>
    </w:p>
  </w:endnote>
  <w:endnote w:type="continuationSeparator" w:id="0">
    <w:p w14:paraId="2CC5DD9E" w14:textId="77777777" w:rsidR="00163D3F" w:rsidRDefault="00163D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504020202020204"/>
    <w:charset w:val="00"/>
    <w:family w:val="auto"/>
    <w:notTrueType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B1861A" w14:textId="77777777" w:rsidR="00163D3F" w:rsidRDefault="00163D3F">
      <w:r>
        <w:separator/>
      </w:r>
    </w:p>
  </w:footnote>
  <w:footnote w:type="continuationSeparator" w:id="0">
    <w:p w14:paraId="19B7BC9E" w14:textId="77777777" w:rsidR="00163D3F" w:rsidRDefault="00163D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51A2D" w14:textId="6F3A68D1" w:rsidR="00BA0B5D" w:rsidRPr="00392CEF" w:rsidRDefault="00CE54D8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Calibri" w:eastAsia="Calibri" w:hAnsi="Calibri"/>
        <w:b/>
        <w:i/>
        <w:sz w:val="22"/>
        <w:szCs w:val="22"/>
        <w:lang w:val="es-PR"/>
      </w:rPr>
    </w:pPr>
    <w:r w:rsidRPr="00D076CD">
      <w:rPr>
        <w:rFonts w:ascii="Calibri" w:eastAsia="Calibri" w:hAnsi="Calibri"/>
        <w:b/>
        <w:iCs/>
        <w:sz w:val="22"/>
        <w:szCs w:val="22"/>
        <w:lang w:val="es-PR"/>
      </w:rPr>
      <w:t>Informe</w:t>
    </w:r>
    <w:r w:rsidR="00900740" w:rsidRPr="00D076CD">
      <w:rPr>
        <w:rFonts w:ascii="Calibri" w:eastAsia="Calibri" w:hAnsi="Calibri"/>
        <w:b/>
        <w:iCs/>
        <w:sz w:val="22"/>
        <w:szCs w:val="22"/>
        <w:lang w:val="es-PR"/>
      </w:rPr>
      <w:t xml:space="preserve"> Positivo</w:t>
    </w:r>
    <w:r w:rsidRPr="00D076CD">
      <w:rPr>
        <w:rFonts w:ascii="Calibri" w:eastAsia="Calibri" w:hAnsi="Calibri"/>
        <w:b/>
        <w:iCs/>
        <w:sz w:val="22"/>
        <w:szCs w:val="22"/>
        <w:lang w:val="es-PR"/>
      </w:rPr>
      <w:t xml:space="preserve"> P. de la C. </w:t>
    </w:r>
    <w:r w:rsidR="00532F3A" w:rsidRPr="00D076CD">
      <w:rPr>
        <w:rFonts w:ascii="Calibri" w:eastAsia="Calibri" w:hAnsi="Calibri"/>
        <w:b/>
        <w:iCs/>
        <w:sz w:val="22"/>
        <w:szCs w:val="22"/>
        <w:lang w:val="es-PR"/>
      </w:rPr>
      <w:t>1</w:t>
    </w:r>
    <w:r w:rsidR="00D076CD" w:rsidRPr="00D076CD">
      <w:rPr>
        <w:rFonts w:ascii="Calibri" w:eastAsia="Calibri" w:hAnsi="Calibri"/>
        <w:b/>
        <w:iCs/>
        <w:sz w:val="22"/>
        <w:szCs w:val="22"/>
        <w:lang w:val="es-PR"/>
      </w:rPr>
      <w:t>80</w:t>
    </w:r>
    <w:r w:rsidRPr="00D076CD">
      <w:rPr>
        <w:rFonts w:ascii="Calibri" w:eastAsia="Calibri" w:hAnsi="Calibri"/>
        <w:b/>
        <w:iCs/>
        <w:sz w:val="22"/>
        <w:szCs w:val="22"/>
        <w:lang w:val="es-PR"/>
      </w:rPr>
      <w:tab/>
    </w:r>
    <w:r w:rsidRPr="00D076CD">
      <w:rPr>
        <w:rFonts w:ascii="Calibri" w:eastAsia="Calibri" w:hAnsi="Calibri"/>
        <w:b/>
        <w:iCs/>
        <w:sz w:val="22"/>
        <w:szCs w:val="22"/>
        <w:lang w:val="es-PR"/>
      </w:rPr>
      <w:tab/>
      <w:t xml:space="preserve"> Página</w:t>
    </w:r>
    <w:r w:rsidRPr="00CE54D8">
      <w:rPr>
        <w:rFonts w:ascii="Calibri" w:eastAsia="Calibri" w:hAnsi="Calibri"/>
        <w:sz w:val="22"/>
        <w:szCs w:val="22"/>
        <w:lang w:val="es-PR"/>
      </w:rPr>
      <w:t xml:space="preserve"> | </w:t>
    </w:r>
    <w:r w:rsidRPr="00CE54D8">
      <w:rPr>
        <w:rFonts w:ascii="Calibri" w:eastAsia="Calibri" w:hAnsi="Calibri"/>
        <w:sz w:val="22"/>
        <w:szCs w:val="22"/>
        <w:lang w:val="en-US"/>
      </w:rPr>
      <w:fldChar w:fldCharType="begin"/>
    </w:r>
    <w:r w:rsidRPr="00CE54D8">
      <w:rPr>
        <w:rFonts w:ascii="Calibri" w:eastAsia="Calibri" w:hAnsi="Calibri"/>
        <w:sz w:val="22"/>
        <w:szCs w:val="22"/>
        <w:lang w:val="es-PR"/>
      </w:rPr>
      <w:instrText xml:space="preserve"> PAGE   \* MERGEFORMAT </w:instrText>
    </w:r>
    <w:r w:rsidRPr="00CE54D8">
      <w:rPr>
        <w:rFonts w:ascii="Calibri" w:eastAsia="Calibri" w:hAnsi="Calibri"/>
        <w:sz w:val="22"/>
        <w:szCs w:val="22"/>
        <w:lang w:val="en-US"/>
      </w:rPr>
      <w:fldChar w:fldCharType="separate"/>
    </w:r>
    <w:r w:rsidR="000F67BD" w:rsidRPr="000F67BD">
      <w:rPr>
        <w:rFonts w:ascii="Calibri" w:eastAsia="Calibri" w:hAnsi="Calibri"/>
        <w:b/>
        <w:bCs/>
        <w:noProof/>
        <w:sz w:val="22"/>
        <w:szCs w:val="22"/>
        <w:lang w:val="es-PR"/>
      </w:rPr>
      <w:t>5</w:t>
    </w:r>
    <w:r w:rsidRPr="00CE54D8">
      <w:rPr>
        <w:rFonts w:ascii="Calibri" w:eastAsia="Calibri" w:hAnsi="Calibri"/>
        <w:sz w:val="22"/>
        <w:szCs w:val="22"/>
        <w:lang w:val="en-U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02F83"/>
    <w:multiLevelType w:val="hybridMultilevel"/>
    <w:tmpl w:val="C232ACF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2E5D12"/>
    <w:multiLevelType w:val="hybridMultilevel"/>
    <w:tmpl w:val="2AE4D28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E25A1"/>
    <w:multiLevelType w:val="hybridMultilevel"/>
    <w:tmpl w:val="814A9C02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0DD6F52"/>
    <w:multiLevelType w:val="hybridMultilevel"/>
    <w:tmpl w:val="F75AD9E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4CE24B7"/>
    <w:multiLevelType w:val="hybridMultilevel"/>
    <w:tmpl w:val="5B7071D4"/>
    <w:lvl w:ilvl="0" w:tplc="0409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3A7C3A"/>
    <w:multiLevelType w:val="hybridMultilevel"/>
    <w:tmpl w:val="8C88BD86"/>
    <w:lvl w:ilvl="0" w:tplc="397489B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853D85"/>
    <w:multiLevelType w:val="hybridMultilevel"/>
    <w:tmpl w:val="8F08A0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73323C"/>
    <w:multiLevelType w:val="hybridMultilevel"/>
    <w:tmpl w:val="E79C13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A1063E"/>
    <w:multiLevelType w:val="hybridMultilevel"/>
    <w:tmpl w:val="EE0CCFC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2B048E0"/>
    <w:multiLevelType w:val="hybridMultilevel"/>
    <w:tmpl w:val="8EB0931E"/>
    <w:lvl w:ilvl="0" w:tplc="13449160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4BE248D"/>
    <w:multiLevelType w:val="hybridMultilevel"/>
    <w:tmpl w:val="D7A0B9C8"/>
    <w:lvl w:ilvl="0" w:tplc="76CAC282">
      <w:start w:val="1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DC711E"/>
    <w:multiLevelType w:val="multilevel"/>
    <w:tmpl w:val="D0DC45DC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56996B4F"/>
    <w:multiLevelType w:val="hybridMultilevel"/>
    <w:tmpl w:val="B2D4F600"/>
    <w:lvl w:ilvl="0" w:tplc="451E04B4">
      <w:start w:val="9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E5D7248"/>
    <w:multiLevelType w:val="hybridMultilevel"/>
    <w:tmpl w:val="2AAA1C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695C0B"/>
    <w:multiLevelType w:val="hybridMultilevel"/>
    <w:tmpl w:val="A1BACF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2C369EC"/>
    <w:multiLevelType w:val="hybridMultilevel"/>
    <w:tmpl w:val="4914EEE6"/>
    <w:lvl w:ilvl="0" w:tplc="F09E9688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B836C0"/>
    <w:multiLevelType w:val="hybridMultilevel"/>
    <w:tmpl w:val="C232ACF4"/>
    <w:lvl w:ilvl="0" w:tplc="50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166ABC"/>
    <w:multiLevelType w:val="hybridMultilevel"/>
    <w:tmpl w:val="E4146A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5515291">
    <w:abstractNumId w:val="11"/>
  </w:num>
  <w:num w:numId="2" w16cid:durableId="612249085">
    <w:abstractNumId w:val="2"/>
  </w:num>
  <w:num w:numId="3" w16cid:durableId="191654121">
    <w:abstractNumId w:val="5"/>
  </w:num>
  <w:num w:numId="4" w16cid:durableId="251549162">
    <w:abstractNumId w:val="3"/>
  </w:num>
  <w:num w:numId="5" w16cid:durableId="77214083">
    <w:abstractNumId w:val="9"/>
  </w:num>
  <w:num w:numId="6" w16cid:durableId="344096040">
    <w:abstractNumId w:val="14"/>
  </w:num>
  <w:num w:numId="7" w16cid:durableId="1113287001">
    <w:abstractNumId w:val="7"/>
  </w:num>
  <w:num w:numId="8" w16cid:durableId="1631401959">
    <w:abstractNumId w:val="12"/>
  </w:num>
  <w:num w:numId="9" w16cid:durableId="591201020">
    <w:abstractNumId w:val="10"/>
  </w:num>
  <w:num w:numId="10" w16cid:durableId="645204287">
    <w:abstractNumId w:val="17"/>
  </w:num>
  <w:num w:numId="11" w16cid:durableId="1508133352">
    <w:abstractNumId w:val="6"/>
  </w:num>
  <w:num w:numId="12" w16cid:durableId="1889679253">
    <w:abstractNumId w:val="13"/>
  </w:num>
  <w:num w:numId="13" w16cid:durableId="325980482">
    <w:abstractNumId w:val="8"/>
  </w:num>
  <w:num w:numId="14" w16cid:durableId="1607613887">
    <w:abstractNumId w:val="15"/>
  </w:num>
  <w:num w:numId="15" w16cid:durableId="1411585931">
    <w:abstractNumId w:val="16"/>
  </w:num>
  <w:num w:numId="16" w16cid:durableId="3963235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49052023">
    <w:abstractNumId w:val="1"/>
  </w:num>
  <w:num w:numId="18" w16cid:durableId="2136944254">
    <w:abstractNumId w:val="0"/>
  </w:num>
  <w:num w:numId="19" w16cid:durableId="17108408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D86"/>
    <w:rsid w:val="00000EC6"/>
    <w:rsid w:val="000142E7"/>
    <w:rsid w:val="00015228"/>
    <w:rsid w:val="000220C0"/>
    <w:rsid w:val="000307E4"/>
    <w:rsid w:val="00035FFD"/>
    <w:rsid w:val="00041144"/>
    <w:rsid w:val="0004737C"/>
    <w:rsid w:val="00047B9F"/>
    <w:rsid w:val="00050E9A"/>
    <w:rsid w:val="000673D8"/>
    <w:rsid w:val="0009035A"/>
    <w:rsid w:val="00093934"/>
    <w:rsid w:val="000968F0"/>
    <w:rsid w:val="000A0600"/>
    <w:rsid w:val="000A4C87"/>
    <w:rsid w:val="000B0D43"/>
    <w:rsid w:val="000B6B0E"/>
    <w:rsid w:val="000C66A9"/>
    <w:rsid w:val="000D2BDF"/>
    <w:rsid w:val="000D5F7E"/>
    <w:rsid w:val="000D68FC"/>
    <w:rsid w:val="000E5D36"/>
    <w:rsid w:val="000F67BD"/>
    <w:rsid w:val="001015D5"/>
    <w:rsid w:val="00101C99"/>
    <w:rsid w:val="001049CF"/>
    <w:rsid w:val="001070BB"/>
    <w:rsid w:val="00111DF4"/>
    <w:rsid w:val="00112412"/>
    <w:rsid w:val="001209AD"/>
    <w:rsid w:val="00126659"/>
    <w:rsid w:val="001311BA"/>
    <w:rsid w:val="00140F2B"/>
    <w:rsid w:val="00141605"/>
    <w:rsid w:val="00141703"/>
    <w:rsid w:val="00153D68"/>
    <w:rsid w:val="001601C3"/>
    <w:rsid w:val="00163D3F"/>
    <w:rsid w:val="00166C0A"/>
    <w:rsid w:val="0017100B"/>
    <w:rsid w:val="001711E6"/>
    <w:rsid w:val="00171FDF"/>
    <w:rsid w:val="001A5A3D"/>
    <w:rsid w:val="001D23E0"/>
    <w:rsid w:val="001D5EE7"/>
    <w:rsid w:val="001D6791"/>
    <w:rsid w:val="001E4FEC"/>
    <w:rsid w:val="001F5243"/>
    <w:rsid w:val="001F5FB1"/>
    <w:rsid w:val="00203D0D"/>
    <w:rsid w:val="00206D79"/>
    <w:rsid w:val="0021655A"/>
    <w:rsid w:val="00216AC7"/>
    <w:rsid w:val="0022092E"/>
    <w:rsid w:val="00221403"/>
    <w:rsid w:val="00227846"/>
    <w:rsid w:val="0023302B"/>
    <w:rsid w:val="00251481"/>
    <w:rsid w:val="00253152"/>
    <w:rsid w:val="00265DD8"/>
    <w:rsid w:val="00275876"/>
    <w:rsid w:val="002864AF"/>
    <w:rsid w:val="0029300A"/>
    <w:rsid w:val="002939AA"/>
    <w:rsid w:val="00296FB9"/>
    <w:rsid w:val="002A2E53"/>
    <w:rsid w:val="002A795A"/>
    <w:rsid w:val="002B5B63"/>
    <w:rsid w:val="002C63ED"/>
    <w:rsid w:val="002D2AD0"/>
    <w:rsid w:val="002E4FD3"/>
    <w:rsid w:val="002F16BF"/>
    <w:rsid w:val="00304248"/>
    <w:rsid w:val="00305C9F"/>
    <w:rsid w:val="00316753"/>
    <w:rsid w:val="00327FC3"/>
    <w:rsid w:val="003344C6"/>
    <w:rsid w:val="003361A3"/>
    <w:rsid w:val="0034229A"/>
    <w:rsid w:val="00342992"/>
    <w:rsid w:val="00354EC7"/>
    <w:rsid w:val="00364147"/>
    <w:rsid w:val="00370F8A"/>
    <w:rsid w:val="00371331"/>
    <w:rsid w:val="003832F6"/>
    <w:rsid w:val="0038510E"/>
    <w:rsid w:val="003910E6"/>
    <w:rsid w:val="00392CEF"/>
    <w:rsid w:val="00393ADF"/>
    <w:rsid w:val="003B38A4"/>
    <w:rsid w:val="003D601E"/>
    <w:rsid w:val="003E1A9C"/>
    <w:rsid w:val="003E4335"/>
    <w:rsid w:val="003E529E"/>
    <w:rsid w:val="003E6E10"/>
    <w:rsid w:val="003E7648"/>
    <w:rsid w:val="003F10BB"/>
    <w:rsid w:val="003F2674"/>
    <w:rsid w:val="003F6F83"/>
    <w:rsid w:val="00407674"/>
    <w:rsid w:val="0042168B"/>
    <w:rsid w:val="00431F68"/>
    <w:rsid w:val="00436471"/>
    <w:rsid w:val="00447224"/>
    <w:rsid w:val="004512E8"/>
    <w:rsid w:val="00451F27"/>
    <w:rsid w:val="004523CD"/>
    <w:rsid w:val="00452D84"/>
    <w:rsid w:val="004654B5"/>
    <w:rsid w:val="00467CB0"/>
    <w:rsid w:val="00471DF9"/>
    <w:rsid w:val="004A4A9F"/>
    <w:rsid w:val="004A5A18"/>
    <w:rsid w:val="004B3B30"/>
    <w:rsid w:val="004B4977"/>
    <w:rsid w:val="004B5B10"/>
    <w:rsid w:val="004D28B0"/>
    <w:rsid w:val="004E356B"/>
    <w:rsid w:val="004E7F19"/>
    <w:rsid w:val="004F3AEE"/>
    <w:rsid w:val="004F4A0B"/>
    <w:rsid w:val="004F79AB"/>
    <w:rsid w:val="005132E2"/>
    <w:rsid w:val="00516AB2"/>
    <w:rsid w:val="0052624F"/>
    <w:rsid w:val="00532F3A"/>
    <w:rsid w:val="00542113"/>
    <w:rsid w:val="005432C2"/>
    <w:rsid w:val="0056097C"/>
    <w:rsid w:val="00560E41"/>
    <w:rsid w:val="00566BF6"/>
    <w:rsid w:val="00582CE9"/>
    <w:rsid w:val="00584753"/>
    <w:rsid w:val="00591C6D"/>
    <w:rsid w:val="00592D59"/>
    <w:rsid w:val="005A1F13"/>
    <w:rsid w:val="005B42F2"/>
    <w:rsid w:val="005B69A9"/>
    <w:rsid w:val="005B750B"/>
    <w:rsid w:val="005D5254"/>
    <w:rsid w:val="00602E29"/>
    <w:rsid w:val="00603D79"/>
    <w:rsid w:val="00603FE4"/>
    <w:rsid w:val="00611979"/>
    <w:rsid w:val="00622B23"/>
    <w:rsid w:val="00623890"/>
    <w:rsid w:val="00623D71"/>
    <w:rsid w:val="006430D4"/>
    <w:rsid w:val="00661CDA"/>
    <w:rsid w:val="006620D1"/>
    <w:rsid w:val="0066649B"/>
    <w:rsid w:val="006739EE"/>
    <w:rsid w:val="0069342C"/>
    <w:rsid w:val="00694718"/>
    <w:rsid w:val="006B2F9D"/>
    <w:rsid w:val="006B4F55"/>
    <w:rsid w:val="006C5F3E"/>
    <w:rsid w:val="006E649B"/>
    <w:rsid w:val="006F6951"/>
    <w:rsid w:val="0070305E"/>
    <w:rsid w:val="00715AB6"/>
    <w:rsid w:val="00716098"/>
    <w:rsid w:val="007250C9"/>
    <w:rsid w:val="00733E40"/>
    <w:rsid w:val="007363D7"/>
    <w:rsid w:val="00744264"/>
    <w:rsid w:val="0076029D"/>
    <w:rsid w:val="00760D00"/>
    <w:rsid w:val="00770FEF"/>
    <w:rsid w:val="0077131A"/>
    <w:rsid w:val="00773FDD"/>
    <w:rsid w:val="0077444F"/>
    <w:rsid w:val="007761C9"/>
    <w:rsid w:val="00782A64"/>
    <w:rsid w:val="007842E6"/>
    <w:rsid w:val="0078548C"/>
    <w:rsid w:val="007A4CF4"/>
    <w:rsid w:val="007B257D"/>
    <w:rsid w:val="007B2F4F"/>
    <w:rsid w:val="007C5122"/>
    <w:rsid w:val="007D1CE3"/>
    <w:rsid w:val="007D22F5"/>
    <w:rsid w:val="007D79C4"/>
    <w:rsid w:val="007E2AC1"/>
    <w:rsid w:val="007E6834"/>
    <w:rsid w:val="00801B1B"/>
    <w:rsid w:val="00802900"/>
    <w:rsid w:val="008142DA"/>
    <w:rsid w:val="008162A8"/>
    <w:rsid w:val="00821551"/>
    <w:rsid w:val="008225E7"/>
    <w:rsid w:val="00822FEF"/>
    <w:rsid w:val="00826766"/>
    <w:rsid w:val="008270AA"/>
    <w:rsid w:val="008326DB"/>
    <w:rsid w:val="0083492B"/>
    <w:rsid w:val="00844E45"/>
    <w:rsid w:val="00851E49"/>
    <w:rsid w:val="00860494"/>
    <w:rsid w:val="00862B38"/>
    <w:rsid w:val="008714C1"/>
    <w:rsid w:val="00874C34"/>
    <w:rsid w:val="00877968"/>
    <w:rsid w:val="008858A8"/>
    <w:rsid w:val="00887F45"/>
    <w:rsid w:val="008A170D"/>
    <w:rsid w:val="008A268E"/>
    <w:rsid w:val="008B2262"/>
    <w:rsid w:val="008B25F8"/>
    <w:rsid w:val="008B701E"/>
    <w:rsid w:val="008C1517"/>
    <w:rsid w:val="008D32D5"/>
    <w:rsid w:val="008E1117"/>
    <w:rsid w:val="008E1A90"/>
    <w:rsid w:val="008F1AA4"/>
    <w:rsid w:val="008F345E"/>
    <w:rsid w:val="00900740"/>
    <w:rsid w:val="0090114E"/>
    <w:rsid w:val="00910DF8"/>
    <w:rsid w:val="00926C28"/>
    <w:rsid w:val="009343BD"/>
    <w:rsid w:val="009347CF"/>
    <w:rsid w:val="009412C4"/>
    <w:rsid w:val="00950E91"/>
    <w:rsid w:val="009535ED"/>
    <w:rsid w:val="0097085B"/>
    <w:rsid w:val="00977DC2"/>
    <w:rsid w:val="0099305E"/>
    <w:rsid w:val="009970E2"/>
    <w:rsid w:val="009971DC"/>
    <w:rsid w:val="009A01B5"/>
    <w:rsid w:val="009A6C55"/>
    <w:rsid w:val="009B56D7"/>
    <w:rsid w:val="009C3A34"/>
    <w:rsid w:val="009D1B03"/>
    <w:rsid w:val="009D6D72"/>
    <w:rsid w:val="009E55BD"/>
    <w:rsid w:val="009E66CF"/>
    <w:rsid w:val="009F5A85"/>
    <w:rsid w:val="00A11658"/>
    <w:rsid w:val="00A1240D"/>
    <w:rsid w:val="00A26824"/>
    <w:rsid w:val="00A41844"/>
    <w:rsid w:val="00A45537"/>
    <w:rsid w:val="00A77BD5"/>
    <w:rsid w:val="00A8365E"/>
    <w:rsid w:val="00A87C62"/>
    <w:rsid w:val="00AA3A37"/>
    <w:rsid w:val="00AC3E49"/>
    <w:rsid w:val="00AC79A9"/>
    <w:rsid w:val="00AE5181"/>
    <w:rsid w:val="00AE5FE1"/>
    <w:rsid w:val="00AF0F3C"/>
    <w:rsid w:val="00AF17B1"/>
    <w:rsid w:val="00B10DAB"/>
    <w:rsid w:val="00B16378"/>
    <w:rsid w:val="00B2137C"/>
    <w:rsid w:val="00B241A8"/>
    <w:rsid w:val="00B26EB3"/>
    <w:rsid w:val="00B34F68"/>
    <w:rsid w:val="00B4018B"/>
    <w:rsid w:val="00B45797"/>
    <w:rsid w:val="00B459B3"/>
    <w:rsid w:val="00B51406"/>
    <w:rsid w:val="00B52E08"/>
    <w:rsid w:val="00B54B4A"/>
    <w:rsid w:val="00B55DDB"/>
    <w:rsid w:val="00B62EFA"/>
    <w:rsid w:val="00B67472"/>
    <w:rsid w:val="00B71425"/>
    <w:rsid w:val="00B7649E"/>
    <w:rsid w:val="00B81E9B"/>
    <w:rsid w:val="00B85B25"/>
    <w:rsid w:val="00BA0B5D"/>
    <w:rsid w:val="00BC0B39"/>
    <w:rsid w:val="00BC108E"/>
    <w:rsid w:val="00BD28BD"/>
    <w:rsid w:val="00BD5B9E"/>
    <w:rsid w:val="00BE2D33"/>
    <w:rsid w:val="00BE2FE1"/>
    <w:rsid w:val="00BF383C"/>
    <w:rsid w:val="00BF548D"/>
    <w:rsid w:val="00BF5BE0"/>
    <w:rsid w:val="00C17189"/>
    <w:rsid w:val="00C2134F"/>
    <w:rsid w:val="00C43FB3"/>
    <w:rsid w:val="00C50A72"/>
    <w:rsid w:val="00C54AD6"/>
    <w:rsid w:val="00C554B6"/>
    <w:rsid w:val="00C76280"/>
    <w:rsid w:val="00C840E7"/>
    <w:rsid w:val="00C87850"/>
    <w:rsid w:val="00C9100A"/>
    <w:rsid w:val="00C924D1"/>
    <w:rsid w:val="00CA20B0"/>
    <w:rsid w:val="00CA3427"/>
    <w:rsid w:val="00CC1984"/>
    <w:rsid w:val="00CC26FF"/>
    <w:rsid w:val="00CC6626"/>
    <w:rsid w:val="00CE1153"/>
    <w:rsid w:val="00CE16EE"/>
    <w:rsid w:val="00CE54D8"/>
    <w:rsid w:val="00CE7486"/>
    <w:rsid w:val="00CF2FE6"/>
    <w:rsid w:val="00CF60CD"/>
    <w:rsid w:val="00D00F5B"/>
    <w:rsid w:val="00D076CD"/>
    <w:rsid w:val="00D1510D"/>
    <w:rsid w:val="00D16AE8"/>
    <w:rsid w:val="00D36C6D"/>
    <w:rsid w:val="00D44A4A"/>
    <w:rsid w:val="00D50870"/>
    <w:rsid w:val="00D5157A"/>
    <w:rsid w:val="00D60D6E"/>
    <w:rsid w:val="00D60DA4"/>
    <w:rsid w:val="00D7288F"/>
    <w:rsid w:val="00D74E07"/>
    <w:rsid w:val="00D84FD0"/>
    <w:rsid w:val="00D85064"/>
    <w:rsid w:val="00D85A8A"/>
    <w:rsid w:val="00D86F2E"/>
    <w:rsid w:val="00D91478"/>
    <w:rsid w:val="00D93990"/>
    <w:rsid w:val="00D95C66"/>
    <w:rsid w:val="00D97C86"/>
    <w:rsid w:val="00DA1A59"/>
    <w:rsid w:val="00DA58F0"/>
    <w:rsid w:val="00DB6542"/>
    <w:rsid w:val="00DC2214"/>
    <w:rsid w:val="00DC2703"/>
    <w:rsid w:val="00DC738B"/>
    <w:rsid w:val="00DE68EE"/>
    <w:rsid w:val="00DF7D86"/>
    <w:rsid w:val="00E05E49"/>
    <w:rsid w:val="00E0615E"/>
    <w:rsid w:val="00E271CF"/>
    <w:rsid w:val="00E305DD"/>
    <w:rsid w:val="00E34AB9"/>
    <w:rsid w:val="00E434BC"/>
    <w:rsid w:val="00E45D22"/>
    <w:rsid w:val="00E50D55"/>
    <w:rsid w:val="00E5593E"/>
    <w:rsid w:val="00E63238"/>
    <w:rsid w:val="00E638A7"/>
    <w:rsid w:val="00E70179"/>
    <w:rsid w:val="00E84C3D"/>
    <w:rsid w:val="00E94262"/>
    <w:rsid w:val="00E9522A"/>
    <w:rsid w:val="00E97D41"/>
    <w:rsid w:val="00EA2439"/>
    <w:rsid w:val="00EA282F"/>
    <w:rsid w:val="00EC1B0D"/>
    <w:rsid w:val="00EC35AA"/>
    <w:rsid w:val="00EC7D5C"/>
    <w:rsid w:val="00EF4B3F"/>
    <w:rsid w:val="00F0476A"/>
    <w:rsid w:val="00F17F1C"/>
    <w:rsid w:val="00F248D5"/>
    <w:rsid w:val="00F25FE5"/>
    <w:rsid w:val="00F26EA6"/>
    <w:rsid w:val="00F32A21"/>
    <w:rsid w:val="00F345BA"/>
    <w:rsid w:val="00F41AC8"/>
    <w:rsid w:val="00F43E0C"/>
    <w:rsid w:val="00F52F26"/>
    <w:rsid w:val="00F53669"/>
    <w:rsid w:val="00F66656"/>
    <w:rsid w:val="00F75150"/>
    <w:rsid w:val="00F82809"/>
    <w:rsid w:val="00F91378"/>
    <w:rsid w:val="00F91B1D"/>
    <w:rsid w:val="00F9450C"/>
    <w:rsid w:val="00FB3863"/>
    <w:rsid w:val="00FB7E04"/>
    <w:rsid w:val="00FC1C6B"/>
    <w:rsid w:val="00FD6179"/>
    <w:rsid w:val="00FE1B6F"/>
    <w:rsid w:val="00FE7780"/>
    <w:rsid w:val="00FF59B3"/>
    <w:rsid w:val="00FF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1D6F4"/>
  <w15:docId w15:val="{6A4E3AFB-D08B-4448-B488-BE46E381C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  <w:lang w:val="es-ES_tradnl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0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J/PAJHcphl+aOKL+MDyaKVwvgg==">AMUW2mVJGkVif2c7DnMvYSnUsjiTH77BrzEe0TUsF2AoRvrE35M9cs6uY90hO6RjZ0YCJXmkxSRdF2bureosVWuQ0/U8ChJc0H20Q3rH7VrDjil9Pfo1CMJjFENhf5q/SNwlYLZk3JDMG0ZwMuC/cwOAA9fsEhPHjtqr8j+4czSp2F80DOMITOeYKltaxzwddg4AGAUjsWws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B19EBE0B571047BEF7F649D7ED2C8D" ma:contentTypeVersion="5" ma:contentTypeDescription="Crear nuevo documento." ma:contentTypeScope="" ma:versionID="e0d0f2dc8b51029c3d1b894b2ca93c96">
  <xsd:schema xmlns:xsd="http://www.w3.org/2001/XMLSchema" xmlns:xs="http://www.w3.org/2001/XMLSchema" xmlns:p="http://schemas.microsoft.com/office/2006/metadata/properties" xmlns:ns2="3b1eb823-70b0-4f33-beb9-33d50ec8fe8f" xmlns:ns3="fb2cfd74-fd31-4aa6-878c-bb680d93a36f" targetNamespace="http://schemas.microsoft.com/office/2006/metadata/properties" ma:root="true" ma:fieldsID="a3020b7292d67de674ffdf04b9cc5ec5" ns2:_="" ns3:_="">
    <xsd:import namespace="3b1eb823-70b0-4f33-beb9-33d50ec8fe8f"/>
    <xsd:import namespace="fb2cfd74-fd31-4aa6-878c-bb680d93a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Fechayho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b823-70b0-4f33-beb9-33d50ec8fe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Fechayhora" ma:index="12" nillable="true" ma:displayName="Fecha y hora" ma:format="DateOnly" ma:internalName="Fechayhor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cfd74-fd31-4aa6-878c-bb680d93a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6BDCFE0-9650-4D1F-A08D-558ADABB5F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D50DBC-255B-41E2-A6E1-0BC7E73CC6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1eb823-70b0-4f33-beb9-33d50ec8fe8f"/>
    <ds:schemaRef ds:uri="fb2cfd74-fd31-4aa6-878c-bb680d93a3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FA5204A-FFE3-43F9-ABCE-A43C203B1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497</Words>
  <Characters>2838</Characters>
  <Application>Microsoft Office Word</Application>
  <DocSecurity>4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Yadira Saavedra</dc:creator>
  <cp:keywords/>
  <dc:description/>
  <cp:lastModifiedBy>Victor E. Vélez Cucuta</cp:lastModifiedBy>
  <cp:revision>2</cp:revision>
  <cp:lastPrinted>2025-02-26T14:29:00Z</cp:lastPrinted>
  <dcterms:created xsi:type="dcterms:W3CDTF">2025-04-11T20:43:00Z</dcterms:created>
  <dcterms:modified xsi:type="dcterms:W3CDTF">2025-04-11T20:43:00Z</dcterms:modified>
</cp:coreProperties>
</file>