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5D395420"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Pr>
          <w:rFonts w:ascii="Book Antiqua" w:hAnsi="Book Antiqua"/>
          <w:lang w:val="es-ES_tradnl"/>
        </w:rPr>
        <w:t>1</w:t>
      </w:r>
      <w:r w:rsidR="001A4A89" w:rsidRPr="0049600B">
        <w:rPr>
          <w:rFonts w:ascii="Book Antiqua" w:hAnsi="Book Antiqua"/>
          <w:lang w:val="es-ES_tradnl"/>
        </w:rPr>
        <w:t xml:space="preserve"> </w:t>
      </w:r>
      <w:proofErr w:type="spellStart"/>
      <w:r>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37390DED"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1F1883">
        <w:rPr>
          <w:rFonts w:ascii="Book Antiqua" w:hAnsi="Book Antiqua"/>
          <w:b/>
          <w:sz w:val="52"/>
          <w:lang w:val="es-ES_tradnl"/>
        </w:rPr>
        <w:t>190</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6275387B" w:rsidR="00D71003" w:rsidRPr="00160853" w:rsidRDefault="009F2A41"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12</w:t>
      </w:r>
      <w:r w:rsidR="00D71003" w:rsidRPr="00160853">
        <w:rPr>
          <w:rFonts w:ascii="Book Antiqua" w:hAnsi="Book Antiqua"/>
          <w:color w:val="000000" w:themeColor="text1"/>
          <w:sz w:val="22"/>
          <w:szCs w:val="18"/>
          <w:lang w:val="es-PR"/>
        </w:rPr>
        <w:t xml:space="preserve"> DE </w:t>
      </w:r>
      <w:r w:rsidR="00294A10">
        <w:rPr>
          <w:rFonts w:ascii="Book Antiqua" w:hAnsi="Book Antiqua"/>
          <w:color w:val="000000" w:themeColor="text1"/>
          <w:sz w:val="22"/>
          <w:szCs w:val="18"/>
          <w:lang w:val="es-PR"/>
        </w:rPr>
        <w:t>JUNIO</w:t>
      </w:r>
      <w:r w:rsidR="00D71003" w:rsidRPr="00160853">
        <w:rPr>
          <w:rFonts w:ascii="Book Antiqua" w:hAnsi="Book Antiqua"/>
          <w:color w:val="000000" w:themeColor="text1"/>
          <w:sz w:val="22"/>
          <w:szCs w:val="18"/>
          <w:lang w:val="es-PR"/>
        </w:rPr>
        <w:t xml:space="preserve"> 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FD00C6">
      <w:pPr>
        <w:spacing w:before="120" w:after="120"/>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69C44ED7" w:rsidR="00FD6CB7" w:rsidRDefault="00091A87" w:rsidP="00FD00C6">
      <w:pPr>
        <w:spacing w:before="120" w:after="120"/>
        <w:ind w:firstLine="720"/>
        <w:jc w:val="both"/>
        <w:rPr>
          <w:rFonts w:ascii="Book Antiqua" w:hAnsi="Book Antiqua"/>
          <w:lang w:val="es-PR"/>
        </w:rPr>
      </w:pPr>
      <w:r w:rsidRPr="00FD6CB7">
        <w:rPr>
          <w:rFonts w:ascii="Book Antiqua" w:hAnsi="Book Antiqua"/>
          <w:lang w:val="es-PR"/>
        </w:rPr>
        <w:t xml:space="preserve">La Comisión de Educación, </w:t>
      </w:r>
      <w:r w:rsidRPr="00060087">
        <w:rPr>
          <w:rFonts w:ascii="Book Antiqua" w:hAnsi="Book Antiqua"/>
          <w:lang w:val="es-PR"/>
        </w:rPr>
        <w:t>tras un exhaustivo</w:t>
      </w:r>
      <w:r>
        <w:rPr>
          <w:rFonts w:ascii="Book Antiqua" w:hAnsi="Book Antiqua"/>
          <w:lang w:val="es-PR"/>
        </w:rPr>
        <w:t xml:space="preserve"> </w:t>
      </w:r>
      <w:r w:rsidRPr="00FD6CB7">
        <w:rPr>
          <w:rFonts w:ascii="Book Antiqua" w:hAnsi="Book Antiqua"/>
          <w:lang w:val="es-PR"/>
        </w:rPr>
        <w:t xml:space="preserve">análisis y evaluación, recomienda respetuosamente a este Honorable Cuerpo Legislativo </w:t>
      </w:r>
      <w:r w:rsidR="00FD6CB7" w:rsidRPr="00FD6CB7">
        <w:rPr>
          <w:rFonts w:ascii="Book Antiqua" w:hAnsi="Book Antiqua"/>
          <w:lang w:val="es-PR"/>
        </w:rPr>
        <w:t xml:space="preserve">la aprobación del Proyecto de la Cámara </w:t>
      </w:r>
      <w:r w:rsidR="003C7E14">
        <w:rPr>
          <w:rFonts w:ascii="Book Antiqua" w:hAnsi="Book Antiqua"/>
          <w:lang w:val="es-PR"/>
        </w:rPr>
        <w:t>190</w:t>
      </w:r>
      <w:r w:rsidR="004E4E62">
        <w:rPr>
          <w:rFonts w:ascii="Book Antiqua" w:hAnsi="Book Antiqua"/>
          <w:lang w:val="es-PR"/>
        </w:rPr>
        <w:t xml:space="preserve"> (en adelante, P. de la C. </w:t>
      </w:r>
      <w:r w:rsidR="00EC6018">
        <w:rPr>
          <w:rFonts w:ascii="Book Antiqua" w:hAnsi="Book Antiqua"/>
          <w:lang w:val="es-PR"/>
        </w:rPr>
        <w:t>1</w:t>
      </w:r>
      <w:r w:rsidR="004E4E62">
        <w:rPr>
          <w:rFonts w:ascii="Book Antiqua" w:hAnsi="Book Antiqua"/>
          <w:lang w:val="es-PR"/>
        </w:rPr>
        <w:t>90)</w:t>
      </w:r>
      <w:r w:rsidR="00294A10" w:rsidRPr="00294A10">
        <w:rPr>
          <w:rFonts w:ascii="Book Antiqua" w:hAnsi="Book Antiqua"/>
          <w:lang w:val="es-PR"/>
        </w:rPr>
        <w:t xml:space="preserve"> </w:t>
      </w:r>
      <w:r w:rsidR="00294A10">
        <w:rPr>
          <w:rFonts w:ascii="Book Antiqua" w:hAnsi="Book Antiqua"/>
          <w:lang w:val="es-PR"/>
        </w:rPr>
        <w:t>con el presente Informe Positivo,</w:t>
      </w:r>
      <w:r w:rsidR="00FD6CB7" w:rsidRPr="00FD6CB7">
        <w:rPr>
          <w:rFonts w:ascii="Book Antiqua" w:hAnsi="Book Antiqua"/>
          <w:lang w:val="es-PR"/>
        </w:rPr>
        <w:t xml:space="preserve"> incorporando las enmiendas sugeridas que se detallan en el</w:t>
      </w:r>
      <w:r w:rsidR="00FD6CB7">
        <w:rPr>
          <w:rFonts w:ascii="Book Antiqua" w:hAnsi="Book Antiqua"/>
          <w:lang w:val="es-ES_tradnl"/>
        </w:rPr>
        <w:t xml:space="preserve"> </w:t>
      </w:r>
      <w:proofErr w:type="spellStart"/>
      <w:r w:rsidR="003963BE">
        <w:rPr>
          <w:rFonts w:ascii="Book Antiqua" w:hAnsi="Book Antiqua"/>
          <w:lang w:val="es-ES_tradnl"/>
        </w:rPr>
        <w:t>ent</w:t>
      </w:r>
      <w:r w:rsidR="00843A3B">
        <w:rPr>
          <w:rFonts w:ascii="Book Antiqua" w:hAnsi="Book Antiqua"/>
          <w:lang w:val="es-ES_tradnl"/>
        </w:rPr>
        <w:t>i</w:t>
      </w:r>
      <w:r w:rsidR="003963BE">
        <w:rPr>
          <w:rFonts w:ascii="Book Antiqua" w:hAnsi="Book Antiqua"/>
          <w:lang w:val="es-ES_tradnl"/>
        </w:rPr>
        <w:t>rillado</w:t>
      </w:r>
      <w:proofErr w:type="spellEnd"/>
      <w:r w:rsidR="00FD6CB7">
        <w:rPr>
          <w:rFonts w:ascii="Book Antiqua" w:hAnsi="Book Antiqua"/>
          <w:lang w:val="es-ES_tradnl"/>
        </w:rPr>
        <w:t xml:space="preserve"> electrónico que se acompaña</w:t>
      </w:r>
      <w:r w:rsidR="00FD6CB7">
        <w:rPr>
          <w:rFonts w:ascii="Book Antiqua" w:hAnsi="Book Antiqua"/>
          <w:lang w:val="es-PR"/>
        </w:rPr>
        <w:t>.</w:t>
      </w:r>
    </w:p>
    <w:p w14:paraId="49988954" w14:textId="5487E069" w:rsidR="00FD6CB7" w:rsidRPr="00817DB9" w:rsidRDefault="001A4A89" w:rsidP="00FD00C6">
      <w:pPr>
        <w:spacing w:before="120" w:after="120"/>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p>
    <w:bookmarkEnd w:id="0"/>
    <w:p w14:paraId="2689D0E3" w14:textId="4640620D" w:rsidR="0070273C" w:rsidRDefault="004E4E62" w:rsidP="00FD00C6">
      <w:pPr>
        <w:spacing w:before="120" w:after="120"/>
        <w:ind w:firstLine="720"/>
        <w:jc w:val="both"/>
        <w:rPr>
          <w:rFonts w:ascii="Book Antiqua" w:hAnsi="Book Antiqua"/>
          <w:szCs w:val="24"/>
          <w:lang w:val="es-PR"/>
        </w:rPr>
      </w:pPr>
      <w:r>
        <w:rPr>
          <w:rFonts w:ascii="Book Antiqua" w:hAnsi="Book Antiqua"/>
          <w:szCs w:val="24"/>
          <w:lang w:val="es-PR"/>
        </w:rPr>
        <w:t>E</w:t>
      </w:r>
      <w:r w:rsidRPr="004E4E62">
        <w:rPr>
          <w:rFonts w:ascii="Book Antiqua" w:hAnsi="Book Antiqua"/>
          <w:szCs w:val="24"/>
          <w:lang w:val="es-PR"/>
        </w:rPr>
        <w:t>l P. de la C. 1</w:t>
      </w:r>
      <w:r>
        <w:rPr>
          <w:rFonts w:ascii="Book Antiqua" w:hAnsi="Book Antiqua"/>
          <w:szCs w:val="24"/>
          <w:lang w:val="es-PR"/>
        </w:rPr>
        <w:t>90,</w:t>
      </w:r>
      <w:r w:rsidRPr="004E4E62">
        <w:rPr>
          <w:rFonts w:ascii="Book Antiqua" w:hAnsi="Book Antiqua"/>
          <w:szCs w:val="24"/>
          <w:lang w:val="es-PR"/>
        </w:rPr>
        <w:t xml:space="preserve"> tiene como propósito</w:t>
      </w:r>
      <w:r w:rsidR="003C7E14" w:rsidRPr="003C7E14">
        <w:rPr>
          <w:rFonts w:ascii="Book Antiqua" w:hAnsi="Book Antiqua"/>
          <w:szCs w:val="24"/>
          <w:lang w:val="es-PR"/>
        </w:rPr>
        <w:t xml:space="preserve"> enmendar la Sección 1 de la Ley Núm. 170 de 4 de mayo de 1949, según enmendada,</w:t>
      </w:r>
      <w:r w:rsidR="003C7E14">
        <w:rPr>
          <w:rFonts w:ascii="Book Antiqua" w:hAnsi="Book Antiqua"/>
          <w:szCs w:val="24"/>
          <w:lang w:val="es-PR"/>
        </w:rPr>
        <w:t xml:space="preserve"> </w:t>
      </w:r>
      <w:r w:rsidR="003C7E14" w:rsidRPr="003C7E14">
        <w:rPr>
          <w:rFonts w:ascii="Book Antiqua" w:hAnsi="Book Antiqua"/>
          <w:szCs w:val="24"/>
          <w:lang w:val="es-PR"/>
        </w:rPr>
        <w:t>con el fin de disponer los requisitos de disponibilidad para la concesión del examen</w:t>
      </w:r>
      <w:r w:rsidR="003C7E14">
        <w:rPr>
          <w:rFonts w:ascii="Book Antiqua" w:hAnsi="Book Antiqua"/>
          <w:szCs w:val="24"/>
          <w:lang w:val="es-PR"/>
        </w:rPr>
        <w:t xml:space="preserve"> </w:t>
      </w:r>
      <w:r w:rsidR="003C7E14" w:rsidRPr="003C7E14">
        <w:rPr>
          <w:rFonts w:ascii="Book Antiqua" w:hAnsi="Book Antiqua"/>
          <w:szCs w:val="24"/>
          <w:lang w:val="es-PR"/>
        </w:rPr>
        <w:t>de equivalencia de Escuela Superior; y para decretar otras disposiciones</w:t>
      </w:r>
      <w:r w:rsidR="003C7E14">
        <w:rPr>
          <w:rFonts w:ascii="Book Antiqua" w:hAnsi="Book Antiqua"/>
          <w:szCs w:val="24"/>
          <w:lang w:val="es-PR"/>
        </w:rPr>
        <w:t xml:space="preserve"> </w:t>
      </w:r>
      <w:r w:rsidR="003C7E14" w:rsidRPr="003C7E14">
        <w:rPr>
          <w:rFonts w:ascii="Book Antiqua" w:hAnsi="Book Antiqua"/>
          <w:szCs w:val="24"/>
          <w:lang w:val="es-PR"/>
        </w:rPr>
        <w:t>complementarias.</w:t>
      </w:r>
    </w:p>
    <w:p w14:paraId="26C62843" w14:textId="73DC42AB" w:rsidR="00364902" w:rsidRDefault="00364902" w:rsidP="00FD00C6">
      <w:pPr>
        <w:spacing w:before="120" w:after="120"/>
        <w:jc w:val="center"/>
        <w:rPr>
          <w:rFonts w:ascii="Book Antiqua" w:hAnsi="Book Antiqua"/>
          <w:szCs w:val="24"/>
          <w:lang w:val="es-PR"/>
        </w:rPr>
      </w:pPr>
      <w:r>
        <w:rPr>
          <w:rFonts w:ascii="Book Antiqua" w:hAnsi="Book Antiqua"/>
          <w:b/>
          <w:bCs/>
          <w:lang w:val="es-ES_tradnl"/>
        </w:rPr>
        <w:t>INTRODUCCIÓN</w:t>
      </w:r>
    </w:p>
    <w:p w14:paraId="5E93C188" w14:textId="77777777" w:rsidR="004E4E62" w:rsidRDefault="00364902" w:rsidP="00FD00C6">
      <w:pPr>
        <w:spacing w:before="120" w:after="120"/>
        <w:ind w:firstLine="720"/>
        <w:jc w:val="both"/>
        <w:rPr>
          <w:rFonts w:ascii="Book Antiqua" w:hAnsi="Book Antiqua"/>
          <w:szCs w:val="24"/>
          <w:lang w:val="es-PR"/>
        </w:rPr>
      </w:pPr>
      <w:r w:rsidRPr="00364902">
        <w:rPr>
          <w:rFonts w:ascii="Book Antiqua" w:hAnsi="Book Antiqua"/>
          <w:szCs w:val="24"/>
          <w:lang w:val="es-PR"/>
        </w:rPr>
        <w:t xml:space="preserve">La Exposición de Motivos de la pieza legislativa </w:t>
      </w:r>
      <w:r w:rsidR="00A40714">
        <w:rPr>
          <w:rFonts w:ascii="Book Antiqua" w:hAnsi="Book Antiqua"/>
          <w:szCs w:val="24"/>
          <w:lang w:val="es-PR"/>
        </w:rPr>
        <w:t>expone que, s</w:t>
      </w:r>
      <w:r w:rsidR="00A40714" w:rsidRPr="00A40714">
        <w:rPr>
          <w:rFonts w:ascii="Book Antiqua" w:hAnsi="Book Antiqua"/>
          <w:szCs w:val="24"/>
          <w:lang w:val="es-PR"/>
        </w:rPr>
        <w:t>egún datos del Censo de EE. UU. en 2022, Puerto Rico es el 17° lugar con más jóvenes no matriculados y sin diploma de escuela secundaria, representando un 35% de su juventud. Además, el 31% de los adultos mayores de 25 años que viven en pobreza no tienen un diploma de escuela secundaria.</w:t>
      </w:r>
      <w:r w:rsidR="00A40714">
        <w:rPr>
          <w:rFonts w:ascii="Book Antiqua" w:hAnsi="Book Antiqua"/>
          <w:szCs w:val="24"/>
          <w:lang w:val="es-PR"/>
        </w:rPr>
        <w:t xml:space="preserve"> </w:t>
      </w:r>
      <w:r w:rsidR="00A40714" w:rsidRPr="00A40714">
        <w:rPr>
          <w:rFonts w:ascii="Book Antiqua" w:hAnsi="Book Antiqua"/>
          <w:szCs w:val="24"/>
          <w:lang w:val="es-PR"/>
        </w:rPr>
        <w:t xml:space="preserve">El Examen de Equivalencia de Escuela Superior se ha establecido para ofrecer opciones educativas a la juventud y facilitar su entrada al mercado laboral. Este examen, que incluye cinco partes (Comunicación en </w:t>
      </w:r>
      <w:proofErr w:type="gramStart"/>
      <w:r w:rsidR="00A40714" w:rsidRPr="00A40714">
        <w:rPr>
          <w:rFonts w:ascii="Book Antiqua" w:hAnsi="Book Antiqua"/>
          <w:szCs w:val="24"/>
          <w:lang w:val="es-PR"/>
        </w:rPr>
        <w:t>Español</w:t>
      </w:r>
      <w:proofErr w:type="gramEnd"/>
      <w:r w:rsidR="00A40714" w:rsidRPr="00A40714">
        <w:rPr>
          <w:rFonts w:ascii="Book Antiqua" w:hAnsi="Book Antiqua"/>
          <w:szCs w:val="24"/>
          <w:lang w:val="es-PR"/>
        </w:rPr>
        <w:t xml:space="preserve">, Comunicación en </w:t>
      </w:r>
      <w:proofErr w:type="gramStart"/>
      <w:r w:rsidR="00A40714" w:rsidRPr="00A40714">
        <w:rPr>
          <w:rFonts w:ascii="Book Antiqua" w:hAnsi="Book Antiqua"/>
          <w:szCs w:val="24"/>
          <w:lang w:val="es-PR"/>
        </w:rPr>
        <w:t>Inglés</w:t>
      </w:r>
      <w:proofErr w:type="gramEnd"/>
      <w:r w:rsidR="00A40714" w:rsidRPr="00A40714">
        <w:rPr>
          <w:rFonts w:ascii="Book Antiqua" w:hAnsi="Book Antiqua"/>
          <w:szCs w:val="24"/>
          <w:lang w:val="es-PR"/>
        </w:rPr>
        <w:t xml:space="preserve">, Interacción Social, Razonamiento Científico y Razonamiento Matemático), mide habilidades y conocimientos académicos. Está dirigido a adultos que no completaron sus </w:t>
      </w:r>
      <w:r w:rsidR="00A40714" w:rsidRPr="00A40714">
        <w:rPr>
          <w:rFonts w:ascii="Book Antiqua" w:hAnsi="Book Antiqua"/>
          <w:szCs w:val="24"/>
          <w:lang w:val="es-PR"/>
        </w:rPr>
        <w:lastRenderedPageBreak/>
        <w:t>estudios, dándoles la oportunidad de obtener un diploma equivalente que es aceptado por empleadores y universidades</w:t>
      </w:r>
      <w:r w:rsidR="004E4E62">
        <w:rPr>
          <w:rFonts w:ascii="Book Antiqua" w:hAnsi="Book Antiqua"/>
          <w:szCs w:val="24"/>
          <w:lang w:val="es-PR"/>
        </w:rPr>
        <w:t>.</w:t>
      </w:r>
    </w:p>
    <w:p w14:paraId="7606A05F" w14:textId="65746103" w:rsidR="00A40714" w:rsidRPr="00A40714" w:rsidRDefault="004E4E62" w:rsidP="00FD00C6">
      <w:pPr>
        <w:spacing w:before="120" w:after="120"/>
        <w:ind w:firstLine="720"/>
        <w:jc w:val="both"/>
        <w:rPr>
          <w:rFonts w:ascii="Book Antiqua" w:hAnsi="Book Antiqua"/>
          <w:szCs w:val="24"/>
          <w:lang w:val="es-PR"/>
        </w:rPr>
      </w:pPr>
      <w:r>
        <w:rPr>
          <w:rFonts w:ascii="Book Antiqua" w:hAnsi="Book Antiqua"/>
          <w:szCs w:val="24"/>
          <w:lang w:val="es-PR"/>
        </w:rPr>
        <w:t xml:space="preserve"> </w:t>
      </w:r>
      <w:r w:rsidR="00A40714" w:rsidRPr="00A40714">
        <w:rPr>
          <w:rFonts w:ascii="Book Antiqua" w:hAnsi="Book Antiqua"/>
          <w:szCs w:val="24"/>
          <w:lang w:val="es-PR"/>
        </w:rPr>
        <w:t>La Ley Núm. 170 de 1949, que creó los exámenes de equivalencia, ha sido modificada varias veces, siendo la última en 2003. Esta ley establece que los exámenes se deben ofrecer al menos una vez por semestre y requiere informar a los candidatos sobre los recursos educativos disponibles. Sin embargo, esto no ha sido suficiente para satisfacer la necesidad de exámenes, puesto que en el primer semestre del año académico 2020-2021, el 3. 61% de los estudiantes de secundaria abandonó la escuela.</w:t>
      </w:r>
    </w:p>
    <w:p w14:paraId="316A41B9" w14:textId="1860E394" w:rsidR="00A40714" w:rsidRDefault="004E4E62" w:rsidP="00FD00C6">
      <w:pPr>
        <w:spacing w:before="120" w:after="120"/>
        <w:jc w:val="both"/>
        <w:rPr>
          <w:rFonts w:ascii="Book Antiqua" w:hAnsi="Book Antiqua" w:cs="AngsanaUPC"/>
          <w:lang w:val="es-PR"/>
        </w:rPr>
      </w:pPr>
      <w:r>
        <w:rPr>
          <w:rFonts w:ascii="Book Antiqua" w:hAnsi="Book Antiqua"/>
          <w:szCs w:val="24"/>
          <w:lang w:val="es-PR"/>
        </w:rPr>
        <w:t xml:space="preserve">       </w:t>
      </w:r>
      <w:r w:rsidR="00A40714" w:rsidRPr="00A40714">
        <w:rPr>
          <w:rFonts w:ascii="Book Antiqua" w:hAnsi="Book Antiqua"/>
          <w:szCs w:val="24"/>
          <w:lang w:val="es-PR"/>
        </w:rPr>
        <w:t>Actualmente, las Oficinas Regionales Educativas administran el examen, pero la Unidad de Exámenes y Certificaciones es responsable de su ejecución. Esto limita el acceso al examen, ya que solo se ofrece una vez por semestre y las fechas no se comunican de manera efectiva. Es necesario actualizar las regulaciones para aumentar la disponibilidad del examen y así mejorar las oportunidades de obtener un diploma para las poblaciones más vulnerables.</w:t>
      </w:r>
    </w:p>
    <w:p w14:paraId="6901D084" w14:textId="39740BAF" w:rsidR="004731D3" w:rsidRDefault="004731D3" w:rsidP="00FD00C6">
      <w:pPr>
        <w:spacing w:before="120" w:after="120"/>
        <w:jc w:val="both"/>
        <w:rPr>
          <w:rFonts w:ascii="Book Antiqua" w:hAnsi="Book Antiqua" w:cs="AngsanaUPC"/>
          <w:lang w:val="es-PR"/>
        </w:rPr>
      </w:pPr>
    </w:p>
    <w:p w14:paraId="2620E398" w14:textId="77777777" w:rsidR="00294A10" w:rsidRDefault="00B7320F" w:rsidP="00FD00C6">
      <w:pPr>
        <w:spacing w:before="120" w:after="120"/>
        <w:jc w:val="center"/>
        <w:rPr>
          <w:rFonts w:ascii="Book Antiqua" w:hAnsi="Book Antiqua"/>
          <w:b/>
          <w:bCs/>
          <w:szCs w:val="24"/>
          <w:lang w:val="es-PR"/>
        </w:rPr>
      </w:pPr>
      <w:r w:rsidRPr="00A10113">
        <w:rPr>
          <w:rFonts w:ascii="Book Antiqua" w:hAnsi="Book Antiqua"/>
          <w:b/>
          <w:bCs/>
          <w:szCs w:val="24"/>
          <w:lang w:val="es-PR"/>
        </w:rPr>
        <w:t>ANÁLISIS DE LA MEDIDA</w:t>
      </w:r>
    </w:p>
    <w:p w14:paraId="1FD4B54F" w14:textId="662B4C74" w:rsidR="00294A10" w:rsidRDefault="00B7320F" w:rsidP="00FD00C6">
      <w:pPr>
        <w:spacing w:before="120" w:after="120"/>
        <w:ind w:firstLine="720"/>
        <w:rPr>
          <w:rFonts w:ascii="Book Antiqua" w:hAnsi="Book Antiqua"/>
          <w:b/>
          <w:bCs/>
          <w:szCs w:val="24"/>
          <w:lang w:val="es-PR"/>
        </w:rPr>
      </w:pPr>
      <w:r w:rsidRPr="00EC473E">
        <w:rPr>
          <w:rFonts w:ascii="Book Antiqua" w:hAnsi="Book Antiqua"/>
          <w:szCs w:val="24"/>
          <w:lang w:val="es-PR"/>
        </w:rPr>
        <w:t>El</w:t>
      </w:r>
      <w:r w:rsidR="004E4E62">
        <w:rPr>
          <w:rFonts w:ascii="Book Antiqua" w:hAnsi="Book Antiqua"/>
          <w:szCs w:val="24"/>
          <w:lang w:val="es-PR"/>
        </w:rPr>
        <w:t xml:space="preserve"> P. de la C. </w:t>
      </w:r>
      <w:r w:rsidR="00A40714">
        <w:rPr>
          <w:rFonts w:ascii="Book Antiqua" w:hAnsi="Book Antiqua"/>
          <w:szCs w:val="24"/>
          <w:lang w:val="es-PR"/>
        </w:rPr>
        <w:t>190</w:t>
      </w:r>
      <w:r w:rsidRPr="00EC473E">
        <w:rPr>
          <w:rFonts w:ascii="Book Antiqua" w:hAnsi="Book Antiqua"/>
          <w:szCs w:val="24"/>
          <w:lang w:val="es-PR"/>
        </w:rPr>
        <w:t xml:space="preserve"> fue radicado el </w:t>
      </w:r>
      <w:r w:rsidR="00A40714">
        <w:rPr>
          <w:rFonts w:ascii="Book Antiqua" w:hAnsi="Book Antiqua"/>
          <w:szCs w:val="24"/>
          <w:lang w:val="es-PR"/>
        </w:rPr>
        <w:t>10 de enero</w:t>
      </w:r>
      <w:r w:rsidRPr="00EC473E">
        <w:rPr>
          <w:rFonts w:ascii="Book Antiqua" w:hAnsi="Book Antiqua"/>
          <w:szCs w:val="24"/>
          <w:lang w:val="es-PR"/>
        </w:rPr>
        <w:t xml:space="preserve"> de 202</w:t>
      </w:r>
      <w:r w:rsidR="00E8764A" w:rsidRPr="00EC473E">
        <w:rPr>
          <w:rFonts w:ascii="Book Antiqua" w:hAnsi="Book Antiqua"/>
          <w:szCs w:val="24"/>
          <w:lang w:val="es-PR"/>
        </w:rPr>
        <w:t xml:space="preserve">5 y referido a la Comisión de Educación el </w:t>
      </w:r>
      <w:r w:rsidR="00A40714">
        <w:rPr>
          <w:rFonts w:ascii="Book Antiqua" w:hAnsi="Book Antiqua"/>
          <w:szCs w:val="24"/>
          <w:lang w:val="es-PR"/>
        </w:rPr>
        <w:t xml:space="preserve">16 </w:t>
      </w:r>
      <w:r w:rsidR="00E8764A" w:rsidRPr="00EC473E">
        <w:rPr>
          <w:rFonts w:ascii="Book Antiqua" w:hAnsi="Book Antiqua"/>
          <w:szCs w:val="24"/>
          <w:lang w:val="es-PR"/>
        </w:rPr>
        <w:t xml:space="preserve">de </w:t>
      </w:r>
      <w:r w:rsidR="00A40714">
        <w:rPr>
          <w:rFonts w:ascii="Book Antiqua" w:hAnsi="Book Antiqua"/>
          <w:szCs w:val="24"/>
          <w:lang w:val="es-PR"/>
        </w:rPr>
        <w:t>ener</w:t>
      </w:r>
      <w:r w:rsidR="003963BE">
        <w:rPr>
          <w:rFonts w:ascii="Book Antiqua" w:hAnsi="Book Antiqua"/>
          <w:szCs w:val="24"/>
          <w:lang w:val="es-PR"/>
        </w:rPr>
        <w:t>o</w:t>
      </w:r>
      <w:r w:rsidR="00E8764A" w:rsidRPr="00EC473E">
        <w:rPr>
          <w:rFonts w:ascii="Book Antiqua" w:hAnsi="Book Antiqua"/>
          <w:szCs w:val="24"/>
          <w:lang w:val="es-PR"/>
        </w:rPr>
        <w:t xml:space="preserve"> </w:t>
      </w:r>
      <w:r w:rsidR="00E8764A" w:rsidRPr="0001561B">
        <w:rPr>
          <w:rFonts w:ascii="Book Antiqua" w:hAnsi="Book Antiqua"/>
          <w:szCs w:val="24"/>
          <w:lang w:val="es-PR"/>
        </w:rPr>
        <w:t>de 2025</w:t>
      </w:r>
      <w:r w:rsidRPr="0001561B">
        <w:rPr>
          <w:rFonts w:ascii="Book Antiqua" w:hAnsi="Book Antiqua"/>
          <w:szCs w:val="24"/>
          <w:lang w:val="es-PR"/>
        </w:rPr>
        <w:t>.</w:t>
      </w:r>
      <w:r w:rsidR="00E8764A" w:rsidRPr="0001561B">
        <w:rPr>
          <w:rFonts w:ascii="Book Antiqua" w:hAnsi="Book Antiqua"/>
          <w:szCs w:val="24"/>
          <w:lang w:val="es-PR"/>
        </w:rPr>
        <w:t xml:space="preserve"> </w:t>
      </w:r>
      <w:r w:rsidR="0001561B" w:rsidRPr="0001561B">
        <w:rPr>
          <w:rFonts w:ascii="Book Antiqua" w:hAnsi="Book Antiqua"/>
          <w:szCs w:val="24"/>
          <w:lang w:val="es-PR"/>
        </w:rPr>
        <w:t xml:space="preserve"> </w:t>
      </w:r>
      <w:r w:rsidR="0029726D" w:rsidRPr="0001561B">
        <w:rPr>
          <w:rFonts w:ascii="Book Antiqua" w:hAnsi="Book Antiqua"/>
          <w:szCs w:val="24"/>
          <w:lang w:val="es-PR"/>
        </w:rPr>
        <w:t>Para la evaluación y análisis de la referida medida</w:t>
      </w:r>
      <w:r w:rsidR="0001561B" w:rsidRPr="0001561B">
        <w:rPr>
          <w:rFonts w:ascii="Book Antiqua" w:hAnsi="Book Antiqua"/>
          <w:szCs w:val="24"/>
          <w:lang w:val="es-PR"/>
        </w:rPr>
        <w:t xml:space="preserve"> fueron </w:t>
      </w:r>
      <w:r w:rsidR="00346000">
        <w:rPr>
          <w:rFonts w:ascii="Book Antiqua" w:hAnsi="Book Antiqua"/>
          <w:szCs w:val="24"/>
          <w:lang w:val="es-PR"/>
        </w:rPr>
        <w:t>solicitados</w:t>
      </w:r>
      <w:r w:rsidR="0029726D" w:rsidRPr="0001561B">
        <w:rPr>
          <w:rFonts w:ascii="Book Antiqua" w:hAnsi="Book Antiqua"/>
          <w:szCs w:val="24"/>
          <w:lang w:val="es-PR"/>
        </w:rPr>
        <w:t xml:space="preserve"> Memoriales Explicativos </w:t>
      </w:r>
      <w:r w:rsidR="00EC473E" w:rsidRPr="0001561B">
        <w:rPr>
          <w:rFonts w:ascii="Book Antiqua" w:hAnsi="Book Antiqua"/>
          <w:szCs w:val="24"/>
          <w:lang w:val="es-PR"/>
        </w:rPr>
        <w:t>de:</w:t>
      </w:r>
      <w:r w:rsidR="0029726D" w:rsidRPr="0001561B">
        <w:rPr>
          <w:rFonts w:ascii="Book Antiqua" w:hAnsi="Book Antiqua"/>
          <w:szCs w:val="24"/>
          <w:lang w:val="es-PR"/>
        </w:rPr>
        <w:t xml:space="preserve"> </w:t>
      </w:r>
      <w:r w:rsidR="00C0414C">
        <w:rPr>
          <w:rFonts w:ascii="Book Antiqua" w:hAnsi="Book Antiqua"/>
          <w:szCs w:val="24"/>
          <w:lang w:val="es-PR"/>
        </w:rPr>
        <w:t xml:space="preserve">Departamento de </w:t>
      </w:r>
      <w:r w:rsidR="003963BE">
        <w:rPr>
          <w:rFonts w:ascii="Book Antiqua" w:hAnsi="Book Antiqua"/>
          <w:szCs w:val="24"/>
          <w:lang w:val="es-PR"/>
        </w:rPr>
        <w:t>Educación</w:t>
      </w:r>
      <w:r w:rsidR="00C0414C">
        <w:rPr>
          <w:rFonts w:ascii="Book Antiqua" w:hAnsi="Book Antiqua"/>
          <w:szCs w:val="24"/>
          <w:lang w:val="es-PR"/>
        </w:rPr>
        <w:t xml:space="preserve"> de Puerto Rico</w:t>
      </w:r>
      <w:r w:rsidR="00A40714">
        <w:rPr>
          <w:rFonts w:ascii="Book Antiqua" w:hAnsi="Book Antiqua"/>
          <w:szCs w:val="24"/>
          <w:lang w:val="es-PR"/>
        </w:rPr>
        <w:t xml:space="preserve"> </w:t>
      </w:r>
      <w:r w:rsidR="000871B0">
        <w:rPr>
          <w:rFonts w:ascii="Book Antiqua" w:hAnsi="Book Antiqua"/>
          <w:szCs w:val="24"/>
          <w:lang w:val="es-PR"/>
        </w:rPr>
        <w:t xml:space="preserve">y Oficina de Gerencia y Presupuesto. Al momento de la redacción de este informe solo se recibió memorial </w:t>
      </w:r>
      <w:r w:rsidR="00294A10">
        <w:rPr>
          <w:rFonts w:ascii="Book Antiqua" w:hAnsi="Book Antiqua"/>
          <w:szCs w:val="24"/>
          <w:lang w:val="es-PR"/>
        </w:rPr>
        <w:t xml:space="preserve">explicativo </w:t>
      </w:r>
      <w:r w:rsidR="000871B0">
        <w:rPr>
          <w:rFonts w:ascii="Book Antiqua" w:hAnsi="Book Antiqua"/>
          <w:szCs w:val="24"/>
          <w:lang w:val="es-PR"/>
        </w:rPr>
        <w:t>del Departamento de Educación de Puerto Rico.</w:t>
      </w:r>
    </w:p>
    <w:p w14:paraId="2A6C6969" w14:textId="76AB2C70" w:rsidR="00B7320F" w:rsidRPr="000871B0" w:rsidRDefault="00EC473E" w:rsidP="00FD00C6">
      <w:pPr>
        <w:spacing w:before="120" w:after="120"/>
        <w:ind w:firstLine="720"/>
        <w:jc w:val="both"/>
        <w:rPr>
          <w:rFonts w:ascii="Book Antiqua" w:hAnsi="Book Antiqua"/>
          <w:b/>
          <w:bCs/>
          <w:szCs w:val="24"/>
          <w:lang w:val="es-PR"/>
        </w:rPr>
      </w:pPr>
      <w:r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legislativa y con el propósito de obtener el aporte necesario </w:t>
      </w:r>
      <w:r w:rsidRPr="0001561B">
        <w:rPr>
          <w:rFonts w:ascii="Book Antiqua" w:hAnsi="Book Antiqua"/>
          <w:szCs w:val="24"/>
          <w:lang w:val="es-PR"/>
        </w:rPr>
        <w:t>dichos memoriales fueron evaluados y analizados para propósitos de la redacción de este informe bajo nuestra consideración.</w:t>
      </w:r>
    </w:p>
    <w:p w14:paraId="6D954468" w14:textId="725CF357" w:rsidR="000E3D6D" w:rsidRDefault="00B7320F" w:rsidP="00FD00C6">
      <w:pPr>
        <w:spacing w:before="120" w:after="120"/>
        <w:ind w:firstLine="720"/>
        <w:jc w:val="both"/>
        <w:rPr>
          <w:rFonts w:ascii="Book Antiqua" w:hAnsi="Book Antiqua"/>
          <w:szCs w:val="24"/>
          <w:lang w:val="es-PR"/>
        </w:rPr>
      </w:pPr>
      <w:r w:rsidRPr="0001561B">
        <w:rPr>
          <w:rFonts w:ascii="Book Antiqua" w:hAnsi="Book Antiqua"/>
          <w:szCs w:val="24"/>
          <w:lang w:val="es-PR"/>
        </w:rPr>
        <w:t xml:space="preserve">A continuación, se presenta un resumen detallado de los comentarios proporcionados por </w:t>
      </w:r>
      <w:r w:rsidR="000871B0" w:rsidRPr="0001561B">
        <w:rPr>
          <w:rFonts w:ascii="Book Antiqua" w:hAnsi="Book Antiqua"/>
          <w:szCs w:val="24"/>
          <w:lang w:val="es-PR"/>
        </w:rPr>
        <w:t>la entidad gubernamental antes mencionada</w:t>
      </w:r>
      <w:r w:rsidR="000E3D6D">
        <w:rPr>
          <w:rFonts w:ascii="Book Antiqua" w:hAnsi="Book Antiqua"/>
          <w:szCs w:val="24"/>
          <w:lang w:val="es-PR"/>
        </w:rPr>
        <w:t>:</w:t>
      </w:r>
    </w:p>
    <w:p w14:paraId="0FD1078F" w14:textId="77777777" w:rsidR="00FD00C6" w:rsidRDefault="00FD00C6" w:rsidP="00FD00C6">
      <w:pPr>
        <w:spacing w:before="120" w:after="120"/>
        <w:jc w:val="center"/>
        <w:rPr>
          <w:rFonts w:ascii="Book Antiqua" w:hAnsi="Book Antiqua"/>
          <w:b/>
          <w:bCs/>
          <w:szCs w:val="24"/>
          <w:lang w:val="es-PR"/>
        </w:rPr>
      </w:pPr>
    </w:p>
    <w:p w14:paraId="042AD738" w14:textId="672EF745" w:rsidR="003963BE" w:rsidRPr="003963BE" w:rsidRDefault="00716972" w:rsidP="00FD00C6">
      <w:pPr>
        <w:spacing w:before="120" w:after="120"/>
        <w:jc w:val="center"/>
        <w:rPr>
          <w:rFonts w:ascii="Book Antiqua" w:hAnsi="Book Antiqua"/>
          <w:b/>
          <w:bCs/>
          <w:szCs w:val="24"/>
          <w:lang w:val="es-PR"/>
        </w:rPr>
      </w:pPr>
      <w:r w:rsidRPr="003963BE">
        <w:rPr>
          <w:rFonts w:ascii="Book Antiqua" w:hAnsi="Book Antiqua"/>
          <w:b/>
          <w:bCs/>
          <w:szCs w:val="24"/>
          <w:lang w:val="es-PR"/>
        </w:rPr>
        <w:t>DEPARTAMENTO DE EDUCACIÓNDE PUERTO RICO</w:t>
      </w:r>
    </w:p>
    <w:p w14:paraId="07242562" w14:textId="1230AFAD" w:rsidR="00A40714" w:rsidRPr="00A40714" w:rsidRDefault="003963BE" w:rsidP="00FD00C6">
      <w:pPr>
        <w:spacing w:before="120" w:after="120"/>
        <w:jc w:val="both"/>
        <w:rPr>
          <w:rFonts w:ascii="Book Antiqua" w:hAnsi="Book Antiqua"/>
          <w:szCs w:val="24"/>
          <w:lang w:val="es-PR"/>
        </w:rPr>
      </w:pPr>
      <w:r w:rsidRPr="003963BE">
        <w:rPr>
          <w:rFonts w:ascii="Book Antiqua" w:hAnsi="Book Antiqua"/>
          <w:szCs w:val="24"/>
          <w:lang w:val="es-PR"/>
        </w:rPr>
        <w:t xml:space="preserve">              El Departamento de Educación de Puerto Rico (en adelante</w:t>
      </w:r>
      <w:r w:rsidR="004E4E62">
        <w:rPr>
          <w:rFonts w:ascii="Book Antiqua" w:hAnsi="Book Antiqua"/>
          <w:szCs w:val="24"/>
          <w:lang w:val="es-PR"/>
        </w:rPr>
        <w:t>,</w:t>
      </w:r>
      <w:r w:rsidRPr="003963BE">
        <w:rPr>
          <w:rFonts w:ascii="Book Antiqua" w:hAnsi="Book Antiqua"/>
          <w:szCs w:val="24"/>
          <w:lang w:val="es-PR"/>
        </w:rPr>
        <w:t xml:space="preserve"> DEPR), representada por su secretario, Eliezer Ramos Pares, comparte su posición sobre el P</w:t>
      </w:r>
      <w:r w:rsidR="00294A10">
        <w:rPr>
          <w:rFonts w:ascii="Book Antiqua" w:hAnsi="Book Antiqua"/>
          <w:szCs w:val="24"/>
          <w:lang w:val="es-PR"/>
        </w:rPr>
        <w:t>.</w:t>
      </w:r>
      <w:r w:rsidRPr="003963BE">
        <w:rPr>
          <w:rFonts w:ascii="Book Antiqua" w:hAnsi="Book Antiqua"/>
          <w:szCs w:val="24"/>
          <w:lang w:val="es-PR"/>
        </w:rPr>
        <w:t xml:space="preserve"> de la C</w:t>
      </w:r>
      <w:r w:rsidR="00294A10">
        <w:rPr>
          <w:rFonts w:ascii="Book Antiqua" w:hAnsi="Book Antiqua"/>
          <w:szCs w:val="24"/>
          <w:lang w:val="es-PR"/>
        </w:rPr>
        <w:t>.</w:t>
      </w:r>
      <w:r w:rsidRPr="003963BE">
        <w:rPr>
          <w:rFonts w:ascii="Book Antiqua" w:hAnsi="Book Antiqua"/>
          <w:szCs w:val="24"/>
          <w:lang w:val="es-PR"/>
        </w:rPr>
        <w:t xml:space="preserve"> </w:t>
      </w:r>
      <w:r w:rsidR="00A40714">
        <w:rPr>
          <w:rFonts w:ascii="Book Antiqua" w:hAnsi="Book Antiqua"/>
          <w:szCs w:val="24"/>
          <w:lang w:val="es-PR"/>
        </w:rPr>
        <w:t>190</w:t>
      </w:r>
      <w:r w:rsidR="00294A10">
        <w:rPr>
          <w:rFonts w:ascii="Book Antiqua" w:hAnsi="Book Antiqua"/>
          <w:szCs w:val="24"/>
          <w:lang w:val="es-PR"/>
        </w:rPr>
        <w:t>, el cual</w:t>
      </w:r>
      <w:r w:rsidR="00A40714" w:rsidRPr="00A40714">
        <w:rPr>
          <w:rFonts w:ascii="Book Antiqua" w:hAnsi="Book Antiqua"/>
          <w:szCs w:val="24"/>
          <w:lang w:val="es-PR"/>
        </w:rPr>
        <w:t xml:space="preserve"> tiene como propósito disponer los requisitos de disponibilidad para la concesión del examen de equivalencia de Escuela Superior y para decretar otras disposiciones complementarias. La deserción escolar en Puerto Rico es un problema complejo que requiere un enfoque integral, ya que diversos factores han contribuido a el alza de este. Por lo tanto, aumentar la frecuencia para el ofrecimiento del examen de semestral a </w:t>
      </w:r>
      <w:r w:rsidR="00A40714" w:rsidRPr="00A40714">
        <w:rPr>
          <w:rFonts w:ascii="Book Antiqua" w:hAnsi="Book Antiqua"/>
          <w:szCs w:val="24"/>
          <w:lang w:val="es-PR"/>
        </w:rPr>
        <w:lastRenderedPageBreak/>
        <w:t>mensual abre las posibilidades a que más estudiantes puedan obtener su diploma de cuarto año.</w:t>
      </w:r>
    </w:p>
    <w:p w14:paraId="6B6C692B" w14:textId="2FEBA010" w:rsidR="00A40714" w:rsidRPr="00A40714" w:rsidRDefault="000871B0" w:rsidP="00FD00C6">
      <w:pPr>
        <w:spacing w:before="120" w:after="120"/>
        <w:jc w:val="both"/>
        <w:rPr>
          <w:rFonts w:ascii="Book Antiqua" w:hAnsi="Book Antiqua"/>
          <w:szCs w:val="24"/>
          <w:lang w:val="es-PR"/>
        </w:rPr>
      </w:pPr>
      <w:r>
        <w:rPr>
          <w:rFonts w:ascii="Book Antiqua" w:hAnsi="Book Antiqua"/>
          <w:szCs w:val="24"/>
          <w:lang w:val="es-PR"/>
        </w:rPr>
        <w:t xml:space="preserve">      </w:t>
      </w:r>
      <w:r w:rsidR="00A40714" w:rsidRPr="00A40714">
        <w:rPr>
          <w:rFonts w:ascii="Book Antiqua" w:hAnsi="Book Antiqua"/>
          <w:szCs w:val="24"/>
          <w:lang w:val="es-PR"/>
        </w:rPr>
        <w:t>Aunque señalan que el aumento en la frecuencia (mensual) puede demandar mayores recursos económicos y humanos. Ejemplo: la Unidad de Exámenes, Diplomas y Certificaciones (UEDC) está estructurada para tener tres funcionarios en cada oficina regional educativa (ORE).  Sin embargo, actualmente cada ORE cuenta con un empleado para estos fines, lo que dificulta la operación efectiva de la administración de este examen en particular.</w:t>
      </w:r>
    </w:p>
    <w:p w14:paraId="62163398" w14:textId="63EBA739" w:rsidR="000871B0" w:rsidRPr="000871B0" w:rsidRDefault="00716972" w:rsidP="00FD00C6">
      <w:pPr>
        <w:spacing w:before="120" w:after="120"/>
        <w:jc w:val="both"/>
        <w:rPr>
          <w:rFonts w:ascii="Book Antiqua" w:hAnsi="Book Antiqua"/>
          <w:szCs w:val="24"/>
          <w:lang w:val="es-PR"/>
        </w:rPr>
      </w:pPr>
      <w:r>
        <w:rPr>
          <w:rFonts w:ascii="Book Antiqua" w:hAnsi="Book Antiqua"/>
          <w:szCs w:val="24"/>
          <w:lang w:val="es-PR"/>
        </w:rPr>
        <w:t xml:space="preserve">         </w:t>
      </w:r>
      <w:r w:rsidR="00A40714" w:rsidRPr="00A40714">
        <w:rPr>
          <w:rFonts w:ascii="Book Antiqua" w:hAnsi="Book Antiqua"/>
          <w:szCs w:val="24"/>
          <w:lang w:val="es-PR"/>
        </w:rPr>
        <w:t xml:space="preserve">En conclusión, </w:t>
      </w:r>
      <w:r>
        <w:rPr>
          <w:rFonts w:ascii="Book Antiqua" w:hAnsi="Book Antiqua"/>
          <w:szCs w:val="24"/>
          <w:lang w:val="es-PR"/>
        </w:rPr>
        <w:t xml:space="preserve">nos </w:t>
      </w:r>
      <w:r w:rsidR="00A40714" w:rsidRPr="00A40714">
        <w:rPr>
          <w:rFonts w:ascii="Book Antiqua" w:hAnsi="Book Antiqua"/>
          <w:szCs w:val="24"/>
          <w:lang w:val="es-PR"/>
        </w:rPr>
        <w:t>consignan su apoyo al P. de la C. 190, pero recomiendan que sea incluida una asignación de fondos estatales para la planificación, dirección y ejecución de este servicio a la ciudadanía.</w:t>
      </w:r>
    </w:p>
    <w:p w14:paraId="44309ABF" w14:textId="77777777" w:rsidR="00294A10" w:rsidRDefault="00294A10" w:rsidP="00FD00C6">
      <w:pPr>
        <w:spacing w:before="120" w:after="120"/>
        <w:jc w:val="center"/>
        <w:rPr>
          <w:rFonts w:ascii="Book Antiqua" w:hAnsi="Book Antiqua"/>
          <w:b/>
          <w:bCs/>
          <w:szCs w:val="24"/>
          <w:lang w:val="es-PR"/>
        </w:rPr>
      </w:pPr>
    </w:p>
    <w:p w14:paraId="08C63446" w14:textId="427601D2" w:rsidR="000871B0" w:rsidRPr="000871B0" w:rsidRDefault="000871B0" w:rsidP="00FD00C6">
      <w:pPr>
        <w:spacing w:before="120" w:after="120"/>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2487599C" w14:textId="00EC8A95" w:rsidR="000871B0" w:rsidRDefault="000871B0" w:rsidP="00FD00C6">
      <w:pPr>
        <w:spacing w:before="120" w:after="120"/>
        <w:jc w:val="both"/>
        <w:rPr>
          <w:rFonts w:ascii="Book Antiqua" w:hAnsi="Book Antiqua"/>
          <w:szCs w:val="24"/>
          <w:lang w:val="es-PR"/>
        </w:rPr>
      </w:pPr>
      <w:r>
        <w:rPr>
          <w:rFonts w:ascii="Book Antiqua" w:hAnsi="Book Antiqua"/>
          <w:szCs w:val="24"/>
          <w:lang w:val="es-PR"/>
        </w:rPr>
        <w:t xml:space="preserve">      </w:t>
      </w:r>
      <w:r w:rsidRPr="000871B0">
        <w:rPr>
          <w:rFonts w:ascii="Book Antiqua" w:hAnsi="Book Antiqua"/>
          <w:szCs w:val="24"/>
          <w:lang w:val="es-PR"/>
        </w:rPr>
        <w:t>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w:t>
      </w:r>
    </w:p>
    <w:p w14:paraId="000BFE7F" w14:textId="77777777" w:rsidR="00FD00C6" w:rsidRDefault="00FD00C6" w:rsidP="00FD00C6">
      <w:pPr>
        <w:spacing w:before="120" w:after="120"/>
        <w:jc w:val="center"/>
        <w:rPr>
          <w:rFonts w:ascii="Book Antiqua" w:hAnsi="Book Antiqua"/>
          <w:b/>
          <w:bCs/>
          <w:lang w:val="es-PR"/>
        </w:rPr>
      </w:pPr>
    </w:p>
    <w:p w14:paraId="3760DA22" w14:textId="4AD8F3C1" w:rsidR="0076334C" w:rsidRPr="00FD00C6" w:rsidRDefault="0076334C" w:rsidP="00FD00C6">
      <w:pPr>
        <w:spacing w:before="120" w:after="120"/>
        <w:jc w:val="center"/>
        <w:rPr>
          <w:rFonts w:ascii="Book Antiqua" w:hAnsi="Book Antiqua"/>
          <w:b/>
          <w:bCs/>
          <w:lang w:val="es-PR"/>
        </w:rPr>
      </w:pPr>
      <w:r w:rsidRPr="00FD00C6">
        <w:rPr>
          <w:rFonts w:ascii="Book Antiqua" w:hAnsi="Book Antiqua"/>
          <w:b/>
          <w:bCs/>
          <w:lang w:val="es-PR"/>
        </w:rPr>
        <w:t>CONCLUSIÓN Y RECOMENDACIÓN</w:t>
      </w:r>
    </w:p>
    <w:p w14:paraId="0DE8624A" w14:textId="77777777" w:rsidR="00FD00C6" w:rsidRPr="00FD00C6" w:rsidRDefault="00FD00C6" w:rsidP="00FD00C6">
      <w:pPr>
        <w:spacing w:before="120" w:after="120"/>
        <w:ind w:firstLine="720"/>
        <w:jc w:val="both"/>
        <w:rPr>
          <w:rFonts w:ascii="Book Antiqua" w:hAnsi="Book Antiqua"/>
          <w:lang w:val="es-PR"/>
        </w:rPr>
      </w:pPr>
      <w:r w:rsidRPr="00FD00C6">
        <w:rPr>
          <w:rFonts w:ascii="Book Antiqua" w:hAnsi="Book Antiqua"/>
          <w:lang w:val="es-PR"/>
        </w:rPr>
        <w:t>La Comisión de Educación, luego del correspondiente análisis de los memoriales recibidos, concluye y recomienda la aprobación del P. de la C. 190. Esta medida es necesaria para atender uno de los principales desafíos de nuestro sistema educativo: la deserción escolar.</w:t>
      </w:r>
    </w:p>
    <w:p w14:paraId="270F5F0A" w14:textId="77777777" w:rsidR="00FD00C6" w:rsidRPr="00FD00C6" w:rsidRDefault="00FD00C6" w:rsidP="00FD00C6">
      <w:pPr>
        <w:spacing w:before="120" w:after="120"/>
        <w:ind w:firstLine="720"/>
        <w:jc w:val="both"/>
        <w:rPr>
          <w:rFonts w:ascii="Book Antiqua" w:hAnsi="Book Antiqua"/>
          <w:lang w:val="es-PR"/>
        </w:rPr>
      </w:pPr>
      <w:r w:rsidRPr="00FD00C6">
        <w:rPr>
          <w:rFonts w:ascii="Book Antiqua" w:hAnsi="Book Antiqua"/>
          <w:lang w:val="es-PR"/>
        </w:rPr>
        <w:t>Ante la crisis educativa y la creciente necesidad de mano de obra cualificada, se hace imperativo que la población que no culminó su etapa educativa tenga más oportunidades, o esté debidamente informada, para completar este proceso. Resulta inaceptable que el Examen de Equivalencia continúe ofreciéndose únicamente una vez por semestre, con fechas poco accesibles y con una divulgación deficiente. Esta limitación no responde a la magnitud del problema ni al mandato constitucional de garantizar una educación accesible, inclusiva y equitativa.</w:t>
      </w:r>
    </w:p>
    <w:p w14:paraId="13BDD847" w14:textId="77777777" w:rsidR="00FD00C6" w:rsidRPr="00FD00C6" w:rsidRDefault="00FD00C6" w:rsidP="00FD00C6">
      <w:pPr>
        <w:spacing w:before="120" w:after="120"/>
        <w:ind w:firstLine="720"/>
        <w:jc w:val="both"/>
        <w:rPr>
          <w:rFonts w:ascii="Book Antiqua" w:hAnsi="Book Antiqua"/>
          <w:lang w:val="es-PR"/>
        </w:rPr>
      </w:pPr>
      <w:r w:rsidRPr="00FD00C6">
        <w:rPr>
          <w:rFonts w:ascii="Book Antiqua" w:hAnsi="Book Antiqua"/>
          <w:lang w:val="es-PR"/>
        </w:rPr>
        <w:t>El P. de la C. 190 propone una solución concreta y viable: aumentar la frecuencia mínima del ofrecimiento del examen.</w:t>
      </w:r>
    </w:p>
    <w:p w14:paraId="751EE6DE" w14:textId="77777777" w:rsidR="00FD00C6" w:rsidRPr="00FD00C6" w:rsidRDefault="00FD00C6" w:rsidP="00FD00C6">
      <w:pPr>
        <w:spacing w:before="120" w:after="120"/>
        <w:ind w:firstLine="720"/>
        <w:jc w:val="both"/>
        <w:rPr>
          <w:rFonts w:ascii="Book Antiqua" w:hAnsi="Book Antiqua"/>
          <w:lang w:val="es-PR"/>
        </w:rPr>
      </w:pPr>
      <w:r w:rsidRPr="00FD00C6">
        <w:rPr>
          <w:rFonts w:ascii="Book Antiqua" w:hAnsi="Book Antiqua"/>
          <w:lang w:val="es-PR"/>
        </w:rPr>
        <w:t xml:space="preserve">La Comisión de Educación, al incorporar enmiendas y evaluar con detenimiento la ponencia del Departamento de Educación, entiende que es justo y factible que este </w:t>
      </w:r>
      <w:r w:rsidRPr="00FD00C6">
        <w:rPr>
          <w:rFonts w:ascii="Book Antiqua" w:hAnsi="Book Antiqua"/>
          <w:lang w:val="es-PR"/>
        </w:rPr>
        <w:lastRenderedPageBreak/>
        <w:t>examen se ofrezca por lo menos dos veces por semestre. Esta meta es alcanzable con los recursos existentes, siempre que se lleve a cabo una reorganización estratégica de funciones, una mejor coordinación entre la Unidad de Exámenes, Diplomas y Certificaciones (UEDC) y las Oficinas Regionales Educativas (ORE), y se implemente una política clara de planificación y divulgación efectiva.</w:t>
      </w:r>
    </w:p>
    <w:p w14:paraId="3D8BD300" w14:textId="77777777" w:rsidR="00FD00C6" w:rsidRPr="00FD00C6" w:rsidRDefault="00FD00C6" w:rsidP="00FD00C6">
      <w:pPr>
        <w:spacing w:before="120" w:after="120"/>
        <w:ind w:firstLine="720"/>
        <w:jc w:val="both"/>
        <w:rPr>
          <w:rFonts w:ascii="Book Antiqua" w:hAnsi="Book Antiqua"/>
          <w:lang w:val="es-PR"/>
        </w:rPr>
      </w:pPr>
      <w:r w:rsidRPr="00FD00C6">
        <w:rPr>
          <w:rFonts w:ascii="Book Antiqua" w:hAnsi="Book Antiqua"/>
          <w:lang w:val="es-PR"/>
        </w:rPr>
        <w:t xml:space="preserve">Si bien el Departamento de Educación señaló que una frecuencia mensual podría requerir mayores recursos económicos y humanos, esta Comisión sostiene que el ofrecimiento mínimo de dos veces por semestre </w:t>
      </w:r>
      <w:r w:rsidRPr="00FD00C6">
        <w:rPr>
          <w:rFonts w:ascii="Book Antiqua" w:hAnsi="Book Antiqua"/>
          <w:b/>
          <w:bCs/>
          <w:lang w:val="es-PR"/>
        </w:rPr>
        <w:t>es totalmente viable</w:t>
      </w:r>
      <w:r w:rsidRPr="00FD00C6">
        <w:rPr>
          <w:rFonts w:ascii="Book Antiqua" w:hAnsi="Book Antiqua"/>
          <w:lang w:val="es-PR"/>
        </w:rPr>
        <w:t xml:space="preserve"> dentro de la infraestructura actual. El verdadero reto no es la falta de recursos, sino la necesidad de mayor voluntad y acción. Esta medida no requiere esperar por nuevas asignaciones presupuestarias para comenzar a ejecutarse, y puede generar un impacto inmediato y significativo en cientos de personas deseosas de reintegrarse al sistema educativo y laboral.</w:t>
      </w:r>
    </w:p>
    <w:p w14:paraId="382A86AF" w14:textId="77777777" w:rsidR="00FD00C6" w:rsidRPr="00FD00C6" w:rsidRDefault="00FD00C6" w:rsidP="00FD00C6">
      <w:pPr>
        <w:spacing w:before="120" w:after="120"/>
        <w:ind w:firstLine="720"/>
        <w:jc w:val="both"/>
        <w:rPr>
          <w:rFonts w:ascii="Book Antiqua" w:hAnsi="Book Antiqua"/>
          <w:lang w:val="es-PR"/>
        </w:rPr>
      </w:pPr>
      <w:r w:rsidRPr="00FD00C6">
        <w:rPr>
          <w:rFonts w:ascii="Book Antiqua" w:hAnsi="Book Antiqua"/>
          <w:lang w:val="es-PR"/>
        </w:rPr>
        <w:t>Aprobar el P. de la C. 190 es brindar una segunda oportunidad a quienes, por razones económicas, familiares o de salud, no pudieron completar su educación formal. Esta pieza legislativa responde con seriedad, empatía y sentido de justicia social al llamado urgente que exige el contexto histórico que atravesamos.</w:t>
      </w:r>
    </w:p>
    <w:p w14:paraId="527DBFB0" w14:textId="77777777" w:rsidR="00FD00C6" w:rsidRPr="00FD00C6" w:rsidRDefault="00FD00C6" w:rsidP="00FD00C6">
      <w:pPr>
        <w:spacing w:before="120" w:after="120"/>
        <w:ind w:firstLine="720"/>
        <w:jc w:val="both"/>
        <w:rPr>
          <w:rFonts w:ascii="Book Antiqua" w:hAnsi="Book Antiqua"/>
          <w:lang w:val="es-PR"/>
        </w:rPr>
      </w:pPr>
      <w:r w:rsidRPr="00FD00C6">
        <w:rPr>
          <w:rFonts w:ascii="Book Antiqua" w:hAnsi="Book Antiqua"/>
          <w:lang w:val="es-PR"/>
        </w:rPr>
        <w:t>Por tanto, esta Comisión recomienda respetuosamente la aprobación del Proyecto de la Cámara 190, con las enmiendas sugeridas, convencida de que su implementación —con una frecuencia mínima de dos exámenes por semestre— representa un compromiso institucional y una herramienta esencial para combatir la pobreza, ampliar las oportunidades educativas en Puerto Rico y fortalecer el desarrollo socioeconómico del país, sin menoscabar las finanzas ni afectar el presupuesto fiscal vigente.</w:t>
      </w:r>
    </w:p>
    <w:p w14:paraId="3D2FB428" w14:textId="77777777" w:rsidR="00FD00C6" w:rsidRPr="00FD00C6" w:rsidRDefault="00FD00C6" w:rsidP="00FD00C6">
      <w:pPr>
        <w:spacing w:before="120" w:after="120"/>
        <w:ind w:firstLine="720"/>
        <w:jc w:val="both"/>
        <w:rPr>
          <w:rFonts w:ascii="Book Antiqua" w:hAnsi="Book Antiqua"/>
          <w:lang w:val="es-PR"/>
        </w:rPr>
      </w:pPr>
      <w:r w:rsidRPr="00FD00C6">
        <w:rPr>
          <w:rFonts w:ascii="Book Antiqua" w:hAnsi="Book Antiqua"/>
          <w:lang w:val="es-PR"/>
        </w:rPr>
        <w:t xml:space="preserve">Por lo antes expuesto, recomendamos la aprobación del P. de la C. 190, con el presente Informe Positivo, incorporando las enmiendas sugeridas al título y al contenido, según se detallan en el </w:t>
      </w:r>
      <w:proofErr w:type="spellStart"/>
      <w:r w:rsidRPr="00FD00C6">
        <w:rPr>
          <w:rFonts w:ascii="Book Antiqua" w:hAnsi="Book Antiqua"/>
          <w:lang w:val="es-PR"/>
        </w:rPr>
        <w:t>entirillado</w:t>
      </w:r>
      <w:proofErr w:type="spellEnd"/>
      <w:r w:rsidRPr="00FD00C6">
        <w:rPr>
          <w:rFonts w:ascii="Book Antiqua" w:hAnsi="Book Antiqua"/>
          <w:lang w:val="es-PR"/>
        </w:rPr>
        <w:t xml:space="preserve"> electrónico que se acompaña.</w:t>
      </w:r>
    </w:p>
    <w:p w14:paraId="2ADB10AB" w14:textId="0784BA8A" w:rsidR="0076334C" w:rsidRPr="0001561B" w:rsidRDefault="0076334C" w:rsidP="001F5064">
      <w:pPr>
        <w:spacing w:before="100" w:beforeAutospacing="1" w:after="100" w:afterAutospacing="1" w:line="360" w:lineRule="auto"/>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76334C">
      <w:pPr>
        <w:spacing w:line="360" w:lineRule="auto"/>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proofErr w:type="spellStart"/>
      <w:r w:rsidRPr="0001561B">
        <w:rPr>
          <w:rFonts w:ascii="Book Antiqua" w:hAnsi="Book Antiqua"/>
          <w:b/>
          <w:bCs/>
          <w:lang w:val="es-PR"/>
        </w:rPr>
        <w:t>Hon</w:t>
      </w:r>
      <w:proofErr w:type="spellEnd"/>
      <w:r w:rsidRPr="0001561B">
        <w:rPr>
          <w:rFonts w:ascii="Book Antiqua" w:hAnsi="Book Antiqua"/>
          <w:b/>
          <w:bCs/>
          <w:lang w:val="es-PR"/>
        </w:rPr>
        <w:t xml:space="preserve">.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8EC55" w14:textId="77777777" w:rsidR="00010617" w:rsidRDefault="00010617">
      <w:r>
        <w:separator/>
      </w:r>
    </w:p>
  </w:endnote>
  <w:endnote w:type="continuationSeparator" w:id="0">
    <w:p w14:paraId="06A071F0" w14:textId="77777777" w:rsidR="00010617" w:rsidRDefault="00010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7EE81" w14:textId="77777777" w:rsidR="00010617" w:rsidRDefault="00010617">
      <w:r>
        <w:separator/>
      </w:r>
    </w:p>
  </w:footnote>
  <w:footnote w:type="continuationSeparator" w:id="0">
    <w:p w14:paraId="6AE0CF06" w14:textId="77777777" w:rsidR="00010617" w:rsidRDefault="000106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7644"/>
    <w:rsid w:val="00010617"/>
    <w:rsid w:val="000133D7"/>
    <w:rsid w:val="0001561B"/>
    <w:rsid w:val="00015DFB"/>
    <w:rsid w:val="00020BBB"/>
    <w:rsid w:val="00027C86"/>
    <w:rsid w:val="00032078"/>
    <w:rsid w:val="00043DD0"/>
    <w:rsid w:val="000518F3"/>
    <w:rsid w:val="00056024"/>
    <w:rsid w:val="00063D87"/>
    <w:rsid w:val="00073275"/>
    <w:rsid w:val="00075BAB"/>
    <w:rsid w:val="000871B0"/>
    <w:rsid w:val="00091A87"/>
    <w:rsid w:val="00091F2F"/>
    <w:rsid w:val="00095AE1"/>
    <w:rsid w:val="000A6B6C"/>
    <w:rsid w:val="000B0DBB"/>
    <w:rsid w:val="000C2850"/>
    <w:rsid w:val="000C2CBF"/>
    <w:rsid w:val="000D257D"/>
    <w:rsid w:val="000D60DB"/>
    <w:rsid w:val="000E2586"/>
    <w:rsid w:val="000E3D6D"/>
    <w:rsid w:val="00111E71"/>
    <w:rsid w:val="00114602"/>
    <w:rsid w:val="00127C6A"/>
    <w:rsid w:val="001363FE"/>
    <w:rsid w:val="001606CA"/>
    <w:rsid w:val="0017132B"/>
    <w:rsid w:val="00173F45"/>
    <w:rsid w:val="00187B2B"/>
    <w:rsid w:val="001911C9"/>
    <w:rsid w:val="001A062F"/>
    <w:rsid w:val="001A2E09"/>
    <w:rsid w:val="001A36DC"/>
    <w:rsid w:val="001A4A89"/>
    <w:rsid w:val="001D15CB"/>
    <w:rsid w:val="001E211C"/>
    <w:rsid w:val="001F1883"/>
    <w:rsid w:val="001F4CA3"/>
    <w:rsid w:val="001F5064"/>
    <w:rsid w:val="001F612A"/>
    <w:rsid w:val="00211396"/>
    <w:rsid w:val="00222320"/>
    <w:rsid w:val="00226AE6"/>
    <w:rsid w:val="00245B34"/>
    <w:rsid w:val="00263355"/>
    <w:rsid w:val="00273792"/>
    <w:rsid w:val="00284E77"/>
    <w:rsid w:val="00294A10"/>
    <w:rsid w:val="0029726D"/>
    <w:rsid w:val="002A73D5"/>
    <w:rsid w:val="002B4F94"/>
    <w:rsid w:val="002C6295"/>
    <w:rsid w:val="002D4AC8"/>
    <w:rsid w:val="00307183"/>
    <w:rsid w:val="00320BDF"/>
    <w:rsid w:val="00320D78"/>
    <w:rsid w:val="0034124E"/>
    <w:rsid w:val="00346000"/>
    <w:rsid w:val="00362B0A"/>
    <w:rsid w:val="00364902"/>
    <w:rsid w:val="00380FE5"/>
    <w:rsid w:val="00384455"/>
    <w:rsid w:val="003924DD"/>
    <w:rsid w:val="00394FCB"/>
    <w:rsid w:val="003963BE"/>
    <w:rsid w:val="003963F4"/>
    <w:rsid w:val="003A2011"/>
    <w:rsid w:val="003B5254"/>
    <w:rsid w:val="003B75A6"/>
    <w:rsid w:val="003C7E14"/>
    <w:rsid w:val="003D2C21"/>
    <w:rsid w:val="003F05CE"/>
    <w:rsid w:val="003F76A8"/>
    <w:rsid w:val="004061CA"/>
    <w:rsid w:val="00413299"/>
    <w:rsid w:val="00415689"/>
    <w:rsid w:val="00424D08"/>
    <w:rsid w:val="004440CB"/>
    <w:rsid w:val="00455B3E"/>
    <w:rsid w:val="004713D2"/>
    <w:rsid w:val="004731D3"/>
    <w:rsid w:val="00491D4B"/>
    <w:rsid w:val="0049600B"/>
    <w:rsid w:val="004B6E28"/>
    <w:rsid w:val="004B7486"/>
    <w:rsid w:val="004E4E62"/>
    <w:rsid w:val="004F5525"/>
    <w:rsid w:val="00502819"/>
    <w:rsid w:val="00521639"/>
    <w:rsid w:val="00532BB7"/>
    <w:rsid w:val="005332E4"/>
    <w:rsid w:val="0053550C"/>
    <w:rsid w:val="00537AB4"/>
    <w:rsid w:val="00551919"/>
    <w:rsid w:val="00555018"/>
    <w:rsid w:val="005723DC"/>
    <w:rsid w:val="00574A8A"/>
    <w:rsid w:val="00580214"/>
    <w:rsid w:val="00584305"/>
    <w:rsid w:val="005B00A9"/>
    <w:rsid w:val="005D64AD"/>
    <w:rsid w:val="005F0B0E"/>
    <w:rsid w:val="005F3881"/>
    <w:rsid w:val="006149B6"/>
    <w:rsid w:val="006210DC"/>
    <w:rsid w:val="006263AB"/>
    <w:rsid w:val="00631D0C"/>
    <w:rsid w:val="0064349D"/>
    <w:rsid w:val="0064355F"/>
    <w:rsid w:val="00645825"/>
    <w:rsid w:val="00646973"/>
    <w:rsid w:val="00653EED"/>
    <w:rsid w:val="00677B4B"/>
    <w:rsid w:val="006832CB"/>
    <w:rsid w:val="00685549"/>
    <w:rsid w:val="00693449"/>
    <w:rsid w:val="006A1FD5"/>
    <w:rsid w:val="006A397E"/>
    <w:rsid w:val="006B0196"/>
    <w:rsid w:val="006B183E"/>
    <w:rsid w:val="006B2451"/>
    <w:rsid w:val="006B7365"/>
    <w:rsid w:val="006C1C9E"/>
    <w:rsid w:val="006C2D81"/>
    <w:rsid w:val="006C7DF8"/>
    <w:rsid w:val="006D0164"/>
    <w:rsid w:val="006D6856"/>
    <w:rsid w:val="006F40B9"/>
    <w:rsid w:val="0070273C"/>
    <w:rsid w:val="0071440D"/>
    <w:rsid w:val="007154DC"/>
    <w:rsid w:val="00716972"/>
    <w:rsid w:val="00736244"/>
    <w:rsid w:val="00750FC8"/>
    <w:rsid w:val="007533D0"/>
    <w:rsid w:val="00753911"/>
    <w:rsid w:val="00755069"/>
    <w:rsid w:val="00762554"/>
    <w:rsid w:val="0076334C"/>
    <w:rsid w:val="007B0660"/>
    <w:rsid w:val="007C2BB1"/>
    <w:rsid w:val="007C4411"/>
    <w:rsid w:val="007D4194"/>
    <w:rsid w:val="007E3868"/>
    <w:rsid w:val="00815082"/>
    <w:rsid w:val="00817DB9"/>
    <w:rsid w:val="00817EEB"/>
    <w:rsid w:val="00820C41"/>
    <w:rsid w:val="00837443"/>
    <w:rsid w:val="00843A3B"/>
    <w:rsid w:val="00846BDD"/>
    <w:rsid w:val="00850256"/>
    <w:rsid w:val="00867C71"/>
    <w:rsid w:val="00875D08"/>
    <w:rsid w:val="00883E61"/>
    <w:rsid w:val="0089630F"/>
    <w:rsid w:val="008A27E1"/>
    <w:rsid w:val="008C0763"/>
    <w:rsid w:val="008E186E"/>
    <w:rsid w:val="00902E09"/>
    <w:rsid w:val="00922DEA"/>
    <w:rsid w:val="0093686F"/>
    <w:rsid w:val="00942FD4"/>
    <w:rsid w:val="00951997"/>
    <w:rsid w:val="00990352"/>
    <w:rsid w:val="009B5F1F"/>
    <w:rsid w:val="009C5DAB"/>
    <w:rsid w:val="009D09D7"/>
    <w:rsid w:val="009E798F"/>
    <w:rsid w:val="009F2A41"/>
    <w:rsid w:val="009F49A6"/>
    <w:rsid w:val="00A03405"/>
    <w:rsid w:val="00A03BDA"/>
    <w:rsid w:val="00A05430"/>
    <w:rsid w:val="00A10113"/>
    <w:rsid w:val="00A1528A"/>
    <w:rsid w:val="00A1595B"/>
    <w:rsid w:val="00A33918"/>
    <w:rsid w:val="00A367D6"/>
    <w:rsid w:val="00A37E34"/>
    <w:rsid w:val="00A40714"/>
    <w:rsid w:val="00A61046"/>
    <w:rsid w:val="00A62E93"/>
    <w:rsid w:val="00A7014B"/>
    <w:rsid w:val="00A7238F"/>
    <w:rsid w:val="00A7629F"/>
    <w:rsid w:val="00A97113"/>
    <w:rsid w:val="00AA2C8E"/>
    <w:rsid w:val="00AA73E7"/>
    <w:rsid w:val="00AB2538"/>
    <w:rsid w:val="00AB3BB4"/>
    <w:rsid w:val="00AC171B"/>
    <w:rsid w:val="00AE26CF"/>
    <w:rsid w:val="00AF0CEE"/>
    <w:rsid w:val="00AF6E13"/>
    <w:rsid w:val="00B02DB9"/>
    <w:rsid w:val="00B15D49"/>
    <w:rsid w:val="00B31B02"/>
    <w:rsid w:val="00B64321"/>
    <w:rsid w:val="00B667AD"/>
    <w:rsid w:val="00B7320F"/>
    <w:rsid w:val="00B84C38"/>
    <w:rsid w:val="00B858B5"/>
    <w:rsid w:val="00B86C00"/>
    <w:rsid w:val="00B91D6A"/>
    <w:rsid w:val="00B947F6"/>
    <w:rsid w:val="00BB71A6"/>
    <w:rsid w:val="00BC15CD"/>
    <w:rsid w:val="00BC1C4E"/>
    <w:rsid w:val="00BD4378"/>
    <w:rsid w:val="00BF16AA"/>
    <w:rsid w:val="00BF526C"/>
    <w:rsid w:val="00C0414C"/>
    <w:rsid w:val="00C354B8"/>
    <w:rsid w:val="00C46101"/>
    <w:rsid w:val="00C52517"/>
    <w:rsid w:val="00C60921"/>
    <w:rsid w:val="00C60F6E"/>
    <w:rsid w:val="00C62936"/>
    <w:rsid w:val="00C653F2"/>
    <w:rsid w:val="00C65D58"/>
    <w:rsid w:val="00C679E6"/>
    <w:rsid w:val="00C82C0E"/>
    <w:rsid w:val="00C908F9"/>
    <w:rsid w:val="00CA0917"/>
    <w:rsid w:val="00CA1099"/>
    <w:rsid w:val="00CA70B3"/>
    <w:rsid w:val="00CB434E"/>
    <w:rsid w:val="00CB4FC8"/>
    <w:rsid w:val="00CC44EA"/>
    <w:rsid w:val="00CD338B"/>
    <w:rsid w:val="00CF3EBC"/>
    <w:rsid w:val="00CF797F"/>
    <w:rsid w:val="00D133AC"/>
    <w:rsid w:val="00D417C2"/>
    <w:rsid w:val="00D422EF"/>
    <w:rsid w:val="00D54562"/>
    <w:rsid w:val="00D60936"/>
    <w:rsid w:val="00D709EB"/>
    <w:rsid w:val="00D71003"/>
    <w:rsid w:val="00D74714"/>
    <w:rsid w:val="00D82F3F"/>
    <w:rsid w:val="00D921C6"/>
    <w:rsid w:val="00D92384"/>
    <w:rsid w:val="00D958C2"/>
    <w:rsid w:val="00D95C3F"/>
    <w:rsid w:val="00DD2FD5"/>
    <w:rsid w:val="00E04AB5"/>
    <w:rsid w:val="00E11E75"/>
    <w:rsid w:val="00E23ABC"/>
    <w:rsid w:val="00E50EEA"/>
    <w:rsid w:val="00E52F58"/>
    <w:rsid w:val="00E53469"/>
    <w:rsid w:val="00E54233"/>
    <w:rsid w:val="00E61403"/>
    <w:rsid w:val="00E65805"/>
    <w:rsid w:val="00E7187D"/>
    <w:rsid w:val="00E8764A"/>
    <w:rsid w:val="00EA21D5"/>
    <w:rsid w:val="00EC26AA"/>
    <w:rsid w:val="00EC473E"/>
    <w:rsid w:val="00EC6018"/>
    <w:rsid w:val="00ED7A53"/>
    <w:rsid w:val="00EE4273"/>
    <w:rsid w:val="00F01013"/>
    <w:rsid w:val="00F01B23"/>
    <w:rsid w:val="00F02004"/>
    <w:rsid w:val="00F042CB"/>
    <w:rsid w:val="00F14A41"/>
    <w:rsid w:val="00F1631D"/>
    <w:rsid w:val="00F21BB4"/>
    <w:rsid w:val="00F371BF"/>
    <w:rsid w:val="00F60A20"/>
    <w:rsid w:val="00F65075"/>
    <w:rsid w:val="00F6633A"/>
    <w:rsid w:val="00F938A1"/>
    <w:rsid w:val="00F96885"/>
    <w:rsid w:val="00FC0A95"/>
    <w:rsid w:val="00FC2AE0"/>
    <w:rsid w:val="00FC319B"/>
    <w:rsid w:val="00FC3D9C"/>
    <w:rsid w:val="00FC579D"/>
    <w:rsid w:val="00FD00C6"/>
    <w:rsid w:val="00FD3130"/>
    <w:rsid w:val="00FD3D12"/>
    <w:rsid w:val="00FD68A3"/>
    <w:rsid w:val="00FD6CB7"/>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12841">
      <w:bodyDiv w:val="1"/>
      <w:marLeft w:val="0"/>
      <w:marRight w:val="0"/>
      <w:marTop w:val="0"/>
      <w:marBottom w:val="0"/>
      <w:divBdr>
        <w:top w:val="none" w:sz="0" w:space="0" w:color="auto"/>
        <w:left w:val="none" w:sz="0" w:space="0" w:color="auto"/>
        <w:bottom w:val="none" w:sz="0" w:space="0" w:color="auto"/>
        <w:right w:val="none" w:sz="0" w:space="0" w:color="auto"/>
      </w:divBdr>
    </w:div>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46841675">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494442983">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8167536">
      <w:bodyDiv w:val="1"/>
      <w:marLeft w:val="0"/>
      <w:marRight w:val="0"/>
      <w:marTop w:val="0"/>
      <w:marBottom w:val="0"/>
      <w:divBdr>
        <w:top w:val="none" w:sz="0" w:space="0" w:color="auto"/>
        <w:left w:val="none" w:sz="0" w:space="0" w:color="auto"/>
        <w:bottom w:val="none" w:sz="0" w:space="0" w:color="auto"/>
        <w:right w:val="none" w:sz="0" w:space="0" w:color="auto"/>
      </w:divBdr>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1292</Words>
  <Characters>7244</Characters>
  <Application>Microsoft Office Word</Application>
  <DocSecurity>4</DocSecurity>
  <Lines>60</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8519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2025-06-11T21:04:00Z</cp:lastPrinted>
  <dcterms:created xsi:type="dcterms:W3CDTF">2025-06-12T13:48:00Z</dcterms:created>
  <dcterms:modified xsi:type="dcterms:W3CDTF">2025-06-12T13:48:00Z</dcterms:modified>
</cp:coreProperties>
</file>