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574F3B">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574F3B" w:rsidRDefault="00CC343B" w:rsidP="00574F3B">
      <w:pPr>
        <w:jc w:val="center"/>
        <w:rPr>
          <w:rFonts w:ascii="Book Antiqua" w:hAnsi="Book Antiqua"/>
          <w:szCs w:val="24"/>
          <w:lang w:val="es-ES_tradnl"/>
        </w:rPr>
      </w:pPr>
    </w:p>
    <w:p w14:paraId="24211228" w14:textId="04B62907" w:rsidR="00CC343B" w:rsidRDefault="00D0306E" w:rsidP="00574F3B">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574F3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574F3B">
      <w:pPr>
        <w:rPr>
          <w:lang w:val="es-ES_tradnl"/>
        </w:rPr>
      </w:pPr>
    </w:p>
    <w:p w14:paraId="2421122B" w14:textId="77777777" w:rsidR="00CC343B" w:rsidRDefault="00CC343B" w:rsidP="00574F3B">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574F3B" w:rsidRDefault="00CC343B" w:rsidP="00574F3B">
      <w:pPr>
        <w:jc w:val="center"/>
        <w:rPr>
          <w:rFonts w:ascii="Book Antiqua" w:hAnsi="Book Antiqua"/>
          <w:b/>
          <w:szCs w:val="24"/>
          <w:lang w:val="es-ES_tradnl"/>
        </w:rPr>
      </w:pPr>
    </w:p>
    <w:p w14:paraId="2421122D" w14:textId="555436AF" w:rsidR="00CC343B" w:rsidRDefault="00CC343B" w:rsidP="00574F3B">
      <w:pPr>
        <w:jc w:val="center"/>
        <w:rPr>
          <w:rFonts w:ascii="Book Antiqua" w:hAnsi="Book Antiqua"/>
          <w:b/>
          <w:sz w:val="52"/>
          <w:lang w:val="es-ES_tradnl"/>
        </w:rPr>
      </w:pPr>
      <w:r>
        <w:rPr>
          <w:rFonts w:ascii="Book Antiqua" w:hAnsi="Book Antiqua"/>
          <w:b/>
          <w:sz w:val="52"/>
          <w:lang w:val="es-ES_tradnl"/>
        </w:rPr>
        <w:t xml:space="preserve">P. de la C. </w:t>
      </w:r>
      <w:r w:rsidR="00DA6636">
        <w:rPr>
          <w:rFonts w:ascii="Book Antiqua" w:hAnsi="Book Antiqua"/>
          <w:b/>
          <w:sz w:val="52"/>
          <w:lang w:val="es-ES_tradnl"/>
        </w:rPr>
        <w:t>190</w:t>
      </w:r>
    </w:p>
    <w:p w14:paraId="793EBC0E" w14:textId="77777777" w:rsidR="00574F3B" w:rsidRPr="00574F3B" w:rsidRDefault="00574F3B" w:rsidP="00574F3B">
      <w:pPr>
        <w:jc w:val="center"/>
        <w:rPr>
          <w:rFonts w:ascii="Book Antiqua" w:hAnsi="Book Antiqua"/>
          <w:b/>
          <w:szCs w:val="24"/>
          <w:lang w:val="es-ES_tradnl"/>
        </w:rPr>
      </w:pPr>
    </w:p>
    <w:p w14:paraId="2421122E" w14:textId="0C847E11" w:rsidR="00CC343B" w:rsidRDefault="009D787F" w:rsidP="00574F3B">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718EB9B3" w14:textId="77777777" w:rsidR="00574F3B" w:rsidRDefault="00574F3B" w:rsidP="00574F3B">
      <w:pPr>
        <w:jc w:val="center"/>
        <w:rPr>
          <w:rFonts w:ascii="Book Antiqua" w:hAnsi="Book Antiqua"/>
          <w:lang w:val="es-ES_tradnl"/>
        </w:rPr>
      </w:pPr>
    </w:p>
    <w:p w14:paraId="2421122F" w14:textId="792AD2B9" w:rsidR="00CC343B" w:rsidRDefault="008B3D69" w:rsidP="00574F3B">
      <w:pPr>
        <w:jc w:val="center"/>
        <w:rPr>
          <w:rFonts w:ascii="Book Antiqua" w:hAnsi="Book Antiqua"/>
          <w:i/>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6F6F9D98" w14:textId="77777777" w:rsidR="00574F3B" w:rsidRDefault="00574F3B" w:rsidP="00574F3B">
      <w:pPr>
        <w:jc w:val="center"/>
        <w:rPr>
          <w:rFonts w:ascii="Book Antiqua" w:hAnsi="Book Antiqua"/>
          <w:lang w:val="es-ES_tradnl"/>
        </w:rPr>
      </w:pPr>
    </w:p>
    <w:p w14:paraId="24211231" w14:textId="457D5BF9" w:rsidR="00CC343B" w:rsidRDefault="00CC343B" w:rsidP="0008471F">
      <w:pPr>
        <w:jc w:val="center"/>
        <w:rPr>
          <w:rFonts w:ascii="Book Antiqua" w:hAnsi="Book Antiqua"/>
          <w:lang w:val="es-ES_tradnl"/>
        </w:rPr>
      </w:pPr>
      <w:r>
        <w:rPr>
          <w:rFonts w:ascii="Book Antiqua" w:hAnsi="Book Antiqua"/>
          <w:lang w:val="es-ES_tradnl"/>
        </w:rPr>
        <w:t xml:space="preserve">Referido a </w:t>
      </w:r>
      <w:r w:rsidR="008718C8">
        <w:rPr>
          <w:rFonts w:ascii="Book Antiqua" w:hAnsi="Book Antiqua"/>
          <w:lang w:val="es-ES_tradnl"/>
        </w:rPr>
        <w:t>la Comisión de Educación</w:t>
      </w:r>
    </w:p>
    <w:p w14:paraId="20184DA2" w14:textId="77777777" w:rsidR="0008471F" w:rsidRDefault="0008471F" w:rsidP="0008471F">
      <w:pPr>
        <w:jc w:val="center"/>
        <w:rPr>
          <w:rFonts w:ascii="Book Antiqua" w:hAnsi="Book Antiqua"/>
          <w:lang w:val="es-ES_tradnl"/>
        </w:rPr>
      </w:pPr>
    </w:p>
    <w:p w14:paraId="24211232" w14:textId="77777777" w:rsidR="00CC343B" w:rsidRDefault="00CC343B" w:rsidP="00574F3B">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574F3B">
      <w:pPr>
        <w:jc w:val="both"/>
        <w:rPr>
          <w:rFonts w:ascii="Book Antiqua" w:hAnsi="Book Antiqua"/>
          <w:lang w:val="es-ES_tradnl"/>
        </w:rPr>
      </w:pPr>
    </w:p>
    <w:p w14:paraId="24211234" w14:textId="3A050842" w:rsidR="00CC343B" w:rsidRDefault="009D787F" w:rsidP="00574F3B">
      <w:pPr>
        <w:ind w:left="360" w:hanging="360"/>
        <w:jc w:val="both"/>
        <w:rPr>
          <w:rFonts w:ascii="Book Antiqua" w:hAnsi="Book Antiqua"/>
          <w:lang w:val="es-ES_tradnl"/>
        </w:rPr>
      </w:pPr>
      <w:r w:rsidRPr="00282B84">
        <w:rPr>
          <w:rFonts w:ascii="Book Antiqua" w:hAnsi="Book Antiqua"/>
          <w:szCs w:val="24"/>
          <w:lang w:val="es-PR"/>
        </w:rPr>
        <w:t xml:space="preserve">Para </w:t>
      </w:r>
      <w:r>
        <w:rPr>
          <w:rFonts w:ascii="Book Antiqua" w:hAnsi="Book Antiqua"/>
          <w:lang w:val="es-ES_tradnl"/>
        </w:rPr>
        <w:t>enmendar la Sección 1 de la Ley Núm. 170 de 4 de mayo de 1949, según enmendada, con el fin de disponer los requisitos de disponibilidad para la concesión del examen de equivalencia de Escuela Superior; y para decretar otras disposiciones complementarias.</w:t>
      </w:r>
    </w:p>
    <w:p w14:paraId="403134E4" w14:textId="77777777" w:rsidR="00574F3B" w:rsidRDefault="00574F3B" w:rsidP="00574F3B">
      <w:pPr>
        <w:ind w:left="360" w:hanging="360"/>
        <w:jc w:val="both"/>
        <w:rPr>
          <w:rFonts w:ascii="Book Antiqua" w:hAnsi="Book Antiqua"/>
          <w:lang w:val="es-ES_tradnl"/>
        </w:rPr>
      </w:pPr>
    </w:p>
    <w:p w14:paraId="24211235" w14:textId="77777777" w:rsidR="00CC343B" w:rsidRDefault="00CC343B" w:rsidP="00574F3B">
      <w:pPr>
        <w:ind w:firstLine="360"/>
        <w:jc w:val="center"/>
        <w:rPr>
          <w:rFonts w:ascii="Book Antiqua" w:hAnsi="Book Antiqua"/>
          <w:lang w:val="es-ES_tradnl"/>
        </w:rPr>
      </w:pPr>
      <w:r>
        <w:rPr>
          <w:rFonts w:ascii="Book Antiqua" w:hAnsi="Book Antiqua"/>
          <w:lang w:val="es-ES_tradnl"/>
        </w:rPr>
        <w:t>EXPOSICIÓN DE MOTIVOS</w:t>
      </w:r>
    </w:p>
    <w:p w14:paraId="7B4060A5" w14:textId="77777777" w:rsidR="00574F3B" w:rsidRDefault="00574F3B" w:rsidP="00574F3B">
      <w:pPr>
        <w:ind w:firstLine="360"/>
        <w:jc w:val="center"/>
        <w:rPr>
          <w:rFonts w:ascii="Book Antiqua" w:hAnsi="Book Antiqua"/>
          <w:lang w:val="es-ES_tradnl"/>
        </w:rPr>
      </w:pPr>
    </w:p>
    <w:p w14:paraId="4EF27C48" w14:textId="77777777" w:rsidR="009D787F" w:rsidRDefault="009D787F" w:rsidP="00574F3B">
      <w:pPr>
        <w:ind w:firstLine="360"/>
        <w:jc w:val="both"/>
        <w:rPr>
          <w:rFonts w:ascii="Book Antiqua" w:hAnsi="Book Antiqua"/>
          <w:lang w:val="es-ES_tradnl"/>
        </w:rPr>
      </w:pPr>
      <w:r w:rsidRPr="009D787F">
        <w:rPr>
          <w:rFonts w:ascii="Book Antiqua" w:hAnsi="Book Antiqua"/>
          <w:lang w:val="es-ES_tradnl"/>
        </w:rPr>
        <w:t>Según datos recopilados por la Oficina del Censo Estadounidense en 2022, Puerto Rico ocupa el 17.o lugar de las jurisdicciones de los Estados Unidos con la mayor cantidad de jóvenes no matriculados y sin diploma de cuarto año, en lo que representa un 35% de la juventud del archipiélago. Asimismo, en información recopilada por el Instituto de Desarrollo de la Juventud a partir de los datos del Censo de 2022, un 31% de la población de 25 años o más que vive bajo el nivel de pobreza no cuenta con un diploma de escuela superior.</w:t>
      </w:r>
    </w:p>
    <w:p w14:paraId="4D0F1108" w14:textId="77777777" w:rsidR="00574F3B" w:rsidRPr="009D787F" w:rsidRDefault="00574F3B" w:rsidP="00574F3B">
      <w:pPr>
        <w:ind w:firstLine="360"/>
        <w:jc w:val="both"/>
        <w:rPr>
          <w:rFonts w:ascii="Book Antiqua" w:hAnsi="Book Antiqua"/>
          <w:lang w:val="es-ES_tradnl"/>
        </w:rPr>
      </w:pPr>
    </w:p>
    <w:p w14:paraId="4796BE9B" w14:textId="77777777" w:rsid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Uno de los mecanismos configurados para proveer a la juventud opciones de superación académica e inserción adecuada al mercado laboral es el Examen de Equivalencia de Escuela Superior. El Examen de Equivalencia de Escuela Superior, según la Guía de Estudio del Examen de Equivalencia de Escuela Superior de 2015 (y la más reciente disponible) es “una batería de cinco (5) exámenes que responden al programa del departamento de Educación de Puerto Rico en las áreas de Comunicación en Español, Comunicación en Inglés, Interacción Social, Razonamiento Científico y Razonamiento Matemático. Este examen evalúa la habilidad cognoscitiva, el aprovechamiento académico y sus destrezas de redacción. El examen está disponible para aquellos adultos </w:t>
      </w:r>
      <w:r w:rsidRPr="009D787F">
        <w:rPr>
          <w:rFonts w:ascii="Book Antiqua" w:hAnsi="Book Antiqua"/>
          <w:lang w:val="es-ES_tradnl"/>
        </w:rPr>
        <w:lastRenderedPageBreak/>
        <w:t>[…] que no completaron sus estudios, ofreciéndoles así la oportunidad de obtener el diploma de escuela superior. Este certificado de equivalencia es válido para los patronos de agencias públicas o privadas, así como para instituciones que ofrecen estudios universitarios o posgrados”.</w:t>
      </w:r>
    </w:p>
    <w:p w14:paraId="4C644C12" w14:textId="77777777" w:rsidR="00574F3B" w:rsidRPr="009D787F" w:rsidRDefault="00574F3B" w:rsidP="00574F3B">
      <w:pPr>
        <w:ind w:firstLine="360"/>
        <w:jc w:val="both"/>
        <w:rPr>
          <w:rFonts w:ascii="Book Antiqua" w:hAnsi="Book Antiqua"/>
          <w:lang w:val="es-ES_tradnl"/>
        </w:rPr>
      </w:pPr>
    </w:p>
    <w:p w14:paraId="5B70FCEE" w14:textId="77777777" w:rsidR="00574F3B" w:rsidRDefault="009D787F" w:rsidP="00574F3B">
      <w:pPr>
        <w:ind w:firstLine="360"/>
        <w:jc w:val="both"/>
        <w:rPr>
          <w:rFonts w:ascii="Book Antiqua" w:hAnsi="Book Antiqua"/>
          <w:lang w:val="es-ES_tradnl"/>
        </w:rPr>
      </w:pPr>
      <w:r w:rsidRPr="009D787F">
        <w:rPr>
          <w:rFonts w:ascii="Book Antiqua" w:hAnsi="Book Antiqua"/>
          <w:lang w:val="es-ES_tradnl"/>
        </w:rPr>
        <w:t>La Ley Núm. 170 del 4 de mayo de 1949 creó el mecanismo para ofrecer los exámenes de equivalencia, pero históricamente ha sido enmendada para irla adecuando a los cambios y acontecimientos sociales. En el 2003 fue cuando por última vez se enmendó la Ley Núm. 170 de 1949; esto para dictaminar que, entre otras cosas:</w:t>
      </w:r>
    </w:p>
    <w:p w14:paraId="7D1B2216" w14:textId="0F84244B" w:rsidR="009D787F" w:rsidRPr="009D787F" w:rsidRDefault="009D787F" w:rsidP="00574F3B">
      <w:pPr>
        <w:ind w:firstLine="360"/>
        <w:jc w:val="both"/>
        <w:rPr>
          <w:rFonts w:ascii="Book Antiqua" w:hAnsi="Book Antiqua"/>
          <w:lang w:val="es-ES_tradnl"/>
        </w:rPr>
      </w:pPr>
      <w:r w:rsidRPr="009D787F">
        <w:rPr>
          <w:rFonts w:ascii="Book Antiqua" w:hAnsi="Book Antiqua"/>
          <w:lang w:val="es-ES_tradnl"/>
        </w:rPr>
        <w:t xml:space="preserve"> </w:t>
      </w:r>
    </w:p>
    <w:p w14:paraId="14F7A7C5" w14:textId="4C3F5B7E" w:rsidR="009D787F" w:rsidRPr="00574F3B" w:rsidRDefault="009D787F" w:rsidP="00574F3B">
      <w:pPr>
        <w:pStyle w:val="ListParagraph"/>
        <w:numPr>
          <w:ilvl w:val="0"/>
          <w:numId w:val="2"/>
        </w:numPr>
        <w:jc w:val="both"/>
        <w:rPr>
          <w:rFonts w:ascii="Book Antiqua" w:hAnsi="Book Antiqua"/>
          <w:lang w:val="es-ES_tradnl"/>
        </w:rPr>
      </w:pPr>
      <w:r w:rsidRPr="00574F3B">
        <w:rPr>
          <w:rFonts w:ascii="Book Antiqua" w:hAnsi="Book Antiqua"/>
          <w:lang w:val="es-ES_tradnl"/>
        </w:rPr>
        <w:t>[…] Los exámenes se ofrecerán por lo menos una vez cada semestre según el programa que para tales fines determine el secretario de Educación.</w:t>
      </w:r>
    </w:p>
    <w:p w14:paraId="6AD6C48E" w14:textId="77777777" w:rsidR="00574F3B" w:rsidRPr="00574F3B" w:rsidRDefault="00574F3B" w:rsidP="00574F3B">
      <w:pPr>
        <w:pStyle w:val="ListParagraph"/>
        <w:ind w:left="1080"/>
        <w:jc w:val="both"/>
        <w:rPr>
          <w:rFonts w:ascii="Book Antiqua" w:hAnsi="Book Antiqua"/>
          <w:lang w:val="es-ES_tradnl"/>
        </w:rPr>
      </w:pPr>
    </w:p>
    <w:p w14:paraId="7BEBFB1E" w14:textId="77777777" w:rsidR="009D787F" w:rsidRDefault="009D787F" w:rsidP="00574F3B">
      <w:pPr>
        <w:ind w:left="1080" w:hanging="360"/>
        <w:jc w:val="both"/>
        <w:rPr>
          <w:rFonts w:ascii="Book Antiqua" w:hAnsi="Book Antiqua"/>
          <w:lang w:val="es-ES_tradnl"/>
        </w:rPr>
      </w:pPr>
      <w:r w:rsidRPr="009D787F">
        <w:rPr>
          <w:rFonts w:ascii="Book Antiqua" w:hAnsi="Book Antiqua"/>
          <w:lang w:val="es-ES_tradnl"/>
        </w:rPr>
        <w:t>2)</w:t>
      </w:r>
      <w:r w:rsidRPr="009D787F">
        <w:rPr>
          <w:rFonts w:ascii="Book Antiqua" w:hAnsi="Book Antiqua"/>
          <w:lang w:val="es-ES_tradnl"/>
        </w:rPr>
        <w:tab/>
        <w:t>Anunciar estos exámenes y poner a la disposición de los candidatos los recursos educativos de que dispone el Programa de Extensión Educativa del Departamento de Educación.</w:t>
      </w:r>
    </w:p>
    <w:p w14:paraId="5ED3223D" w14:textId="77777777" w:rsidR="00574F3B" w:rsidRPr="009D787F" w:rsidRDefault="00574F3B" w:rsidP="00574F3B">
      <w:pPr>
        <w:ind w:left="1080" w:hanging="360"/>
        <w:jc w:val="both"/>
        <w:rPr>
          <w:rFonts w:ascii="Book Antiqua" w:hAnsi="Book Antiqua"/>
          <w:lang w:val="es-ES_tradnl"/>
        </w:rPr>
      </w:pPr>
    </w:p>
    <w:p w14:paraId="270DA3D6" w14:textId="77777777" w:rsidR="009D787F" w:rsidRDefault="009D787F" w:rsidP="00574F3B">
      <w:pPr>
        <w:ind w:firstLine="360"/>
        <w:jc w:val="both"/>
        <w:rPr>
          <w:rFonts w:ascii="Book Antiqua" w:hAnsi="Book Antiqua"/>
          <w:lang w:val="es-ES_tradnl"/>
        </w:rPr>
      </w:pPr>
      <w:r w:rsidRPr="009D787F">
        <w:rPr>
          <w:rFonts w:ascii="Book Antiqua" w:hAnsi="Book Antiqua"/>
          <w:lang w:val="es-ES_tradnl"/>
        </w:rPr>
        <w:t>Sin embargo, esta normativa ha resultado insuficiente para atender la imperante necesidad de examinación que existe en una población en la que, por ejemplo, durante el primer semestre del año académico 2020-2021 un 3.61% de la matrícula de escuela secundaria abandonó el salón de clases.</w:t>
      </w:r>
    </w:p>
    <w:p w14:paraId="7CDCFA70" w14:textId="77777777" w:rsidR="00574F3B" w:rsidRPr="009D787F" w:rsidRDefault="00574F3B" w:rsidP="00574F3B">
      <w:pPr>
        <w:ind w:firstLine="360"/>
        <w:jc w:val="both"/>
        <w:rPr>
          <w:rFonts w:ascii="Book Antiqua" w:hAnsi="Book Antiqua"/>
          <w:lang w:val="es-ES_tradnl"/>
        </w:rPr>
      </w:pPr>
    </w:p>
    <w:p w14:paraId="51531EFC" w14:textId="77777777" w:rsidR="009D787F" w:rsidRDefault="009D787F" w:rsidP="00574F3B">
      <w:pPr>
        <w:ind w:firstLine="360"/>
        <w:jc w:val="both"/>
        <w:rPr>
          <w:rFonts w:ascii="Book Antiqua" w:hAnsi="Book Antiqua"/>
          <w:lang w:val="es-ES_tradnl"/>
        </w:rPr>
      </w:pPr>
      <w:r w:rsidRPr="009D787F">
        <w:rPr>
          <w:rFonts w:ascii="Book Antiqua" w:hAnsi="Book Antiqua"/>
          <w:lang w:val="es-ES_tradnl"/>
        </w:rPr>
        <w:t>Actualmente la coordinación de la administración del examen recae en las Oficinas Regionales Educativas (ORE); no obstante, los medios para llevarlos a cabo recaen bajo la responsabilidad de la Unidad de Exámenes, Diplomas y Certificaciones, adscrita a la Secretaría Auxiliar de Servicios Educativos a la Comunidad. Por tanto, la disponibilidad del examen y el acceso a los materiales de preparación no son necesariamente de gran difusión. Esto provoca que el acceso sea limitado, no solo porque apenas se administran una vez al semestre, sino porque las fechas no son fijas ni publicadas con gran difusión.</w:t>
      </w:r>
    </w:p>
    <w:p w14:paraId="5F4377EF" w14:textId="77777777" w:rsidR="00574F3B" w:rsidRPr="009D787F" w:rsidRDefault="00574F3B" w:rsidP="00574F3B">
      <w:pPr>
        <w:ind w:firstLine="360"/>
        <w:jc w:val="both"/>
        <w:rPr>
          <w:rFonts w:ascii="Book Antiqua" w:hAnsi="Book Antiqua"/>
          <w:lang w:val="es-ES_tradnl"/>
        </w:rPr>
      </w:pPr>
    </w:p>
    <w:p w14:paraId="2421123D" w14:textId="7CD88601" w:rsidR="00CC343B" w:rsidRDefault="009D787F" w:rsidP="00574F3B">
      <w:pPr>
        <w:ind w:firstLine="360"/>
        <w:jc w:val="both"/>
        <w:rPr>
          <w:rFonts w:ascii="Book Antiqua" w:hAnsi="Book Antiqua"/>
          <w:lang w:val="es-ES_tradnl"/>
        </w:rPr>
      </w:pPr>
      <w:r w:rsidRPr="009D787F">
        <w:rPr>
          <w:rFonts w:ascii="Book Antiqua" w:hAnsi="Book Antiqua"/>
          <w:lang w:val="es-ES_tradnl"/>
        </w:rPr>
        <w:t>En aras de garantizar el acceso a los exámenes de equivalencia de Escuela Superior, resulta necesario actualizar las disposiciones de disponibilidad de estos para incrementar las posibilidades de obtención de un diploma de cuarto año para las poblaciones más vulneradas.</w:t>
      </w:r>
    </w:p>
    <w:p w14:paraId="741410DF" w14:textId="77777777" w:rsidR="00574F3B" w:rsidRDefault="00574F3B" w:rsidP="00574F3B">
      <w:pPr>
        <w:ind w:firstLine="360"/>
        <w:jc w:val="both"/>
        <w:rPr>
          <w:rFonts w:ascii="Book Antiqua" w:hAnsi="Book Antiqua"/>
          <w:lang w:val="es-ES_tradnl"/>
        </w:rPr>
      </w:pPr>
    </w:p>
    <w:p w14:paraId="2421123E" w14:textId="77777777" w:rsidR="00CC343B" w:rsidRDefault="00CC343B" w:rsidP="00574F3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21797BE3" w14:textId="77777777" w:rsidR="009D787F" w:rsidRDefault="009D787F" w:rsidP="009D787F">
      <w:pPr>
        <w:spacing w:line="480" w:lineRule="auto"/>
        <w:ind w:firstLine="720"/>
        <w:jc w:val="both"/>
        <w:rPr>
          <w:rFonts w:ascii="Book Antiqua" w:hAnsi="Book Antiqua"/>
          <w:szCs w:val="24"/>
          <w:lang w:val="es-ES_tradnl"/>
        </w:rPr>
      </w:pPr>
      <w:r w:rsidRPr="002600BE">
        <w:rPr>
          <w:rFonts w:ascii="Book Antiqua" w:hAnsi="Book Antiqua"/>
          <w:szCs w:val="24"/>
          <w:lang w:val="es-ES_tradnl"/>
        </w:rPr>
        <w:t>Artículo 1.-</w:t>
      </w:r>
      <w:r w:rsidRPr="00282B84">
        <w:rPr>
          <w:rFonts w:ascii="Book Antiqua" w:hAnsi="Book Antiqua"/>
          <w:szCs w:val="24"/>
          <w:lang w:val="es-ES_tradnl"/>
        </w:rPr>
        <w:t xml:space="preserve"> </w:t>
      </w:r>
      <w:r>
        <w:rPr>
          <w:rFonts w:ascii="Book Antiqua" w:hAnsi="Book Antiqua"/>
          <w:szCs w:val="24"/>
          <w:lang w:val="es-ES_tradnl"/>
        </w:rPr>
        <w:t>Se enmienda la Sección 1 de la Ley Núm. 170 de 4 de mayo de 1949, según enmendada, para que lea como sigue:</w:t>
      </w:r>
    </w:p>
    <w:p w14:paraId="4C927028"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lastRenderedPageBreak/>
        <w:t xml:space="preserve">“Sección 1.- Exámenes para diploma equivalente a Escuela Superior. </w:t>
      </w:r>
    </w:p>
    <w:p w14:paraId="28E58D51" w14:textId="77777777" w:rsidR="009D787F" w:rsidRPr="00571FC5" w:rsidRDefault="009D787F" w:rsidP="009D787F">
      <w:pPr>
        <w:spacing w:line="480" w:lineRule="auto"/>
        <w:ind w:left="1440" w:right="403" w:firstLine="720"/>
        <w:jc w:val="both"/>
        <w:rPr>
          <w:rFonts w:ascii="Book Antiqua" w:hAnsi="Book Antiqua"/>
          <w:lang w:val="es-419"/>
        </w:rPr>
      </w:pPr>
      <w:r w:rsidRPr="00571FC5">
        <w:rPr>
          <w:rFonts w:ascii="Book Antiqua" w:hAnsi="Book Antiqua"/>
          <w:lang w:val="es-419"/>
        </w:rPr>
        <w:t>Por la presente se faculta y se ordena al Secretario de Educación de Puerto Rico para:</w:t>
      </w:r>
    </w:p>
    <w:p w14:paraId="096B2DA7" w14:textId="77777777" w:rsidR="009D787F" w:rsidRPr="00571FC5" w:rsidRDefault="009D787F" w:rsidP="009D787F">
      <w:pPr>
        <w:numPr>
          <w:ilvl w:val="0"/>
          <w:numId w:val="1"/>
        </w:numPr>
        <w:spacing w:line="480" w:lineRule="auto"/>
        <w:ind w:right="403"/>
        <w:jc w:val="both"/>
        <w:rPr>
          <w:rFonts w:ascii="Book Antiqua" w:hAnsi="Book Antiqua"/>
          <w:lang w:val="es-419"/>
        </w:rPr>
      </w:pPr>
      <w:r w:rsidRPr="00571FC5">
        <w:rPr>
          <w:rFonts w:ascii="Book Antiqua" w:hAnsi="Book Antiqua"/>
          <w:lang w:val="es-419"/>
        </w:rPr>
        <w:t>Celebrar exámenes de equivalencia para determinar los conocimientos básicos de los examinados en términos de la formación educativa que se exige para graduación de Escuela Superior en las áreas fundamentales del conocimiento.</w:t>
      </w:r>
      <w:r>
        <w:rPr>
          <w:rFonts w:ascii="Book Antiqua" w:hAnsi="Book Antiqua"/>
          <w:lang w:val="es-419"/>
        </w:rPr>
        <w:t xml:space="preserve"> </w:t>
      </w:r>
      <w:r w:rsidRPr="00130D15">
        <w:rPr>
          <w:rFonts w:ascii="Book Antiqua" w:hAnsi="Book Antiqua"/>
          <w:lang w:val="es-419"/>
        </w:rPr>
        <w:t xml:space="preserve">Los exámenes se ofrecerán por lo menos una vez </w:t>
      </w:r>
      <w:r w:rsidRPr="00130D15">
        <w:rPr>
          <w:rFonts w:ascii="Book Antiqua" w:hAnsi="Book Antiqua"/>
          <w:b/>
          <w:bCs/>
          <w:lang w:val="es-419"/>
        </w:rPr>
        <w:t>[cada semestre]</w:t>
      </w:r>
      <w:r w:rsidRPr="00130D15">
        <w:rPr>
          <w:rFonts w:ascii="Book Antiqua" w:hAnsi="Book Antiqua"/>
          <w:lang w:val="es-419"/>
        </w:rPr>
        <w:t xml:space="preserve"> </w:t>
      </w:r>
      <w:r w:rsidRPr="002600BE">
        <w:rPr>
          <w:rFonts w:ascii="Book Antiqua" w:hAnsi="Book Antiqua"/>
          <w:i/>
          <w:iCs/>
          <w:lang w:val="es-419"/>
        </w:rPr>
        <w:t xml:space="preserve">al mes </w:t>
      </w:r>
      <w:r w:rsidRPr="00130D15">
        <w:rPr>
          <w:rFonts w:ascii="Book Antiqua" w:hAnsi="Book Antiqua"/>
          <w:lang w:val="es-419"/>
        </w:rPr>
        <w:t>según el programa que para tales fines determine el Secretario de Educación.</w:t>
      </w:r>
    </w:p>
    <w:p w14:paraId="6FC30F3F" w14:textId="77777777" w:rsidR="009D787F" w:rsidRDefault="009D787F" w:rsidP="009D787F">
      <w:pPr>
        <w:numPr>
          <w:ilvl w:val="0"/>
          <w:numId w:val="1"/>
        </w:numPr>
        <w:spacing w:line="480" w:lineRule="auto"/>
        <w:ind w:right="403"/>
        <w:jc w:val="both"/>
        <w:rPr>
          <w:rFonts w:ascii="Book Antiqua" w:hAnsi="Book Antiqua"/>
          <w:lang w:val="es-419"/>
        </w:rPr>
      </w:pPr>
      <w:r w:rsidRPr="00130D15">
        <w:rPr>
          <w:rFonts w:ascii="Book Antiqua" w:hAnsi="Book Antiqua"/>
          <w:lang w:val="es-419"/>
        </w:rPr>
        <w:t xml:space="preserve">Anunciar estos exámenes </w:t>
      </w:r>
      <w:r w:rsidRPr="002600BE">
        <w:rPr>
          <w:rFonts w:ascii="Book Antiqua" w:hAnsi="Book Antiqua"/>
          <w:i/>
          <w:iCs/>
          <w:lang w:val="es-419"/>
        </w:rPr>
        <w:t>en al menos un (1) rotativo de amplia circulación</w:t>
      </w:r>
      <w:r>
        <w:rPr>
          <w:rFonts w:ascii="Book Antiqua" w:hAnsi="Book Antiqua"/>
          <w:i/>
          <w:iCs/>
          <w:lang w:val="es-419"/>
        </w:rPr>
        <w:t xml:space="preserve"> y en los sitios web y redes sociales oficiales del Departamento de Educación</w:t>
      </w:r>
      <w:r w:rsidRPr="00571FC5">
        <w:rPr>
          <w:rFonts w:ascii="Book Antiqua" w:hAnsi="Book Antiqua"/>
          <w:lang w:val="es-419"/>
        </w:rPr>
        <w:t xml:space="preserve"> </w:t>
      </w:r>
      <w:r w:rsidRPr="00130D15">
        <w:rPr>
          <w:rFonts w:ascii="Book Antiqua" w:hAnsi="Book Antiqua"/>
          <w:lang w:val="es-419"/>
        </w:rPr>
        <w:t>y poner a la disposición de los candidatos los recursos educativos de que dispone el Programa de Extensión Educativa del Departamento de Educación.</w:t>
      </w:r>
    </w:p>
    <w:p w14:paraId="292CCAD7" w14:textId="77777777" w:rsidR="009D787F" w:rsidRDefault="009D787F" w:rsidP="009D787F">
      <w:pPr>
        <w:numPr>
          <w:ilvl w:val="0"/>
          <w:numId w:val="1"/>
        </w:numPr>
        <w:spacing w:line="480" w:lineRule="auto"/>
        <w:ind w:right="403"/>
        <w:jc w:val="both"/>
        <w:rPr>
          <w:rFonts w:ascii="Book Antiqua" w:hAnsi="Book Antiqua"/>
          <w:lang w:val="es-419"/>
        </w:rPr>
      </w:pPr>
      <w:r>
        <w:rPr>
          <w:rFonts w:ascii="Book Antiqua" w:hAnsi="Book Antiqua"/>
          <w:lang w:val="es-419"/>
        </w:rPr>
        <w:t xml:space="preserve">… </w:t>
      </w:r>
    </w:p>
    <w:p w14:paraId="366E63C3"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419"/>
        </w:rPr>
        <w:t>…</w:t>
      </w:r>
      <w:r w:rsidRPr="002600BE">
        <w:rPr>
          <w:rFonts w:ascii="Book Antiqua" w:hAnsi="Book Antiqua"/>
          <w:lang w:val="es-ES_tradnl"/>
        </w:rPr>
        <w:t> </w:t>
      </w:r>
    </w:p>
    <w:p w14:paraId="43F5F885"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 xml:space="preserve">(i) </w:t>
      </w:r>
      <w:r>
        <w:rPr>
          <w:rFonts w:ascii="Book Antiqua" w:hAnsi="Book Antiqua"/>
          <w:lang w:val="es-ES_tradnl"/>
        </w:rPr>
        <w:t>…</w:t>
      </w:r>
    </w:p>
    <w:p w14:paraId="4E4BE77F"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w:t>
      </w:r>
      <w:proofErr w:type="spellStart"/>
      <w:r w:rsidRPr="002600BE">
        <w:rPr>
          <w:rFonts w:ascii="Book Antiqua" w:hAnsi="Book Antiqua"/>
          <w:lang w:val="es-ES_tradnl"/>
        </w:rPr>
        <w:t>ii</w:t>
      </w:r>
      <w:proofErr w:type="spellEnd"/>
      <w:r w:rsidRPr="002600BE">
        <w:rPr>
          <w:rFonts w:ascii="Book Antiqua" w:hAnsi="Book Antiqua"/>
          <w:lang w:val="es-ES_tradnl"/>
        </w:rPr>
        <w:t xml:space="preserve">) </w:t>
      </w:r>
      <w:r>
        <w:rPr>
          <w:rFonts w:ascii="Book Antiqua" w:hAnsi="Book Antiqua"/>
          <w:lang w:val="es-ES_tradnl"/>
        </w:rPr>
        <w:t>…</w:t>
      </w:r>
    </w:p>
    <w:p w14:paraId="50FCE387" w14:textId="77777777" w:rsidR="009D787F" w:rsidRPr="002600BE" w:rsidRDefault="009D787F" w:rsidP="009D787F">
      <w:pPr>
        <w:spacing w:line="480" w:lineRule="auto"/>
        <w:ind w:left="3240" w:right="403"/>
        <w:jc w:val="both"/>
        <w:rPr>
          <w:rFonts w:ascii="Book Antiqua" w:hAnsi="Book Antiqua"/>
          <w:lang w:val="es-PR"/>
        </w:rPr>
      </w:pPr>
      <w:r w:rsidRPr="002600BE">
        <w:rPr>
          <w:rFonts w:ascii="Book Antiqua" w:hAnsi="Book Antiqua"/>
          <w:lang w:val="es-ES_tradnl"/>
        </w:rPr>
        <w:t>(</w:t>
      </w:r>
      <w:proofErr w:type="spellStart"/>
      <w:r w:rsidRPr="00130D15">
        <w:rPr>
          <w:rFonts w:ascii="Book Antiqua" w:hAnsi="Book Antiqua"/>
          <w:lang w:val="es-ES_tradnl"/>
        </w:rPr>
        <w:t>i</w:t>
      </w:r>
      <w:r>
        <w:rPr>
          <w:rFonts w:ascii="Book Antiqua" w:hAnsi="Book Antiqua"/>
          <w:lang w:val="es-ES_tradnl"/>
        </w:rPr>
        <w:t>ii</w:t>
      </w:r>
      <w:proofErr w:type="spellEnd"/>
      <w:r w:rsidRPr="002600BE">
        <w:rPr>
          <w:rFonts w:ascii="Book Antiqua" w:hAnsi="Book Antiqua"/>
          <w:lang w:val="es-ES_tradnl"/>
        </w:rPr>
        <w:t xml:space="preserve">) </w:t>
      </w:r>
      <w:r>
        <w:rPr>
          <w:rFonts w:ascii="Book Antiqua" w:hAnsi="Book Antiqua"/>
          <w:lang w:val="es-ES_tradnl"/>
        </w:rPr>
        <w:t>…</w:t>
      </w:r>
    </w:p>
    <w:p w14:paraId="10B19D91" w14:textId="77777777" w:rsidR="009D787F" w:rsidRPr="002600BE" w:rsidRDefault="009D787F" w:rsidP="009D787F">
      <w:pPr>
        <w:numPr>
          <w:ilvl w:val="1"/>
          <w:numId w:val="1"/>
        </w:numPr>
        <w:spacing w:line="480" w:lineRule="auto"/>
        <w:ind w:right="403"/>
        <w:jc w:val="both"/>
        <w:rPr>
          <w:rFonts w:ascii="Book Antiqua" w:hAnsi="Book Antiqua"/>
          <w:lang w:val="es-PR"/>
        </w:rPr>
      </w:pPr>
      <w:r>
        <w:rPr>
          <w:rFonts w:ascii="Book Antiqua" w:hAnsi="Book Antiqua"/>
          <w:lang w:val="es-ES_tradnl"/>
        </w:rPr>
        <w:lastRenderedPageBreak/>
        <w:t>…</w:t>
      </w:r>
    </w:p>
    <w:p w14:paraId="08F69042" w14:textId="77777777" w:rsidR="009D787F" w:rsidRPr="002600BE" w:rsidRDefault="009D787F" w:rsidP="009D787F">
      <w:pPr>
        <w:numPr>
          <w:ilvl w:val="0"/>
          <w:numId w:val="1"/>
        </w:numPr>
        <w:spacing w:line="480" w:lineRule="auto"/>
        <w:ind w:right="403"/>
        <w:jc w:val="both"/>
        <w:rPr>
          <w:rFonts w:ascii="Book Antiqua" w:hAnsi="Book Antiqua"/>
          <w:lang w:val="es-PR"/>
        </w:rPr>
      </w:pPr>
      <w:r>
        <w:rPr>
          <w:rFonts w:ascii="Book Antiqua" w:hAnsi="Book Antiqua"/>
          <w:lang w:val="es-ES_tradnl"/>
        </w:rPr>
        <w:t>…”</w:t>
      </w:r>
    </w:p>
    <w:p w14:paraId="7608D983" w14:textId="77777777" w:rsidR="009D787F" w:rsidRPr="00282B84" w:rsidRDefault="009D787F" w:rsidP="009D787F">
      <w:pPr>
        <w:pStyle w:val="sectext"/>
        <w:spacing w:line="480" w:lineRule="auto"/>
        <w:ind w:firstLine="720"/>
        <w:jc w:val="both"/>
        <w:rPr>
          <w:rFonts w:ascii="Book Antiqua" w:hAnsi="Book Antiqua"/>
          <w:lang w:val="es-PR"/>
        </w:rPr>
      </w:pPr>
      <w:r w:rsidRPr="002600BE">
        <w:rPr>
          <w:rFonts w:ascii="Book Antiqua" w:hAnsi="Book Antiqua"/>
          <w:lang w:val="es-ES_tradnl"/>
        </w:rPr>
        <w:t>Artículo 2</w:t>
      </w:r>
      <w:r w:rsidRPr="002600BE">
        <w:rPr>
          <w:rFonts w:ascii="Book Antiqua" w:hAnsi="Book Antiqua"/>
          <w:lang w:val="es-PR"/>
        </w:rPr>
        <w:t>.-</w:t>
      </w:r>
      <w:r w:rsidRPr="00282B84">
        <w:rPr>
          <w:rFonts w:ascii="Book Antiqua" w:hAnsi="Book Antiqua"/>
          <w:lang w:val="es-PR"/>
        </w:rPr>
        <w:t xml:space="preserve"> Cláusula de separabilidad</w:t>
      </w:r>
      <w:r>
        <w:rPr>
          <w:rFonts w:ascii="Book Antiqua" w:hAnsi="Book Antiqua"/>
          <w:lang w:val="es-PR"/>
        </w:rPr>
        <w:t>.</w:t>
      </w:r>
    </w:p>
    <w:p w14:paraId="4C8D76DE" w14:textId="77777777" w:rsidR="009D787F" w:rsidRPr="00282B84" w:rsidRDefault="009D787F" w:rsidP="009D787F">
      <w:pPr>
        <w:pStyle w:val="sectext"/>
        <w:spacing w:line="480" w:lineRule="auto"/>
        <w:ind w:firstLine="720"/>
        <w:jc w:val="both"/>
        <w:rPr>
          <w:rFonts w:ascii="Book Antiqua" w:hAnsi="Book Antiqua"/>
          <w:lang w:val="es-PR"/>
        </w:rPr>
      </w:pPr>
      <w:r w:rsidRPr="00282B84">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282B84">
        <w:rPr>
          <w:rFonts w:ascii="Book Antiqua" w:hAnsi="Book Antiqua"/>
          <w:lang w:val="es-PR"/>
        </w:rPr>
        <w:t>ejecutabilidad</w:t>
      </w:r>
      <w:proofErr w:type="spellEnd"/>
      <w:r w:rsidRPr="00282B84">
        <w:rPr>
          <w:rFonts w:ascii="Book Antiqua" w:hAnsi="Book Antiqua"/>
          <w:lang w:val="es-PR"/>
        </w:rPr>
        <w:t xml:space="preserve"> y vigor de las restantes disposiciones que no hayan sido objeto de dictamen adverso.</w:t>
      </w:r>
    </w:p>
    <w:p w14:paraId="6A15FB49" w14:textId="77777777" w:rsidR="009D787F" w:rsidRPr="00282B84" w:rsidRDefault="009D787F" w:rsidP="009D787F">
      <w:pPr>
        <w:spacing w:line="480" w:lineRule="auto"/>
        <w:ind w:left="360" w:firstLine="360"/>
        <w:jc w:val="both"/>
        <w:rPr>
          <w:rFonts w:ascii="Book Antiqua" w:hAnsi="Book Antiqua"/>
          <w:szCs w:val="24"/>
          <w:lang w:val="es-PR"/>
        </w:rPr>
      </w:pPr>
      <w:r w:rsidRPr="002600BE">
        <w:rPr>
          <w:rFonts w:ascii="Book Antiqua" w:hAnsi="Book Antiqua"/>
          <w:szCs w:val="24"/>
          <w:lang w:val="es-ES_tradnl"/>
        </w:rPr>
        <w:t xml:space="preserve">Artículo </w:t>
      </w:r>
      <w:r w:rsidRPr="002600BE">
        <w:rPr>
          <w:rFonts w:ascii="Book Antiqua" w:hAnsi="Book Antiqua"/>
          <w:szCs w:val="24"/>
          <w:lang w:val="es-PR"/>
        </w:rPr>
        <w:t>3.-</w:t>
      </w:r>
      <w:r w:rsidRPr="00282B84">
        <w:rPr>
          <w:rFonts w:ascii="Book Antiqua" w:hAnsi="Book Antiqua"/>
          <w:szCs w:val="24"/>
          <w:lang w:val="es-PR"/>
        </w:rPr>
        <w:t xml:space="preserve"> </w:t>
      </w:r>
      <w:r w:rsidRPr="00282B84">
        <w:rPr>
          <w:rFonts w:ascii="Book Antiqua" w:hAnsi="Book Antiqua"/>
          <w:lang w:val="es-PR"/>
        </w:rPr>
        <w:t xml:space="preserve">Cláusula de </w:t>
      </w:r>
      <w:r>
        <w:rPr>
          <w:rFonts w:ascii="Book Antiqua" w:hAnsi="Book Antiqua"/>
          <w:lang w:val="es-PR"/>
        </w:rPr>
        <w:t>v</w:t>
      </w:r>
      <w:r w:rsidRPr="00282B84">
        <w:rPr>
          <w:rFonts w:ascii="Book Antiqua" w:hAnsi="Book Antiqua"/>
          <w:szCs w:val="24"/>
          <w:lang w:val="es-PR"/>
        </w:rPr>
        <w:t>igencia</w:t>
      </w:r>
      <w:r>
        <w:rPr>
          <w:rFonts w:ascii="Book Antiqua" w:hAnsi="Book Antiqua"/>
          <w:szCs w:val="24"/>
          <w:lang w:val="es-PR"/>
        </w:rPr>
        <w:t>.</w:t>
      </w:r>
    </w:p>
    <w:p w14:paraId="24211250" w14:textId="68561B26" w:rsidR="00CC343B" w:rsidRPr="00CC343B" w:rsidRDefault="009D787F" w:rsidP="009D787F">
      <w:pPr>
        <w:spacing w:line="480" w:lineRule="auto"/>
        <w:ind w:firstLine="360"/>
        <w:jc w:val="both"/>
        <w:rPr>
          <w:rFonts w:ascii="Book Antiqua" w:hAnsi="Book Antiqua"/>
          <w:lang w:val="es-ES_tradnl"/>
        </w:rPr>
      </w:pPr>
      <w:r w:rsidRPr="00282B84">
        <w:rPr>
          <w:rFonts w:ascii="Book Antiqua" w:hAnsi="Book Antiqua"/>
          <w:szCs w:val="24"/>
          <w:lang w:val="es-PR"/>
        </w:rPr>
        <w:t>Esta Ley comenzará a regir inmediatamente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0230C"/>
    <w:multiLevelType w:val="hybridMultilevel"/>
    <w:tmpl w:val="360CBF7A"/>
    <w:lvl w:ilvl="0" w:tplc="50F8A8C6">
      <w:start w:val="1"/>
      <w:numFmt w:val="decimal"/>
      <w:lvlText w:val="(%1)"/>
      <w:lvlJc w:val="left"/>
      <w:pPr>
        <w:ind w:left="2520" w:hanging="360"/>
      </w:pPr>
      <w:rPr>
        <w:rFonts w:hint="default"/>
      </w:rPr>
    </w:lvl>
    <w:lvl w:ilvl="1" w:tplc="D2DCC776">
      <w:start w:val="1"/>
      <w:numFmt w:val="lowerLetter"/>
      <w:lvlText w:val="(%2)"/>
      <w:lvlJc w:val="left"/>
      <w:pPr>
        <w:ind w:left="3240" w:hanging="360"/>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5E22106B"/>
    <w:multiLevelType w:val="hybridMultilevel"/>
    <w:tmpl w:val="F112D9A2"/>
    <w:lvl w:ilvl="0" w:tplc="BD7A9754">
      <w:start w:val="1"/>
      <w:numFmt w:val="decimal"/>
      <w:lvlText w:val="%1)"/>
      <w:lvlJc w:val="left"/>
      <w:pPr>
        <w:ind w:left="1080" w:hanging="360"/>
      </w:pPr>
      <w:rPr>
        <w:rFonts w:hint="default"/>
      </w:rPr>
    </w:lvl>
    <w:lvl w:ilvl="1" w:tplc="540A0019" w:tentative="1">
      <w:start w:val="1"/>
      <w:numFmt w:val="lowerLetter"/>
      <w:lvlText w:val="%2."/>
      <w:lvlJc w:val="left"/>
      <w:pPr>
        <w:ind w:left="1800" w:hanging="360"/>
      </w:pPr>
    </w:lvl>
    <w:lvl w:ilvl="2" w:tplc="540A001B" w:tentative="1">
      <w:start w:val="1"/>
      <w:numFmt w:val="lowerRoman"/>
      <w:lvlText w:val="%3."/>
      <w:lvlJc w:val="right"/>
      <w:pPr>
        <w:ind w:left="2520" w:hanging="180"/>
      </w:pPr>
    </w:lvl>
    <w:lvl w:ilvl="3" w:tplc="540A000F" w:tentative="1">
      <w:start w:val="1"/>
      <w:numFmt w:val="decimal"/>
      <w:lvlText w:val="%4."/>
      <w:lvlJc w:val="left"/>
      <w:pPr>
        <w:ind w:left="3240" w:hanging="360"/>
      </w:pPr>
    </w:lvl>
    <w:lvl w:ilvl="4" w:tplc="540A0019" w:tentative="1">
      <w:start w:val="1"/>
      <w:numFmt w:val="lowerLetter"/>
      <w:lvlText w:val="%5."/>
      <w:lvlJc w:val="left"/>
      <w:pPr>
        <w:ind w:left="3960" w:hanging="360"/>
      </w:pPr>
    </w:lvl>
    <w:lvl w:ilvl="5" w:tplc="540A001B" w:tentative="1">
      <w:start w:val="1"/>
      <w:numFmt w:val="lowerRoman"/>
      <w:lvlText w:val="%6."/>
      <w:lvlJc w:val="right"/>
      <w:pPr>
        <w:ind w:left="4680" w:hanging="180"/>
      </w:pPr>
    </w:lvl>
    <w:lvl w:ilvl="6" w:tplc="540A000F" w:tentative="1">
      <w:start w:val="1"/>
      <w:numFmt w:val="decimal"/>
      <w:lvlText w:val="%7."/>
      <w:lvlJc w:val="left"/>
      <w:pPr>
        <w:ind w:left="5400" w:hanging="360"/>
      </w:pPr>
    </w:lvl>
    <w:lvl w:ilvl="7" w:tplc="540A0019" w:tentative="1">
      <w:start w:val="1"/>
      <w:numFmt w:val="lowerLetter"/>
      <w:lvlText w:val="%8."/>
      <w:lvlJc w:val="left"/>
      <w:pPr>
        <w:ind w:left="6120" w:hanging="360"/>
      </w:pPr>
    </w:lvl>
    <w:lvl w:ilvl="8" w:tplc="540A001B" w:tentative="1">
      <w:start w:val="1"/>
      <w:numFmt w:val="lowerRoman"/>
      <w:lvlText w:val="%9."/>
      <w:lvlJc w:val="right"/>
      <w:pPr>
        <w:ind w:left="6840" w:hanging="180"/>
      </w:pPr>
    </w:lvl>
  </w:abstractNum>
  <w:num w:numId="1" w16cid:durableId="663314951">
    <w:abstractNumId w:val="0"/>
  </w:num>
  <w:num w:numId="2" w16cid:durableId="301231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8471F"/>
    <w:rsid w:val="00095AE1"/>
    <w:rsid w:val="000A6B6C"/>
    <w:rsid w:val="000B0DBB"/>
    <w:rsid w:val="00111E71"/>
    <w:rsid w:val="00127C6A"/>
    <w:rsid w:val="001363FE"/>
    <w:rsid w:val="0017132B"/>
    <w:rsid w:val="001F4CA3"/>
    <w:rsid w:val="001F612A"/>
    <w:rsid w:val="00211396"/>
    <w:rsid w:val="00226AE6"/>
    <w:rsid w:val="00245B34"/>
    <w:rsid w:val="00263355"/>
    <w:rsid w:val="00273792"/>
    <w:rsid w:val="002D4AC8"/>
    <w:rsid w:val="002E322E"/>
    <w:rsid w:val="00320D78"/>
    <w:rsid w:val="00380FE5"/>
    <w:rsid w:val="003924DD"/>
    <w:rsid w:val="00394FCB"/>
    <w:rsid w:val="003963F4"/>
    <w:rsid w:val="003B5254"/>
    <w:rsid w:val="003B75A6"/>
    <w:rsid w:val="004061CA"/>
    <w:rsid w:val="00415689"/>
    <w:rsid w:val="004440CB"/>
    <w:rsid w:val="00460BED"/>
    <w:rsid w:val="004713D2"/>
    <w:rsid w:val="00521639"/>
    <w:rsid w:val="00532BB7"/>
    <w:rsid w:val="005332E4"/>
    <w:rsid w:val="0053550C"/>
    <w:rsid w:val="0054505E"/>
    <w:rsid w:val="00555018"/>
    <w:rsid w:val="005723DC"/>
    <w:rsid w:val="00574F3B"/>
    <w:rsid w:val="006210DC"/>
    <w:rsid w:val="0064349D"/>
    <w:rsid w:val="00646B14"/>
    <w:rsid w:val="00685549"/>
    <w:rsid w:val="006B7365"/>
    <w:rsid w:val="006C2D81"/>
    <w:rsid w:val="006C7DF8"/>
    <w:rsid w:val="006D4ACD"/>
    <w:rsid w:val="00750493"/>
    <w:rsid w:val="00750FC8"/>
    <w:rsid w:val="007533D0"/>
    <w:rsid w:val="00755069"/>
    <w:rsid w:val="007B0660"/>
    <w:rsid w:val="007C7277"/>
    <w:rsid w:val="007E3868"/>
    <w:rsid w:val="00820C41"/>
    <w:rsid w:val="00850256"/>
    <w:rsid w:val="008718C8"/>
    <w:rsid w:val="00887F6F"/>
    <w:rsid w:val="008B3D69"/>
    <w:rsid w:val="0093686F"/>
    <w:rsid w:val="00942FD4"/>
    <w:rsid w:val="00951997"/>
    <w:rsid w:val="00990352"/>
    <w:rsid w:val="009D787F"/>
    <w:rsid w:val="00A03405"/>
    <w:rsid w:val="00A1528A"/>
    <w:rsid w:val="00A33918"/>
    <w:rsid w:val="00A7629F"/>
    <w:rsid w:val="00AF0CEE"/>
    <w:rsid w:val="00B667AD"/>
    <w:rsid w:val="00B84C38"/>
    <w:rsid w:val="00B86C00"/>
    <w:rsid w:val="00B947F6"/>
    <w:rsid w:val="00BF16AA"/>
    <w:rsid w:val="00C354B8"/>
    <w:rsid w:val="00C52517"/>
    <w:rsid w:val="00C60921"/>
    <w:rsid w:val="00C62936"/>
    <w:rsid w:val="00C653F2"/>
    <w:rsid w:val="00C679E6"/>
    <w:rsid w:val="00C834F9"/>
    <w:rsid w:val="00C908F9"/>
    <w:rsid w:val="00CA0917"/>
    <w:rsid w:val="00CA1099"/>
    <w:rsid w:val="00CC343B"/>
    <w:rsid w:val="00D0306E"/>
    <w:rsid w:val="00D417C2"/>
    <w:rsid w:val="00D60936"/>
    <w:rsid w:val="00D709EB"/>
    <w:rsid w:val="00D74714"/>
    <w:rsid w:val="00D82F3F"/>
    <w:rsid w:val="00D921C6"/>
    <w:rsid w:val="00D94FAB"/>
    <w:rsid w:val="00D958C2"/>
    <w:rsid w:val="00DA6636"/>
    <w:rsid w:val="00E04AB5"/>
    <w:rsid w:val="00E201A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9D787F"/>
    <w:pPr>
      <w:widowControl w:val="0"/>
      <w:autoSpaceDE w:val="0"/>
      <w:autoSpaceDN w:val="0"/>
      <w:adjustRightInd w:val="0"/>
    </w:pPr>
    <w:rPr>
      <w:sz w:val="24"/>
      <w:szCs w:val="24"/>
      <w:lang w:val="en-US" w:eastAsia="en-US"/>
    </w:rPr>
  </w:style>
  <w:style w:type="paragraph" w:styleId="ListParagraph">
    <w:name w:val="List Paragraph"/>
    <w:basedOn w:val="Normal"/>
    <w:uiPriority w:val="34"/>
    <w:qFormat/>
    <w:rsid w:val="00574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862</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Zurys F. Fajardo Rojas</cp:lastModifiedBy>
  <cp:revision>5</cp:revision>
  <cp:lastPrinted>2025-01-09T14:31:00Z</cp:lastPrinted>
  <dcterms:created xsi:type="dcterms:W3CDTF">2025-01-10T20:33:00Z</dcterms:created>
  <dcterms:modified xsi:type="dcterms:W3CDTF">2025-01-15T12:58:00Z</dcterms:modified>
</cp:coreProperties>
</file>