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8669F" w14:textId="3E8A9647" w:rsidR="009F0EBF" w:rsidRDefault="006D45F5" w:rsidP="00C2504D">
      <w:pPr>
        <w:jc w:val="center"/>
        <w:rPr>
          <w:rFonts w:ascii="Book Antiqua" w:hAnsi="Book Antiqua"/>
          <w:sz w:val="28"/>
          <w:lang w:val="es-ES_tradnl"/>
        </w:rPr>
      </w:pPr>
      <w:r>
        <w:rPr>
          <w:rFonts w:ascii="Book Antiqua" w:hAnsi="Book Antiqua"/>
          <w:sz w:val="28"/>
          <w:lang w:val="es-ES_tradnl"/>
        </w:rPr>
        <w:t>GOBIERN</w:t>
      </w:r>
      <w:r w:rsidR="009F0EBF">
        <w:rPr>
          <w:rFonts w:ascii="Book Antiqua" w:hAnsi="Book Antiqua"/>
          <w:sz w:val="28"/>
          <w:lang w:val="es-ES_tradnl"/>
        </w:rPr>
        <w:t>O DE PUERTO RICO</w:t>
      </w:r>
    </w:p>
    <w:p w14:paraId="7CC5B41B" w14:textId="77777777" w:rsidR="009F0EBF" w:rsidRPr="00C2504D" w:rsidRDefault="009F0EBF" w:rsidP="00C2504D">
      <w:pPr>
        <w:jc w:val="center"/>
        <w:rPr>
          <w:rFonts w:ascii="Book Antiqua" w:hAnsi="Book Antiqua"/>
          <w:szCs w:val="24"/>
          <w:lang w:val="es-ES_tradnl"/>
        </w:rPr>
      </w:pPr>
    </w:p>
    <w:p w14:paraId="479B618D" w14:textId="54D6DC9F" w:rsidR="009F0EBF" w:rsidRDefault="006D45F5" w:rsidP="00C2504D">
      <w:pPr>
        <w:pStyle w:val="Title2"/>
        <w:rPr>
          <w:rFonts w:ascii="Book Antiqua" w:hAnsi="Book Antiqua"/>
          <w:lang w:val="es-ES_tradnl"/>
        </w:rPr>
      </w:pPr>
      <w:r>
        <w:rPr>
          <w:rFonts w:ascii="Book Antiqua" w:hAnsi="Book Antiqua"/>
          <w:lang w:val="es-ES_tradnl"/>
        </w:rPr>
        <w:t>20</w:t>
      </w:r>
      <w:r w:rsidR="009F0EBF">
        <w:rPr>
          <w:rFonts w:ascii="Book Antiqua" w:hAnsi="Book Antiqua"/>
          <w:lang w:val="es-ES_tradnl"/>
        </w:rPr>
        <w:t xml:space="preserve"> </w:t>
      </w:r>
      <w:r>
        <w:rPr>
          <w:rFonts w:ascii="Book Antiqua" w:hAnsi="Book Antiqua"/>
          <w:vertAlign w:val="superscript"/>
          <w:lang w:val="es-ES_tradnl"/>
        </w:rPr>
        <w:t>m</w:t>
      </w:r>
      <w:r w:rsidR="009F0EBF">
        <w:rPr>
          <w:rFonts w:ascii="Book Antiqua" w:hAnsi="Book Antiqua"/>
          <w:vertAlign w:val="superscript"/>
          <w:lang w:val="es-ES_tradnl"/>
        </w:rPr>
        <w:t>a</w:t>
      </w:r>
      <w:r w:rsidR="009F0EBF">
        <w:rPr>
          <w:rFonts w:ascii="Book Antiqua" w:hAnsi="Book Antiqua"/>
          <w:lang w:val="es-ES_tradnl"/>
        </w:rPr>
        <w:tab/>
        <w:t>Asamblea</w:t>
      </w:r>
      <w:r w:rsidR="009F0EBF">
        <w:rPr>
          <w:rFonts w:ascii="Book Antiqua" w:hAnsi="Book Antiqua"/>
          <w:lang w:val="es-ES_tradnl"/>
        </w:rPr>
        <w:tab/>
      </w:r>
      <w:r>
        <w:rPr>
          <w:rFonts w:ascii="Book Antiqua" w:hAnsi="Book Antiqua"/>
          <w:lang w:val="es-ES_tradnl"/>
        </w:rPr>
        <w:t>1</w:t>
      </w:r>
      <w:r w:rsidR="009F0EBF">
        <w:rPr>
          <w:rFonts w:ascii="Book Antiqua" w:hAnsi="Book Antiqua"/>
          <w:lang w:val="es-ES_tradnl"/>
        </w:rPr>
        <w:t xml:space="preserve"> </w:t>
      </w:r>
      <w:r>
        <w:rPr>
          <w:rFonts w:ascii="Book Antiqua" w:hAnsi="Book Antiqua"/>
          <w:vertAlign w:val="superscript"/>
          <w:lang w:val="es-ES_tradnl"/>
        </w:rPr>
        <w:t>r</w:t>
      </w:r>
      <w:r w:rsidR="009F0EBF">
        <w:rPr>
          <w:rFonts w:ascii="Book Antiqua" w:hAnsi="Book Antiqua"/>
          <w:vertAlign w:val="superscript"/>
          <w:lang w:val="es-ES_tradnl"/>
        </w:rPr>
        <w:t>a</w:t>
      </w:r>
      <w:r w:rsidR="009F0EBF">
        <w:rPr>
          <w:rFonts w:ascii="Book Antiqua" w:hAnsi="Book Antiqua"/>
          <w:lang w:val="es-ES_tradnl"/>
        </w:rPr>
        <w:tab/>
        <w:t>Sesión</w:t>
      </w:r>
    </w:p>
    <w:p w14:paraId="2EFA2DDF" w14:textId="77777777" w:rsidR="009F0EBF" w:rsidRDefault="009F0EBF" w:rsidP="00C2504D">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EBEA112" w14:textId="77777777" w:rsidR="009F0EBF" w:rsidRDefault="009F0EBF" w:rsidP="00C2504D">
      <w:pPr>
        <w:rPr>
          <w:lang w:val="es-ES_tradnl"/>
        </w:rPr>
      </w:pPr>
    </w:p>
    <w:p w14:paraId="0236204F" w14:textId="77777777" w:rsidR="009F0EBF" w:rsidRDefault="009F0EBF" w:rsidP="00C2504D">
      <w:pPr>
        <w:jc w:val="center"/>
        <w:rPr>
          <w:rFonts w:ascii="Book Antiqua" w:hAnsi="Book Antiqua"/>
          <w:b/>
          <w:sz w:val="36"/>
          <w:lang w:val="es-ES_tradnl"/>
        </w:rPr>
      </w:pPr>
      <w:r>
        <w:rPr>
          <w:rFonts w:ascii="Book Antiqua" w:hAnsi="Book Antiqua"/>
          <w:b/>
          <w:sz w:val="36"/>
          <w:lang w:val="es-ES_tradnl"/>
        </w:rPr>
        <w:t>CÁMARA DE REPRESENTANTES</w:t>
      </w:r>
    </w:p>
    <w:p w14:paraId="71823855" w14:textId="77777777" w:rsidR="009F0EBF" w:rsidRPr="00C2504D" w:rsidRDefault="009F0EBF" w:rsidP="00C2504D">
      <w:pPr>
        <w:jc w:val="center"/>
        <w:rPr>
          <w:rFonts w:ascii="Book Antiqua" w:hAnsi="Book Antiqua"/>
          <w:b/>
          <w:szCs w:val="24"/>
          <w:lang w:val="es-ES_tradnl"/>
        </w:rPr>
      </w:pPr>
    </w:p>
    <w:p w14:paraId="2BB81995" w14:textId="225217C6" w:rsidR="009F0EBF" w:rsidRDefault="009F0EBF" w:rsidP="00C2504D">
      <w:pPr>
        <w:jc w:val="center"/>
        <w:rPr>
          <w:rFonts w:ascii="Book Antiqua" w:hAnsi="Book Antiqua"/>
          <w:b/>
          <w:sz w:val="52"/>
          <w:lang w:val="es-ES_tradnl"/>
        </w:rPr>
      </w:pPr>
      <w:r>
        <w:rPr>
          <w:rFonts w:ascii="Book Antiqua" w:hAnsi="Book Antiqua"/>
          <w:b/>
          <w:sz w:val="52"/>
          <w:lang w:val="es-ES_tradnl"/>
        </w:rPr>
        <w:t xml:space="preserve">P. de la C. </w:t>
      </w:r>
      <w:r w:rsidR="00176D6C">
        <w:rPr>
          <w:rFonts w:ascii="Book Antiqua" w:hAnsi="Book Antiqua"/>
          <w:b/>
          <w:sz w:val="52"/>
          <w:lang w:val="es-ES_tradnl"/>
        </w:rPr>
        <w:t>199</w:t>
      </w:r>
    </w:p>
    <w:p w14:paraId="1BE1795D" w14:textId="77777777" w:rsidR="00C2504D" w:rsidRPr="00C2504D" w:rsidRDefault="00C2504D" w:rsidP="00C2504D">
      <w:pPr>
        <w:jc w:val="center"/>
        <w:rPr>
          <w:rFonts w:ascii="Book Antiqua" w:hAnsi="Book Antiqua"/>
          <w:b/>
          <w:szCs w:val="24"/>
          <w:lang w:val="es-ES_tradnl"/>
        </w:rPr>
      </w:pPr>
    </w:p>
    <w:p w14:paraId="50BA278B" w14:textId="5DC06ADA" w:rsidR="009F0EBF" w:rsidRDefault="00F611FC" w:rsidP="00C2504D">
      <w:pPr>
        <w:jc w:val="center"/>
        <w:rPr>
          <w:rFonts w:ascii="Book Antiqua" w:hAnsi="Book Antiqua"/>
          <w:lang w:val="es-ES_tradnl"/>
        </w:rPr>
      </w:pPr>
      <w:r>
        <w:rPr>
          <w:rFonts w:ascii="Book Antiqua" w:hAnsi="Book Antiqua"/>
          <w:lang w:val="es-ES_tradnl"/>
        </w:rPr>
        <w:t xml:space="preserve">10 </w:t>
      </w:r>
      <w:r w:rsidR="009F0EBF">
        <w:rPr>
          <w:rFonts w:ascii="Book Antiqua" w:hAnsi="Book Antiqua"/>
          <w:lang w:val="es-ES_tradnl"/>
        </w:rPr>
        <w:t xml:space="preserve">DE </w:t>
      </w:r>
      <w:r w:rsidR="002926EE">
        <w:rPr>
          <w:rFonts w:ascii="Book Antiqua" w:hAnsi="Book Antiqua"/>
          <w:lang w:val="es-ES_tradnl"/>
        </w:rPr>
        <w:t>E</w:t>
      </w:r>
      <w:r w:rsidR="00F40F4E">
        <w:rPr>
          <w:rFonts w:ascii="Book Antiqua" w:hAnsi="Book Antiqua"/>
          <w:lang w:val="es-ES_tradnl"/>
        </w:rPr>
        <w:t>NERO</w:t>
      </w:r>
      <w:r w:rsidR="009F0EBF">
        <w:rPr>
          <w:rFonts w:ascii="Book Antiqua" w:hAnsi="Book Antiqua"/>
          <w:lang w:val="es-ES_tradnl"/>
        </w:rPr>
        <w:t xml:space="preserve"> DE 202</w:t>
      </w:r>
      <w:r w:rsidR="00F40F4E">
        <w:rPr>
          <w:rFonts w:ascii="Book Antiqua" w:hAnsi="Book Antiqua"/>
          <w:lang w:val="es-ES_tradnl"/>
        </w:rPr>
        <w:t>5</w:t>
      </w:r>
    </w:p>
    <w:p w14:paraId="25BE4D98" w14:textId="77777777" w:rsidR="00C2504D" w:rsidRDefault="00C2504D" w:rsidP="00C2504D">
      <w:pPr>
        <w:jc w:val="center"/>
        <w:rPr>
          <w:rFonts w:ascii="Book Antiqua" w:hAnsi="Book Antiqua"/>
          <w:lang w:val="es-ES_tradnl"/>
        </w:rPr>
      </w:pPr>
    </w:p>
    <w:p w14:paraId="108BE51A" w14:textId="39C9ABDD" w:rsidR="009F0EBF" w:rsidRDefault="00600E88" w:rsidP="00C2504D">
      <w:pPr>
        <w:jc w:val="center"/>
        <w:rPr>
          <w:rFonts w:ascii="Book Antiqua" w:hAnsi="Book Antiqua"/>
          <w:lang w:val="es-ES_tradnl"/>
        </w:rPr>
      </w:pPr>
      <w:r w:rsidRPr="00600E88">
        <w:rPr>
          <w:rFonts w:ascii="Book Antiqua" w:hAnsi="Book Antiqua"/>
          <w:lang w:val="es-ES_tradnl"/>
        </w:rPr>
        <w:t>Presentado por los representantes</w:t>
      </w:r>
      <w:r w:rsidRPr="00600E88">
        <w:rPr>
          <w:rFonts w:ascii="Book Antiqua" w:hAnsi="Book Antiqua"/>
          <w:i/>
          <w:lang w:val="es-ES_tradnl"/>
        </w:rPr>
        <w:t xml:space="preserve"> Gutiérrez Colón</w:t>
      </w:r>
      <w:r w:rsidR="000451D4">
        <w:rPr>
          <w:rFonts w:ascii="Book Antiqua" w:hAnsi="Book Antiqua"/>
          <w:i/>
          <w:lang w:val="es-ES_tradnl"/>
        </w:rPr>
        <w:t>,</w:t>
      </w:r>
      <w:r w:rsidRPr="00600E88">
        <w:rPr>
          <w:rFonts w:ascii="Book Antiqua" w:hAnsi="Book Antiqua"/>
          <w:i/>
          <w:lang w:val="es-ES_tradnl"/>
        </w:rPr>
        <w:t xml:space="preserve"> Lebrón Robles</w:t>
      </w:r>
      <w:r w:rsidR="000451D4">
        <w:rPr>
          <w:rFonts w:ascii="Book Antiqua" w:hAnsi="Book Antiqua"/>
          <w:i/>
          <w:lang w:val="es-ES_tradnl"/>
        </w:rPr>
        <w:t xml:space="preserve"> y</w:t>
      </w:r>
      <w:r w:rsidR="000451D4" w:rsidRPr="000451D4">
        <w:rPr>
          <w:rFonts w:ascii="Book Antiqua" w:hAnsi="Book Antiqua"/>
          <w:i/>
          <w:lang w:val="es-ES_tradnl"/>
        </w:rPr>
        <w:t xml:space="preserve"> </w:t>
      </w:r>
      <w:r w:rsidR="000451D4" w:rsidRPr="00600E88">
        <w:rPr>
          <w:rFonts w:ascii="Book Antiqua" w:hAnsi="Book Antiqua"/>
          <w:i/>
          <w:lang w:val="es-ES_tradnl"/>
        </w:rPr>
        <w:t>Márquez Lebrón</w:t>
      </w:r>
    </w:p>
    <w:p w14:paraId="52FC5C36" w14:textId="77777777" w:rsidR="00C2504D" w:rsidRDefault="00C2504D" w:rsidP="00C2504D">
      <w:pPr>
        <w:jc w:val="center"/>
        <w:rPr>
          <w:rFonts w:ascii="Book Antiqua" w:hAnsi="Book Antiqua"/>
          <w:lang w:val="es-ES_tradnl"/>
        </w:rPr>
      </w:pPr>
    </w:p>
    <w:p w14:paraId="61E0D59C" w14:textId="346FD4C2" w:rsidR="009F0EBF" w:rsidRDefault="009F0EBF" w:rsidP="00C2504D">
      <w:pPr>
        <w:jc w:val="center"/>
        <w:rPr>
          <w:rFonts w:ascii="Book Antiqua" w:hAnsi="Book Antiqua"/>
          <w:lang w:val="es-ES_tradnl"/>
        </w:rPr>
      </w:pPr>
      <w:r>
        <w:rPr>
          <w:rFonts w:ascii="Book Antiqua" w:hAnsi="Book Antiqua"/>
          <w:lang w:val="es-ES_tradnl"/>
        </w:rPr>
        <w:t xml:space="preserve">Referido a </w:t>
      </w:r>
      <w:r w:rsidR="00754A66">
        <w:rPr>
          <w:rFonts w:ascii="Book Antiqua" w:hAnsi="Book Antiqua"/>
          <w:lang w:val="es-ES_tradnl"/>
        </w:rPr>
        <w:t>las Comisiones de lo Jurídico; y de Hacienda</w:t>
      </w:r>
    </w:p>
    <w:p w14:paraId="096FA03C" w14:textId="77777777" w:rsidR="009F0EBF" w:rsidRDefault="009F0EBF" w:rsidP="00C2504D">
      <w:pPr>
        <w:jc w:val="both"/>
        <w:rPr>
          <w:rFonts w:ascii="Book Antiqua" w:hAnsi="Book Antiqua"/>
          <w:lang w:val="es-ES_tradnl"/>
        </w:rPr>
      </w:pPr>
    </w:p>
    <w:p w14:paraId="1A62DA1E" w14:textId="77777777" w:rsidR="009F0EBF" w:rsidRDefault="009F0EBF" w:rsidP="00C2504D">
      <w:pPr>
        <w:jc w:val="center"/>
        <w:rPr>
          <w:rFonts w:ascii="Book Antiqua" w:hAnsi="Book Antiqua"/>
          <w:b/>
          <w:sz w:val="28"/>
          <w:lang w:val="es-ES_tradnl"/>
        </w:rPr>
      </w:pPr>
      <w:r>
        <w:rPr>
          <w:rFonts w:ascii="Book Antiqua" w:hAnsi="Book Antiqua"/>
          <w:b/>
          <w:sz w:val="28"/>
          <w:lang w:val="es-ES_tradnl"/>
        </w:rPr>
        <w:t>LEY</w:t>
      </w:r>
    </w:p>
    <w:p w14:paraId="5D566CD7" w14:textId="77777777" w:rsidR="009F0EBF" w:rsidRDefault="009F0EBF" w:rsidP="00C2504D">
      <w:pPr>
        <w:jc w:val="both"/>
        <w:rPr>
          <w:rFonts w:ascii="Book Antiqua" w:hAnsi="Book Antiqua"/>
          <w:lang w:val="es-ES_tradnl"/>
        </w:rPr>
      </w:pPr>
    </w:p>
    <w:p w14:paraId="755C9569" w14:textId="3EF3042D" w:rsidR="00B36870" w:rsidRDefault="009F0EBF" w:rsidP="00C2504D">
      <w:pPr>
        <w:ind w:left="360" w:hanging="360"/>
        <w:jc w:val="both"/>
        <w:rPr>
          <w:rFonts w:ascii="Book Antiqua" w:hAnsi="Book Antiqua"/>
          <w:lang w:val="es-ES_tradnl"/>
        </w:rPr>
      </w:pPr>
      <w:r>
        <w:rPr>
          <w:rFonts w:ascii="Book Antiqua" w:hAnsi="Book Antiqua"/>
          <w:lang w:val="es-ES_tradnl"/>
        </w:rPr>
        <w:t xml:space="preserve">Para crear la “Ley </w:t>
      </w:r>
      <w:r w:rsidRPr="00764D38">
        <w:rPr>
          <w:rFonts w:ascii="Book Antiqua" w:hAnsi="Book Antiqua"/>
          <w:lang w:val="es-ES_tradnl"/>
        </w:rPr>
        <w:t xml:space="preserve">de </w:t>
      </w:r>
      <w:r w:rsidR="00AA1487">
        <w:rPr>
          <w:rFonts w:ascii="Book Antiqua" w:hAnsi="Book Antiqua"/>
          <w:lang w:val="es-ES_tradnl"/>
        </w:rPr>
        <w:t>P</w:t>
      </w:r>
      <w:r w:rsidRPr="00764D38">
        <w:rPr>
          <w:rFonts w:ascii="Book Antiqua" w:hAnsi="Book Antiqua"/>
          <w:lang w:val="es-ES_tradnl"/>
        </w:rPr>
        <w:t xml:space="preserve">rotección y </w:t>
      </w:r>
      <w:r w:rsidR="00AA1487">
        <w:rPr>
          <w:rFonts w:ascii="Book Antiqua" w:hAnsi="Book Antiqua"/>
          <w:lang w:val="es-ES_tradnl"/>
        </w:rPr>
        <w:t>R</w:t>
      </w:r>
      <w:r w:rsidRPr="00764D38">
        <w:rPr>
          <w:rFonts w:ascii="Book Antiqua" w:hAnsi="Book Antiqua"/>
          <w:lang w:val="es-ES_tradnl"/>
        </w:rPr>
        <w:t>eparación en favor de las</w:t>
      </w:r>
      <w:r w:rsidR="00E60991">
        <w:rPr>
          <w:rFonts w:ascii="Book Antiqua" w:hAnsi="Book Antiqua"/>
          <w:lang w:val="es-ES_tradnl"/>
        </w:rPr>
        <w:t xml:space="preserve"> </w:t>
      </w:r>
      <w:r w:rsidR="00AA1487">
        <w:rPr>
          <w:rFonts w:ascii="Book Antiqua" w:hAnsi="Book Antiqua"/>
          <w:lang w:val="es-ES_tradnl"/>
        </w:rPr>
        <w:t>H</w:t>
      </w:r>
      <w:r w:rsidR="00E60991">
        <w:rPr>
          <w:rFonts w:ascii="Book Antiqua" w:hAnsi="Book Antiqua"/>
          <w:lang w:val="es-ES_tradnl"/>
        </w:rPr>
        <w:t xml:space="preserve">ijas e </w:t>
      </w:r>
      <w:r w:rsidR="00AA1487">
        <w:rPr>
          <w:rFonts w:ascii="Book Antiqua" w:hAnsi="Book Antiqua"/>
          <w:lang w:val="es-ES_tradnl"/>
        </w:rPr>
        <w:t>H</w:t>
      </w:r>
      <w:r w:rsidR="00E60991">
        <w:rPr>
          <w:rFonts w:ascii="Book Antiqua" w:hAnsi="Book Antiqua"/>
          <w:lang w:val="es-ES_tradnl"/>
        </w:rPr>
        <w:t>ijos de las</w:t>
      </w:r>
      <w:r w:rsidRPr="00764D38">
        <w:rPr>
          <w:rFonts w:ascii="Book Antiqua" w:hAnsi="Book Antiqua"/>
          <w:lang w:val="es-ES_tradnl"/>
        </w:rPr>
        <w:t xml:space="preserve"> </w:t>
      </w:r>
      <w:r w:rsidR="00AA1487">
        <w:rPr>
          <w:rFonts w:ascii="Book Antiqua" w:hAnsi="Book Antiqua"/>
          <w:lang w:val="es-ES_tradnl"/>
        </w:rPr>
        <w:t>V</w:t>
      </w:r>
      <w:r w:rsidRPr="00764D38">
        <w:rPr>
          <w:rFonts w:ascii="Book Antiqua" w:hAnsi="Book Antiqua"/>
          <w:lang w:val="es-ES_tradnl"/>
        </w:rPr>
        <w:t xml:space="preserve">íctimas de </w:t>
      </w:r>
      <w:r w:rsidR="00AA1487">
        <w:rPr>
          <w:rFonts w:ascii="Book Antiqua" w:hAnsi="Book Antiqua"/>
          <w:lang w:val="es-ES_tradnl"/>
        </w:rPr>
        <w:t>F</w:t>
      </w:r>
      <w:r w:rsidRPr="00764D38">
        <w:rPr>
          <w:rFonts w:ascii="Book Antiqua" w:hAnsi="Book Antiqua"/>
          <w:lang w:val="es-ES_tradnl"/>
        </w:rPr>
        <w:t>eminicidio”</w:t>
      </w:r>
      <w:r>
        <w:rPr>
          <w:rFonts w:ascii="Book Antiqua" w:hAnsi="Book Antiqua"/>
          <w:lang w:val="es-ES_tradnl"/>
        </w:rPr>
        <w:t xml:space="preserve">; declarar la política pública </w:t>
      </w:r>
      <w:r w:rsidRPr="000B5DFF">
        <w:rPr>
          <w:rFonts w:ascii="Book Antiqua" w:hAnsi="Book Antiqua"/>
          <w:lang w:val="es-ES_tradnl"/>
        </w:rPr>
        <w:t>para la atención, protección, y reparación integral de las víctimas de feminicidio</w:t>
      </w:r>
      <w:r>
        <w:rPr>
          <w:rFonts w:ascii="Book Antiqua" w:hAnsi="Book Antiqua"/>
          <w:lang w:val="es-ES_tradnl"/>
        </w:rPr>
        <w:t>;</w:t>
      </w:r>
      <w:r w:rsidR="00B36870">
        <w:rPr>
          <w:rFonts w:ascii="Book Antiqua" w:hAnsi="Book Antiqua"/>
          <w:lang w:val="es-ES_tradnl"/>
        </w:rPr>
        <w:t xml:space="preserve"> establecer un Fondo Especial de Becas para las </w:t>
      </w:r>
      <w:r w:rsidR="00E60991">
        <w:rPr>
          <w:rFonts w:ascii="Book Antiqua" w:hAnsi="Book Antiqua"/>
          <w:lang w:val="es-ES_tradnl"/>
        </w:rPr>
        <w:t xml:space="preserve">hijas e hijos de las </w:t>
      </w:r>
      <w:r w:rsidR="00B36870">
        <w:rPr>
          <w:rFonts w:ascii="Book Antiqua" w:hAnsi="Book Antiqua"/>
          <w:lang w:val="es-ES_tradnl"/>
        </w:rPr>
        <w:t>víctimas de feminicidio; añadir un nuevo inciso (f) al Artículo 3 y reenumerar los subsiguientes</w:t>
      </w:r>
      <w:r w:rsidR="00DB53C3">
        <w:rPr>
          <w:rFonts w:ascii="Book Antiqua" w:hAnsi="Book Antiqua"/>
          <w:lang w:val="es-ES_tradnl"/>
        </w:rPr>
        <w:t xml:space="preserve"> y</w:t>
      </w:r>
      <w:r w:rsidR="00B36870">
        <w:rPr>
          <w:rFonts w:ascii="Book Antiqua" w:hAnsi="Book Antiqua"/>
          <w:lang w:val="es-ES_tradnl"/>
        </w:rPr>
        <w:t xml:space="preserve"> añadir un nuevo Artículo 10</w:t>
      </w:r>
      <w:r w:rsidR="00DB53C3">
        <w:rPr>
          <w:rFonts w:ascii="Book Antiqua" w:hAnsi="Book Antiqua"/>
          <w:lang w:val="es-ES_tradnl"/>
        </w:rPr>
        <w:t xml:space="preserve"> a la Ley 183 de 29 de Julio de 1998, según enmendada, conocida como “Ley de Compensación y Servicios a las Víctimas y Testigos de Delito”, con el fin de ofrecer una pensión mensual en beneficio de l</w:t>
      </w:r>
      <w:r w:rsidR="00E60991">
        <w:rPr>
          <w:rFonts w:ascii="Book Antiqua" w:hAnsi="Book Antiqua"/>
          <w:lang w:val="es-ES_tradnl"/>
        </w:rPr>
        <w:t>a</w:t>
      </w:r>
      <w:r w:rsidR="00DB53C3">
        <w:rPr>
          <w:rFonts w:ascii="Book Antiqua" w:hAnsi="Book Antiqua"/>
          <w:lang w:val="es-ES_tradnl"/>
        </w:rPr>
        <w:t>s hij</w:t>
      </w:r>
      <w:r w:rsidR="00E60991">
        <w:rPr>
          <w:rFonts w:ascii="Book Antiqua" w:hAnsi="Book Antiqua"/>
          <w:lang w:val="es-ES_tradnl"/>
        </w:rPr>
        <w:t>a</w:t>
      </w:r>
      <w:r w:rsidR="00DB53C3">
        <w:rPr>
          <w:rFonts w:ascii="Book Antiqua" w:hAnsi="Book Antiqua"/>
          <w:lang w:val="es-ES_tradnl"/>
        </w:rPr>
        <w:t>s e hij</w:t>
      </w:r>
      <w:r w:rsidR="00E60991">
        <w:rPr>
          <w:rFonts w:ascii="Book Antiqua" w:hAnsi="Book Antiqua"/>
          <w:lang w:val="es-ES_tradnl"/>
        </w:rPr>
        <w:t>o</w:t>
      </w:r>
      <w:r w:rsidR="00DB53C3">
        <w:rPr>
          <w:rFonts w:ascii="Book Antiqua" w:hAnsi="Book Antiqua"/>
          <w:lang w:val="es-ES_tradnl"/>
        </w:rPr>
        <w:t xml:space="preserve">s de las víctimas de feminicidio; </w:t>
      </w:r>
      <w:r w:rsidR="00B36870">
        <w:rPr>
          <w:rFonts w:ascii="Book Antiqua" w:hAnsi="Book Antiqua"/>
          <w:lang w:val="es-ES_tradnl"/>
        </w:rPr>
        <w:t>y para otros fines relacionados</w:t>
      </w:r>
      <w:r w:rsidR="00DB53C3">
        <w:rPr>
          <w:rFonts w:ascii="Book Antiqua" w:hAnsi="Book Antiqua"/>
          <w:lang w:val="es-ES_tradnl"/>
        </w:rPr>
        <w:t>.</w:t>
      </w:r>
    </w:p>
    <w:p w14:paraId="579A59EF" w14:textId="646E7648" w:rsidR="009F0EBF" w:rsidRDefault="009F0EBF" w:rsidP="00C2504D">
      <w:pPr>
        <w:jc w:val="both"/>
        <w:rPr>
          <w:rFonts w:ascii="Book Antiqua" w:hAnsi="Book Antiqua"/>
          <w:lang w:val="es-ES_tradnl"/>
        </w:rPr>
      </w:pPr>
    </w:p>
    <w:p w14:paraId="5778F9E5" w14:textId="77777777" w:rsidR="009F0EBF" w:rsidRDefault="009F0EBF" w:rsidP="00C2504D">
      <w:pPr>
        <w:ind w:firstLine="360"/>
        <w:jc w:val="center"/>
        <w:rPr>
          <w:rFonts w:ascii="Book Antiqua" w:hAnsi="Book Antiqua"/>
          <w:lang w:val="es-ES_tradnl"/>
        </w:rPr>
      </w:pPr>
      <w:r>
        <w:rPr>
          <w:rFonts w:ascii="Book Antiqua" w:hAnsi="Book Antiqua"/>
          <w:lang w:val="es-ES_tradnl"/>
        </w:rPr>
        <w:t>EXPOSICIÓN DE MOTIVOS</w:t>
      </w:r>
    </w:p>
    <w:p w14:paraId="673CBFB9" w14:textId="77777777" w:rsidR="00C2504D" w:rsidRDefault="00C2504D" w:rsidP="00C2504D">
      <w:pPr>
        <w:ind w:firstLine="360"/>
        <w:jc w:val="center"/>
        <w:rPr>
          <w:rFonts w:ascii="Book Antiqua" w:hAnsi="Book Antiqua"/>
          <w:lang w:val="es-ES_tradnl"/>
        </w:rPr>
      </w:pPr>
    </w:p>
    <w:p w14:paraId="6C52E664" w14:textId="477B7DAF" w:rsidR="00CD5B91" w:rsidRDefault="009F0EBF" w:rsidP="00C2504D">
      <w:pPr>
        <w:ind w:firstLine="360"/>
        <w:jc w:val="both"/>
        <w:rPr>
          <w:rFonts w:ascii="Book Antiqua" w:hAnsi="Book Antiqua"/>
          <w:lang w:val="es-ES_tradnl"/>
        </w:rPr>
      </w:pPr>
      <w:r>
        <w:rPr>
          <w:rFonts w:ascii="Book Antiqua" w:hAnsi="Book Antiqua"/>
          <w:lang w:val="es-ES_tradnl"/>
        </w:rPr>
        <w:t xml:space="preserve">Puerto Rico se encuentra bajo una declaración de emergencia por violencia de género desde enero del 2021, recientemente extendida hasta el 31 de diciembre de 2023. Dicha declaración de emergencia responde al alarmante aumento de casos de violencia de género y feminicidios en nuestro país, al reconocimiento de la violencia de género como un mal social </w:t>
      </w:r>
      <w:r w:rsidR="00A11296">
        <w:rPr>
          <w:rFonts w:ascii="Book Antiqua" w:hAnsi="Book Antiqua"/>
          <w:lang w:val="es-ES_tradnl"/>
        </w:rPr>
        <w:t xml:space="preserve">y del </w:t>
      </w:r>
      <w:r>
        <w:rPr>
          <w:rFonts w:ascii="Book Antiqua" w:hAnsi="Book Antiqua"/>
          <w:lang w:val="es-ES_tradnl"/>
        </w:rPr>
        <w:t xml:space="preserve">Gobierno </w:t>
      </w:r>
      <w:r w:rsidR="00A11296">
        <w:rPr>
          <w:rFonts w:ascii="Book Antiqua" w:hAnsi="Book Antiqua"/>
          <w:lang w:val="es-ES_tradnl"/>
        </w:rPr>
        <w:t>como uno de los principales responsables de atenderlo de</w:t>
      </w:r>
      <w:r>
        <w:rPr>
          <w:rFonts w:ascii="Book Antiqua" w:hAnsi="Book Antiqua"/>
          <w:lang w:val="es-ES_tradnl"/>
        </w:rPr>
        <w:t xml:space="preserve"> una forma integrada</w:t>
      </w:r>
      <w:r w:rsidR="00CD5B91">
        <w:rPr>
          <w:rFonts w:ascii="Book Antiqua" w:hAnsi="Book Antiqua"/>
          <w:lang w:val="es-ES_tradnl"/>
        </w:rPr>
        <w:t xml:space="preserve"> con el fin de erradicarlo.</w:t>
      </w:r>
    </w:p>
    <w:p w14:paraId="683611D0" w14:textId="77777777" w:rsidR="00C2504D" w:rsidRDefault="00C2504D" w:rsidP="00C2504D">
      <w:pPr>
        <w:ind w:firstLine="360"/>
        <w:jc w:val="both"/>
        <w:rPr>
          <w:rFonts w:ascii="Book Antiqua" w:hAnsi="Book Antiqua"/>
          <w:lang w:val="es-ES_tradnl"/>
        </w:rPr>
      </w:pPr>
    </w:p>
    <w:p w14:paraId="162EC974" w14:textId="5E92F88B" w:rsidR="006475E2" w:rsidRDefault="006475E2" w:rsidP="00C2504D">
      <w:pPr>
        <w:ind w:firstLine="360"/>
        <w:jc w:val="both"/>
        <w:rPr>
          <w:rFonts w:ascii="Book Antiqua" w:hAnsi="Book Antiqua"/>
          <w:lang w:val="es-ES_tradnl"/>
        </w:rPr>
      </w:pPr>
      <w:r w:rsidRPr="006475E2">
        <w:rPr>
          <w:rFonts w:ascii="Book Antiqua" w:hAnsi="Book Antiqua"/>
          <w:lang w:val="es-ES_tradnl"/>
        </w:rPr>
        <w:t xml:space="preserve">Según datos recopilados por las organizaciones no gubernamentales Kilómetro 0, Proyecto Matria y el Observatorio de Equidad de Género, desde que el huracán María azotó la isla el 20 de septiembre de 2017 hasta datos recopilados al 2021, 71 mujeres fueron sido asesinadas por sus parejas o exparejas. Como consecuencia, en ese mismo periodo, al menos 55 menores quedaron huérfanos de madre, de acuerdo con cálculos del Centro de Periodismo Investigativo y el medio digital Todas.  </w:t>
      </w:r>
    </w:p>
    <w:p w14:paraId="0D7D1557" w14:textId="77777777" w:rsidR="006475E2" w:rsidRDefault="006475E2" w:rsidP="00C2504D">
      <w:pPr>
        <w:ind w:firstLine="360"/>
        <w:jc w:val="both"/>
        <w:rPr>
          <w:rFonts w:ascii="Book Antiqua" w:hAnsi="Book Antiqua"/>
          <w:lang w:val="es-ES_tradnl"/>
        </w:rPr>
      </w:pPr>
      <w:r>
        <w:rPr>
          <w:rFonts w:ascii="Book Antiqua" w:hAnsi="Book Antiqua"/>
          <w:lang w:val="es-ES_tradnl"/>
        </w:rPr>
        <w:lastRenderedPageBreak/>
        <w:t>A pesar de esfuerzos recientes, por parte del Instituto de Estadísticas de Puerto Rico, en colaboración con el comité PARE (</w:t>
      </w:r>
      <w:r w:rsidRPr="00E026A5">
        <w:rPr>
          <w:rFonts w:ascii="Book Antiqua" w:hAnsi="Book Antiqua"/>
          <w:lang w:val="es-ES_tradnl"/>
        </w:rPr>
        <w:t>Comité contra la violencia de género, Prevención, Apoyo, Rescate y Educación</w:t>
      </w:r>
      <w:r>
        <w:rPr>
          <w:rFonts w:ascii="Book Antiqua" w:hAnsi="Book Antiqua"/>
          <w:lang w:val="es-ES_tradnl"/>
        </w:rPr>
        <w:t xml:space="preserve">), en Puerto Rico, no hay estadísticas oficiales confiables de los asesinatos de mujeres, y mucho menos cifras que reflejen de forma precisa el impacto de la violencia de género en las familias sobrevivientes. </w:t>
      </w:r>
    </w:p>
    <w:p w14:paraId="0ED71680" w14:textId="77777777" w:rsidR="00C2504D" w:rsidRDefault="00C2504D" w:rsidP="00C2504D">
      <w:pPr>
        <w:ind w:firstLine="360"/>
        <w:jc w:val="both"/>
        <w:rPr>
          <w:rFonts w:ascii="Book Antiqua" w:hAnsi="Book Antiqua"/>
          <w:lang w:val="es-ES_tradnl"/>
        </w:rPr>
      </w:pPr>
    </w:p>
    <w:p w14:paraId="63102C0E" w14:textId="66BCCA1D" w:rsidR="006475E2" w:rsidRDefault="000B4BF2" w:rsidP="00C2504D">
      <w:pPr>
        <w:ind w:firstLine="360"/>
        <w:jc w:val="both"/>
        <w:rPr>
          <w:rFonts w:ascii="Book Antiqua" w:hAnsi="Book Antiqua"/>
          <w:lang w:val="es-ES_tradnl"/>
        </w:rPr>
      </w:pPr>
      <w:r>
        <w:rPr>
          <w:rFonts w:ascii="Book Antiqua" w:hAnsi="Book Antiqua"/>
          <w:lang w:val="es-ES_tradnl"/>
        </w:rPr>
        <w:t>Todas las muertes, particularmente las violentas, producen un gran impacto social y emocional en la familia de la víctima</w:t>
      </w:r>
      <w:r w:rsidR="007A5089">
        <w:rPr>
          <w:rFonts w:ascii="Book Antiqua" w:hAnsi="Book Antiqua"/>
          <w:lang w:val="es-ES_tradnl"/>
        </w:rPr>
        <w:t xml:space="preserve">. Cuando se trata de feminicidios, este efecto es aún mayor, sobre todo para las hijas e hijos de la víctima, quienes tienen que </w:t>
      </w:r>
      <w:r w:rsidR="00A53881">
        <w:rPr>
          <w:rFonts w:ascii="Book Antiqua" w:hAnsi="Book Antiqua"/>
          <w:lang w:val="es-ES_tradnl"/>
        </w:rPr>
        <w:t xml:space="preserve">enfrentarse a la pérdida de la madre y, en la mayoría de los casos, al hecho de que sea una figura paternal quien le haya quitado la vida. </w:t>
      </w:r>
      <w:r w:rsidR="007A5089" w:rsidRPr="007A5089">
        <w:rPr>
          <w:rFonts w:ascii="Book Antiqua" w:hAnsi="Book Antiqua"/>
          <w:lang w:val="es-ES_tradnl"/>
        </w:rPr>
        <w:t xml:space="preserve">Muchos de esos menores sobrevivientes de feminicidios quedan bajo la custodia de algún familiar, en la mayor parte de las ocasiones de sus abuelas y abuelos, quienes se enfrentan al reto de volver a criar, lidiando con el trauma de sus nietos, además de su propia pérdida, con muy poco apoyo del Gobierno.  </w:t>
      </w:r>
      <w:r w:rsidR="00A53881">
        <w:rPr>
          <w:rFonts w:ascii="Book Antiqua" w:hAnsi="Book Antiqua"/>
          <w:lang w:val="es-ES_tradnl"/>
        </w:rPr>
        <w:t>De esta manera, el núcleo familiar de las víctimas de feminicidio, en especial las hijas e hijos, se convierte</w:t>
      </w:r>
      <w:r w:rsidR="002105A0">
        <w:rPr>
          <w:rFonts w:ascii="Book Antiqua" w:hAnsi="Book Antiqua"/>
          <w:lang w:val="es-ES_tradnl"/>
        </w:rPr>
        <w:t>n</w:t>
      </w:r>
      <w:r w:rsidR="00A53881">
        <w:rPr>
          <w:rFonts w:ascii="Book Antiqua" w:hAnsi="Book Antiqua"/>
          <w:lang w:val="es-ES_tradnl"/>
        </w:rPr>
        <w:t xml:space="preserve"> en víctimas colaterales. </w:t>
      </w:r>
    </w:p>
    <w:p w14:paraId="32F3AF87" w14:textId="77777777" w:rsidR="00C2504D" w:rsidRDefault="00C2504D" w:rsidP="00C2504D">
      <w:pPr>
        <w:ind w:firstLine="360"/>
        <w:jc w:val="both"/>
        <w:rPr>
          <w:rFonts w:ascii="Book Antiqua" w:hAnsi="Book Antiqua"/>
          <w:lang w:val="es-ES_tradnl"/>
        </w:rPr>
      </w:pPr>
    </w:p>
    <w:p w14:paraId="5720BC77" w14:textId="2F55A781" w:rsidR="00DF3D2E" w:rsidRDefault="009F0EBF" w:rsidP="00C2504D">
      <w:pPr>
        <w:ind w:firstLine="360"/>
        <w:jc w:val="both"/>
        <w:rPr>
          <w:rFonts w:ascii="Book Antiqua" w:hAnsi="Book Antiqua"/>
          <w:lang w:val="es-ES_tradnl"/>
        </w:rPr>
      </w:pPr>
      <w:r w:rsidRPr="00BD1A23">
        <w:rPr>
          <w:rFonts w:ascii="Book Antiqua" w:hAnsi="Book Antiqua"/>
          <w:lang w:val="es-ES_tradnl"/>
        </w:rPr>
        <w:t>En Puerto Rico, la Carta de Derecho de las Víctimas y Testigos del Delito, de 1988</w:t>
      </w:r>
      <w:r w:rsidR="002926EE">
        <w:rPr>
          <w:rFonts w:ascii="Book Antiqua" w:hAnsi="Book Antiqua"/>
          <w:lang w:val="es-ES_tradnl"/>
        </w:rPr>
        <w:t xml:space="preserve">, </w:t>
      </w:r>
      <w:r w:rsidRPr="00BD1A23">
        <w:rPr>
          <w:rFonts w:ascii="Book Antiqua" w:hAnsi="Book Antiqua"/>
          <w:lang w:val="es-ES_tradnl"/>
        </w:rPr>
        <w:t>establece que toda víctima debe recibir un trato digno y compasivo por parte de todos los funcionarios que representen las agencias que integran el sistema de justicia criminal durante las etapas de investigación, procesamiento y sentencia.</w:t>
      </w:r>
      <w:r w:rsidR="002926EE">
        <w:rPr>
          <w:rFonts w:ascii="Book Antiqua" w:hAnsi="Book Antiqua"/>
          <w:lang w:val="es-ES_tradnl"/>
        </w:rPr>
        <w:t xml:space="preserve"> </w:t>
      </w:r>
      <w:r w:rsidR="00F4251D">
        <w:rPr>
          <w:rFonts w:ascii="Book Antiqua" w:hAnsi="Book Antiqua"/>
          <w:lang w:val="es-ES_tradnl"/>
        </w:rPr>
        <w:t>Por otro lado</w:t>
      </w:r>
      <w:r w:rsidRPr="00BD1A23">
        <w:rPr>
          <w:rFonts w:ascii="Book Antiqua" w:hAnsi="Book Antiqua"/>
          <w:lang w:val="es-ES_tradnl"/>
        </w:rPr>
        <w:t xml:space="preserve">, </w:t>
      </w:r>
      <w:r>
        <w:rPr>
          <w:rFonts w:ascii="Book Antiqua" w:hAnsi="Book Antiqua"/>
          <w:lang w:val="es-ES_tradnl"/>
        </w:rPr>
        <w:t>la Ley 183 de 29 de julio de 1998, según enmendada,</w:t>
      </w:r>
      <w:r w:rsidRPr="00BD1A23">
        <w:rPr>
          <w:rFonts w:ascii="Book Antiqua" w:hAnsi="Book Antiqua"/>
          <w:lang w:val="es-ES_tradnl"/>
        </w:rPr>
        <w:t xml:space="preserve"> </w:t>
      </w:r>
      <w:r w:rsidR="00F4251D">
        <w:rPr>
          <w:rFonts w:ascii="Book Antiqua" w:hAnsi="Book Antiqua"/>
          <w:lang w:val="es-ES_tradnl"/>
        </w:rPr>
        <w:t xml:space="preserve">“Ley de Compensación y Servicios a las Víctimas y Testigos de Delito”, </w:t>
      </w:r>
      <w:r w:rsidRPr="00BD1A23">
        <w:rPr>
          <w:rFonts w:ascii="Book Antiqua" w:hAnsi="Book Antiqua"/>
          <w:lang w:val="es-ES_tradnl"/>
        </w:rPr>
        <w:t>crea la Oficina de Compensación a Víctimas y Testigos del Delito con el propósito de proveer apoyo</w:t>
      </w:r>
      <w:r w:rsidR="00F4251D">
        <w:rPr>
          <w:rFonts w:ascii="Book Antiqua" w:hAnsi="Book Antiqua"/>
          <w:lang w:val="es-ES_tradnl"/>
        </w:rPr>
        <w:t xml:space="preserve"> y asistencia a las víctimas y testigos</w:t>
      </w:r>
      <w:r w:rsidRPr="00BD1A23">
        <w:rPr>
          <w:rFonts w:ascii="Book Antiqua" w:hAnsi="Book Antiqua"/>
          <w:lang w:val="es-ES_tradnl"/>
        </w:rPr>
        <w:t xml:space="preserve"> </w:t>
      </w:r>
      <w:r w:rsidR="00F4251D">
        <w:rPr>
          <w:rFonts w:ascii="Book Antiqua" w:hAnsi="Book Antiqua"/>
          <w:lang w:val="es-ES_tradnl"/>
        </w:rPr>
        <w:t xml:space="preserve">para ayudarles a lidiar con el trauma relacionado con el evento delictivo en el cual involuntariamente se vieron involucrados. </w:t>
      </w:r>
    </w:p>
    <w:p w14:paraId="6B6811B8" w14:textId="77777777" w:rsidR="00C2504D" w:rsidRDefault="00C2504D" w:rsidP="00C2504D">
      <w:pPr>
        <w:ind w:firstLine="360"/>
        <w:jc w:val="both"/>
        <w:rPr>
          <w:rFonts w:ascii="Book Antiqua" w:hAnsi="Book Antiqua"/>
          <w:lang w:val="es-ES_tradnl"/>
        </w:rPr>
      </w:pPr>
    </w:p>
    <w:p w14:paraId="06F81031" w14:textId="1BFF7058" w:rsidR="0013282F" w:rsidRDefault="00850AD3" w:rsidP="00C2504D">
      <w:pPr>
        <w:ind w:firstLine="360"/>
        <w:jc w:val="both"/>
        <w:rPr>
          <w:rFonts w:ascii="Book Antiqua" w:hAnsi="Book Antiqua"/>
          <w:lang w:val="es-ES_tradnl"/>
        </w:rPr>
      </w:pPr>
      <w:r>
        <w:rPr>
          <w:rFonts w:ascii="Book Antiqua" w:hAnsi="Book Antiqua"/>
          <w:lang w:val="es-ES_tradnl"/>
        </w:rPr>
        <w:t xml:space="preserve">Como parte de la política pública del Gobierno de Puerto Rico en priorizar y atender la violencia de género en todas sus manifestaciones, así como de brindarle el apoyo y asistencia necesaria a las víctimas de delito para evitar traumas adicionales, es necesario fortalecer el apoyo y los recursos que se les </w:t>
      </w:r>
      <w:r w:rsidR="00AF476E">
        <w:rPr>
          <w:rFonts w:ascii="Book Antiqua" w:hAnsi="Book Antiqua"/>
          <w:lang w:val="es-ES_tradnl"/>
        </w:rPr>
        <w:t xml:space="preserve">provee. </w:t>
      </w:r>
      <w:r>
        <w:rPr>
          <w:rFonts w:ascii="Book Antiqua" w:hAnsi="Book Antiqua"/>
          <w:lang w:val="es-ES_tradnl"/>
        </w:rPr>
        <w:t>Más allá de un enfoque punitivo en la atención de la emergencia por violencia de género por la que atravesamos, es necesario atender otros aspectos de este tipo de violencia y las repercusiones que tiene sobre las víctimas colaterales, particularmente las hijas e hijos de las víctimas de feminicidio y sus cuidadores.</w:t>
      </w:r>
    </w:p>
    <w:p w14:paraId="5A3803FE" w14:textId="77777777" w:rsidR="00C2504D" w:rsidRDefault="00C2504D" w:rsidP="00C2504D">
      <w:pPr>
        <w:ind w:firstLine="360"/>
        <w:jc w:val="both"/>
        <w:rPr>
          <w:rFonts w:ascii="Book Antiqua" w:hAnsi="Book Antiqua"/>
          <w:lang w:val="es-ES_tradnl"/>
        </w:rPr>
      </w:pPr>
    </w:p>
    <w:p w14:paraId="590E7924" w14:textId="77777777" w:rsidR="009F0EBF" w:rsidRDefault="009F0EBF" w:rsidP="00C2504D">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1B4A49CC" w14:textId="77777777" w:rsidR="009F0EBF" w:rsidRDefault="009F0EBF" w:rsidP="009F0EBF">
      <w:pPr>
        <w:spacing w:line="480" w:lineRule="auto"/>
        <w:jc w:val="both"/>
        <w:rPr>
          <w:rFonts w:ascii="Book Antiqua" w:hAnsi="Book Antiqua"/>
          <w:lang w:val="es-ES_tradnl"/>
        </w:rPr>
        <w:sectPr w:rsidR="009F0EBF">
          <w:headerReference w:type="default" r:id="rId8"/>
          <w:type w:val="continuous"/>
          <w:pgSz w:w="12240" w:h="15840" w:code="1"/>
          <w:pgMar w:top="1440" w:right="1440" w:bottom="1440" w:left="1440" w:header="720" w:footer="720" w:gutter="0"/>
          <w:cols w:space="720"/>
          <w:titlePg/>
        </w:sectPr>
      </w:pPr>
    </w:p>
    <w:p w14:paraId="0BFDEA49" w14:textId="53750FFB" w:rsidR="009F0EBF" w:rsidRDefault="009F0EBF" w:rsidP="009F0EBF">
      <w:pPr>
        <w:spacing w:line="480" w:lineRule="auto"/>
        <w:jc w:val="both"/>
        <w:rPr>
          <w:rFonts w:ascii="Book Antiqua" w:hAnsi="Book Antiqua"/>
          <w:lang w:val="es-ES_tradnl"/>
        </w:rPr>
      </w:pPr>
      <w:r>
        <w:rPr>
          <w:rFonts w:ascii="Book Antiqua" w:hAnsi="Book Antiqua"/>
          <w:lang w:val="es-ES_tradnl"/>
        </w:rPr>
        <w:t>Artículo 1.</w:t>
      </w:r>
      <w:r w:rsidR="00A67C83">
        <w:rPr>
          <w:rFonts w:ascii="Book Antiqua" w:hAnsi="Book Antiqua"/>
          <w:lang w:val="es-ES_tradnl"/>
        </w:rPr>
        <w:t xml:space="preserve"> </w:t>
      </w:r>
      <w:r>
        <w:rPr>
          <w:rFonts w:ascii="Book Antiqua" w:hAnsi="Book Antiqua"/>
          <w:lang w:val="es-ES_tradnl"/>
        </w:rPr>
        <w:t>- Título</w:t>
      </w:r>
    </w:p>
    <w:p w14:paraId="27119776" w14:textId="4EDD57EE" w:rsidR="009F0EBF" w:rsidRDefault="009F0EBF" w:rsidP="009F0EBF">
      <w:pPr>
        <w:spacing w:line="480" w:lineRule="auto"/>
        <w:ind w:firstLine="720"/>
        <w:jc w:val="both"/>
        <w:rPr>
          <w:rFonts w:ascii="Book Antiqua" w:hAnsi="Book Antiqua"/>
          <w:lang w:val="es-ES_tradnl"/>
        </w:rPr>
      </w:pPr>
      <w:r>
        <w:rPr>
          <w:rFonts w:ascii="Book Antiqua" w:hAnsi="Book Antiqua"/>
          <w:lang w:val="es-ES_tradnl"/>
        </w:rPr>
        <w:t xml:space="preserve">Esta Ley se conocerá como “Ley de </w:t>
      </w:r>
      <w:r w:rsidR="00AA1487">
        <w:rPr>
          <w:rFonts w:ascii="Book Antiqua" w:hAnsi="Book Antiqua"/>
          <w:lang w:val="es-ES_tradnl"/>
        </w:rPr>
        <w:t>P</w:t>
      </w:r>
      <w:r>
        <w:rPr>
          <w:rFonts w:ascii="Book Antiqua" w:hAnsi="Book Antiqua"/>
          <w:lang w:val="es-ES_tradnl"/>
        </w:rPr>
        <w:t xml:space="preserve">rotección y </w:t>
      </w:r>
      <w:r w:rsidR="00AA1487">
        <w:rPr>
          <w:rFonts w:ascii="Book Antiqua" w:hAnsi="Book Antiqua"/>
          <w:lang w:val="es-ES_tradnl"/>
        </w:rPr>
        <w:t>R</w:t>
      </w:r>
      <w:r>
        <w:rPr>
          <w:rFonts w:ascii="Book Antiqua" w:hAnsi="Book Antiqua"/>
          <w:lang w:val="es-ES_tradnl"/>
        </w:rPr>
        <w:t xml:space="preserve">eparación en favor de las </w:t>
      </w:r>
      <w:r w:rsidR="00AA1487">
        <w:rPr>
          <w:rFonts w:ascii="Book Antiqua" w:hAnsi="Book Antiqua"/>
          <w:lang w:val="es-ES_tradnl"/>
        </w:rPr>
        <w:t>H</w:t>
      </w:r>
      <w:r w:rsidR="00E60991">
        <w:rPr>
          <w:rFonts w:ascii="Book Antiqua" w:hAnsi="Book Antiqua"/>
          <w:lang w:val="es-ES_tradnl"/>
        </w:rPr>
        <w:t xml:space="preserve">ijas e </w:t>
      </w:r>
      <w:r w:rsidR="00AA1487">
        <w:rPr>
          <w:rFonts w:ascii="Book Antiqua" w:hAnsi="Book Antiqua"/>
          <w:lang w:val="es-ES_tradnl"/>
        </w:rPr>
        <w:t>H</w:t>
      </w:r>
      <w:r w:rsidR="00E60991">
        <w:rPr>
          <w:rFonts w:ascii="Book Antiqua" w:hAnsi="Book Antiqua"/>
          <w:lang w:val="es-ES_tradnl"/>
        </w:rPr>
        <w:t xml:space="preserve">ijos de las </w:t>
      </w:r>
      <w:r w:rsidR="00AA1487">
        <w:rPr>
          <w:rFonts w:ascii="Book Antiqua" w:hAnsi="Book Antiqua"/>
          <w:lang w:val="es-ES_tradnl"/>
        </w:rPr>
        <w:t>V</w:t>
      </w:r>
      <w:r>
        <w:rPr>
          <w:rFonts w:ascii="Book Antiqua" w:hAnsi="Book Antiqua"/>
          <w:lang w:val="es-ES_tradnl"/>
        </w:rPr>
        <w:t xml:space="preserve">íctimas de </w:t>
      </w:r>
      <w:r w:rsidR="00AA1487">
        <w:rPr>
          <w:rFonts w:ascii="Book Antiqua" w:hAnsi="Book Antiqua"/>
          <w:lang w:val="es-ES_tradnl"/>
        </w:rPr>
        <w:t>F</w:t>
      </w:r>
      <w:r>
        <w:rPr>
          <w:rFonts w:ascii="Book Antiqua" w:hAnsi="Book Antiqua"/>
          <w:lang w:val="es-ES_tradnl"/>
        </w:rPr>
        <w:t xml:space="preserve">eminicidio”. </w:t>
      </w:r>
    </w:p>
    <w:p w14:paraId="68EC5265" w14:textId="218F513F" w:rsidR="009F0EBF" w:rsidRDefault="009F0EBF" w:rsidP="009F0EBF">
      <w:pPr>
        <w:spacing w:line="480" w:lineRule="auto"/>
        <w:jc w:val="both"/>
        <w:rPr>
          <w:rFonts w:ascii="Book Antiqua" w:hAnsi="Book Antiqua"/>
          <w:lang w:val="es-ES_tradnl"/>
        </w:rPr>
      </w:pPr>
      <w:r>
        <w:rPr>
          <w:rFonts w:ascii="Book Antiqua" w:hAnsi="Book Antiqua"/>
          <w:lang w:val="es-ES_tradnl"/>
        </w:rPr>
        <w:lastRenderedPageBreak/>
        <w:t>Artículo 2.</w:t>
      </w:r>
      <w:r w:rsidR="00A67C83">
        <w:rPr>
          <w:rFonts w:ascii="Book Antiqua" w:hAnsi="Book Antiqua"/>
          <w:lang w:val="es-ES_tradnl"/>
        </w:rPr>
        <w:t xml:space="preserve"> </w:t>
      </w:r>
      <w:r>
        <w:rPr>
          <w:rFonts w:ascii="Book Antiqua" w:hAnsi="Book Antiqua"/>
          <w:lang w:val="es-ES_tradnl"/>
        </w:rPr>
        <w:t>- Política Pública</w:t>
      </w:r>
    </w:p>
    <w:p w14:paraId="4D21E64D" w14:textId="77777777" w:rsidR="009F0EBF" w:rsidRDefault="009F0EBF" w:rsidP="009F0EBF">
      <w:pPr>
        <w:spacing w:line="480" w:lineRule="auto"/>
        <w:ind w:firstLine="720"/>
        <w:jc w:val="both"/>
        <w:rPr>
          <w:rFonts w:ascii="Book Antiqua" w:hAnsi="Book Antiqua"/>
          <w:lang w:val="es-ES_tradnl"/>
        </w:rPr>
      </w:pPr>
      <w:r>
        <w:rPr>
          <w:rFonts w:ascii="Book Antiqua" w:hAnsi="Book Antiqua"/>
          <w:lang w:val="es-ES_tradnl"/>
        </w:rPr>
        <w:t xml:space="preserve">La presente Ley, tiene como propósito el fortalecimiento de aquellas acciones efectivas y necesarias para la atención, protección, y reparación integral de las víctimas de feminicidio. Es deber del Gobierno adoptar las medidas conducentes para garantizar la vida, integridad personal y seguridad de los miembros de la familia. </w:t>
      </w:r>
    </w:p>
    <w:p w14:paraId="271304BC" w14:textId="58CD37BF" w:rsidR="009F0EBF" w:rsidRDefault="009F0EBF" w:rsidP="009F0EBF">
      <w:pPr>
        <w:spacing w:line="480" w:lineRule="auto"/>
        <w:jc w:val="both"/>
        <w:rPr>
          <w:rFonts w:ascii="Book Antiqua" w:hAnsi="Book Antiqua"/>
          <w:lang w:val="es-ES_tradnl"/>
        </w:rPr>
      </w:pPr>
      <w:r>
        <w:rPr>
          <w:rFonts w:ascii="Book Antiqua" w:hAnsi="Book Antiqua"/>
          <w:lang w:val="es-ES_tradnl"/>
        </w:rPr>
        <w:t xml:space="preserve">Artículo </w:t>
      </w:r>
      <w:r w:rsidR="004F6814">
        <w:rPr>
          <w:rFonts w:ascii="Book Antiqua" w:hAnsi="Book Antiqua"/>
          <w:lang w:val="es-ES_tradnl"/>
        </w:rPr>
        <w:t>3</w:t>
      </w:r>
      <w:r>
        <w:rPr>
          <w:rFonts w:ascii="Book Antiqua" w:hAnsi="Book Antiqua"/>
          <w:lang w:val="es-ES_tradnl"/>
        </w:rPr>
        <w:t>.</w:t>
      </w:r>
      <w:r w:rsidR="00A67C83">
        <w:rPr>
          <w:rFonts w:ascii="Book Antiqua" w:hAnsi="Book Antiqua"/>
          <w:lang w:val="es-ES_tradnl"/>
        </w:rPr>
        <w:t xml:space="preserve"> </w:t>
      </w:r>
      <w:r>
        <w:rPr>
          <w:rFonts w:ascii="Book Antiqua" w:hAnsi="Book Antiqua"/>
          <w:lang w:val="es-ES_tradnl"/>
        </w:rPr>
        <w:t>-</w:t>
      </w:r>
      <w:r w:rsidR="00A67C83">
        <w:rPr>
          <w:rFonts w:ascii="Book Antiqua" w:hAnsi="Book Antiqua"/>
          <w:lang w:val="es-ES_tradnl"/>
        </w:rPr>
        <w:t xml:space="preserve"> </w:t>
      </w:r>
      <w:r>
        <w:rPr>
          <w:rFonts w:ascii="Book Antiqua" w:hAnsi="Book Antiqua"/>
          <w:lang w:val="es-ES_tradnl"/>
        </w:rPr>
        <w:t>Fondo</w:t>
      </w:r>
      <w:r w:rsidR="00AA1487">
        <w:rPr>
          <w:rFonts w:ascii="Book Antiqua" w:hAnsi="Book Antiqua"/>
          <w:lang w:val="es-ES_tradnl"/>
        </w:rPr>
        <w:t xml:space="preserve"> </w:t>
      </w:r>
      <w:r>
        <w:rPr>
          <w:rFonts w:ascii="Book Antiqua" w:hAnsi="Book Antiqua"/>
          <w:lang w:val="es-ES_tradnl"/>
        </w:rPr>
        <w:t>Especial de Becas</w:t>
      </w:r>
      <w:r w:rsidR="00A94E02">
        <w:rPr>
          <w:rFonts w:ascii="Book Antiqua" w:hAnsi="Book Antiqua"/>
          <w:lang w:val="es-ES_tradnl"/>
        </w:rPr>
        <w:t xml:space="preserve"> para </w:t>
      </w:r>
      <w:r w:rsidR="00A94E02" w:rsidRPr="00A94E02">
        <w:rPr>
          <w:rFonts w:ascii="Book Antiqua" w:hAnsi="Book Antiqua"/>
          <w:lang w:val="es-ES_tradnl"/>
        </w:rPr>
        <w:t xml:space="preserve">las </w:t>
      </w:r>
      <w:r w:rsidR="00E60991">
        <w:rPr>
          <w:rFonts w:ascii="Book Antiqua" w:hAnsi="Book Antiqua"/>
          <w:lang w:val="es-ES_tradnl"/>
        </w:rPr>
        <w:t xml:space="preserve">hijas e hijos </w:t>
      </w:r>
      <w:r w:rsidR="00A94E02" w:rsidRPr="00A94E02">
        <w:rPr>
          <w:rFonts w:ascii="Book Antiqua" w:hAnsi="Book Antiqua"/>
          <w:lang w:val="es-ES_tradnl"/>
        </w:rPr>
        <w:t>de las víctimas de feminicidio</w:t>
      </w:r>
    </w:p>
    <w:p w14:paraId="1FA95C04" w14:textId="6CCA91E4" w:rsidR="009F0EBF" w:rsidRDefault="009F0EBF" w:rsidP="004F6814">
      <w:pPr>
        <w:spacing w:line="480" w:lineRule="auto"/>
        <w:ind w:firstLine="720"/>
        <w:jc w:val="both"/>
        <w:rPr>
          <w:rFonts w:ascii="Book Antiqua" w:hAnsi="Book Antiqua"/>
          <w:lang w:val="es-ES_tradnl"/>
        </w:rPr>
      </w:pPr>
      <w:r>
        <w:rPr>
          <w:rFonts w:ascii="Book Antiqua" w:hAnsi="Book Antiqua"/>
          <w:lang w:val="es-ES_tradnl"/>
        </w:rPr>
        <w:t xml:space="preserve">Se crea en los libros del Departamento de Hacienda, como un fondo especial, no sujeto a año fiscal determinado, distinto y separado de todo otro dinero o fondos del Gobierno del Estado Libre Asociado de Puerto Rico, el </w:t>
      </w:r>
      <w:bookmarkStart w:id="0" w:name="_Hlk146012354"/>
      <w:r>
        <w:rPr>
          <w:rFonts w:ascii="Book Antiqua" w:hAnsi="Book Antiqua"/>
          <w:lang w:val="es-ES_tradnl"/>
        </w:rPr>
        <w:t>“Fondo de Becas para</w:t>
      </w:r>
      <w:r w:rsidR="002926EE">
        <w:rPr>
          <w:rFonts w:ascii="Book Antiqua" w:hAnsi="Book Antiqua"/>
          <w:lang w:val="es-ES_tradnl"/>
        </w:rPr>
        <w:t xml:space="preserve"> </w:t>
      </w:r>
      <w:r w:rsidR="00E60991">
        <w:rPr>
          <w:rFonts w:ascii="Book Antiqua" w:hAnsi="Book Antiqua"/>
          <w:lang w:val="es-ES_tradnl"/>
        </w:rPr>
        <w:t>las hijas e</w:t>
      </w:r>
      <w:r w:rsidR="002926EE">
        <w:rPr>
          <w:rFonts w:ascii="Book Antiqua" w:hAnsi="Book Antiqua"/>
          <w:lang w:val="es-ES_tradnl"/>
        </w:rPr>
        <w:t xml:space="preserve"> hijos </w:t>
      </w:r>
      <w:r>
        <w:rPr>
          <w:rFonts w:ascii="Book Antiqua" w:hAnsi="Book Antiqua"/>
          <w:lang w:val="es-ES_tradnl"/>
        </w:rPr>
        <w:t xml:space="preserve">de </w:t>
      </w:r>
      <w:r w:rsidR="009E0F0C">
        <w:rPr>
          <w:rFonts w:ascii="Book Antiqua" w:hAnsi="Book Antiqua"/>
          <w:lang w:val="es-ES_tradnl"/>
        </w:rPr>
        <w:t xml:space="preserve">las </w:t>
      </w:r>
      <w:r>
        <w:rPr>
          <w:rFonts w:ascii="Book Antiqua" w:hAnsi="Book Antiqua"/>
          <w:lang w:val="es-ES_tradnl"/>
        </w:rPr>
        <w:t>víctimas de feminicidio”</w:t>
      </w:r>
      <w:bookmarkEnd w:id="0"/>
      <w:r>
        <w:rPr>
          <w:rFonts w:ascii="Book Antiqua" w:hAnsi="Book Antiqua"/>
          <w:lang w:val="es-ES_tradnl"/>
        </w:rPr>
        <w:t xml:space="preserve">, en adelante “Fondo”. </w:t>
      </w:r>
    </w:p>
    <w:p w14:paraId="3F3BD660" w14:textId="77777777" w:rsidR="009F0EBF" w:rsidRDefault="009F0EBF" w:rsidP="002926EE">
      <w:pPr>
        <w:spacing w:line="480" w:lineRule="auto"/>
        <w:ind w:firstLine="720"/>
        <w:jc w:val="both"/>
        <w:rPr>
          <w:rFonts w:ascii="Book Antiqua" w:hAnsi="Book Antiqua"/>
          <w:lang w:val="es-ES_tradnl"/>
        </w:rPr>
      </w:pPr>
      <w:r>
        <w:rPr>
          <w:rFonts w:ascii="Book Antiqua" w:hAnsi="Book Antiqua"/>
          <w:lang w:val="es-ES_tradnl"/>
        </w:rPr>
        <w:t>El Fondo será utilizado exclusivamente para conceder becas de estudio a los hijos e hijas de víctimas de feminicidio y se nutrirá de:</w:t>
      </w:r>
    </w:p>
    <w:p w14:paraId="759C014E" w14:textId="77777777" w:rsidR="009F0EBF" w:rsidRDefault="009F0EBF" w:rsidP="009F0EBF">
      <w:pPr>
        <w:pStyle w:val="ListParagraph"/>
        <w:numPr>
          <w:ilvl w:val="0"/>
          <w:numId w:val="1"/>
        </w:numPr>
        <w:spacing w:line="480" w:lineRule="auto"/>
        <w:jc w:val="both"/>
        <w:rPr>
          <w:rFonts w:ascii="Book Antiqua" w:hAnsi="Book Antiqua"/>
          <w:lang w:val="es-ES_tradnl"/>
        </w:rPr>
      </w:pPr>
      <w:r>
        <w:rPr>
          <w:rFonts w:ascii="Book Antiqua" w:hAnsi="Book Antiqua"/>
          <w:lang w:val="es-ES_tradnl"/>
        </w:rPr>
        <w:t>Dinero que se done, traspase o sea cedido por cualquier persona o entidad privada o gubernamental federal, local o municipal.</w:t>
      </w:r>
    </w:p>
    <w:p w14:paraId="7CEB04C5" w14:textId="77777777" w:rsidR="009F0EBF" w:rsidRDefault="009F0EBF" w:rsidP="009F0EBF">
      <w:pPr>
        <w:pStyle w:val="ListParagraph"/>
        <w:numPr>
          <w:ilvl w:val="0"/>
          <w:numId w:val="1"/>
        </w:numPr>
        <w:spacing w:line="480" w:lineRule="auto"/>
        <w:jc w:val="both"/>
        <w:rPr>
          <w:rFonts w:ascii="Book Antiqua" w:hAnsi="Book Antiqua"/>
          <w:lang w:val="es-ES_tradnl"/>
        </w:rPr>
      </w:pPr>
      <w:r>
        <w:rPr>
          <w:rFonts w:ascii="Book Antiqua" w:hAnsi="Book Antiqua"/>
          <w:lang w:val="es-ES_tradnl"/>
        </w:rPr>
        <w:t xml:space="preserve">Las asignaciones que destine la Asamblea Legislativa al Fondo aquí creado. </w:t>
      </w:r>
    </w:p>
    <w:p w14:paraId="3CE4864C" w14:textId="6711809A" w:rsidR="00A94E02" w:rsidRDefault="00A94E02" w:rsidP="00A94E02">
      <w:pPr>
        <w:spacing w:line="480" w:lineRule="auto"/>
        <w:jc w:val="both"/>
        <w:rPr>
          <w:rFonts w:ascii="Book Antiqua" w:hAnsi="Book Antiqua"/>
          <w:lang w:val="es-ES_tradnl"/>
        </w:rPr>
      </w:pPr>
      <w:r>
        <w:rPr>
          <w:rFonts w:ascii="Book Antiqua" w:hAnsi="Book Antiqua"/>
          <w:lang w:val="es-ES_tradnl"/>
        </w:rPr>
        <w:t xml:space="preserve">Artículo </w:t>
      </w:r>
      <w:r w:rsidR="00251D7C">
        <w:rPr>
          <w:rFonts w:ascii="Book Antiqua" w:hAnsi="Book Antiqua"/>
          <w:lang w:val="es-ES_tradnl"/>
        </w:rPr>
        <w:t>4</w:t>
      </w:r>
      <w:r>
        <w:rPr>
          <w:rFonts w:ascii="Book Antiqua" w:hAnsi="Book Antiqua"/>
          <w:lang w:val="es-ES_tradnl"/>
        </w:rPr>
        <w:t>.</w:t>
      </w:r>
      <w:r w:rsidR="00A67C83">
        <w:rPr>
          <w:rFonts w:ascii="Book Antiqua" w:hAnsi="Book Antiqua"/>
          <w:lang w:val="es-ES_tradnl"/>
        </w:rPr>
        <w:t xml:space="preserve"> </w:t>
      </w:r>
      <w:r>
        <w:rPr>
          <w:rFonts w:ascii="Book Antiqua" w:hAnsi="Book Antiqua"/>
          <w:lang w:val="es-ES_tradnl"/>
        </w:rPr>
        <w:t>- Reglamentación que regirá la Beca</w:t>
      </w:r>
    </w:p>
    <w:p w14:paraId="0C436E5A" w14:textId="77855B94" w:rsidR="00A94E02" w:rsidRDefault="00A94E02" w:rsidP="00A94E02">
      <w:pPr>
        <w:spacing w:line="480" w:lineRule="auto"/>
        <w:jc w:val="both"/>
        <w:rPr>
          <w:rFonts w:ascii="Book Antiqua" w:hAnsi="Book Antiqua"/>
          <w:lang w:val="es-ES_tradnl"/>
        </w:rPr>
      </w:pPr>
      <w:r>
        <w:rPr>
          <w:rFonts w:ascii="Book Antiqua" w:hAnsi="Book Antiqua"/>
          <w:lang w:val="es-ES_tradnl"/>
        </w:rPr>
        <w:tab/>
        <w:t xml:space="preserve">El Departamento de la Familia, a través de su Secretaria, administrará el Fondo y establecerá mediante reglamentación, </w:t>
      </w:r>
      <w:r w:rsidR="002926EE">
        <w:rPr>
          <w:rFonts w:ascii="Book Antiqua" w:hAnsi="Book Antiqua"/>
          <w:lang w:val="es-ES_tradnl"/>
        </w:rPr>
        <w:t xml:space="preserve">en conformidad con la </w:t>
      </w:r>
      <w:r w:rsidR="002926EE" w:rsidRPr="002926EE">
        <w:rPr>
          <w:rFonts w:ascii="Book Antiqua" w:hAnsi="Book Antiqua"/>
          <w:lang w:val="es-ES_tradnl"/>
        </w:rPr>
        <w:t>Ley 38-2017, “Ley de Procedimiento Administrativo Uniforme del Gobierno de Puerto Rico”</w:t>
      </w:r>
      <w:r w:rsidR="002926EE">
        <w:rPr>
          <w:rFonts w:ascii="Book Antiqua" w:hAnsi="Book Antiqua"/>
          <w:lang w:val="es-ES_tradnl"/>
        </w:rPr>
        <w:t>, según enmendada,</w:t>
      </w:r>
      <w:r w:rsidR="002926EE" w:rsidRPr="002926EE">
        <w:rPr>
          <w:rFonts w:ascii="Book Antiqua" w:hAnsi="Book Antiqua"/>
          <w:lang w:val="es-ES_tradnl"/>
        </w:rPr>
        <w:t xml:space="preserve"> </w:t>
      </w:r>
      <w:r>
        <w:rPr>
          <w:rFonts w:ascii="Book Antiqua" w:hAnsi="Book Antiqua"/>
          <w:lang w:val="es-ES_tradnl"/>
        </w:rPr>
        <w:t xml:space="preserve">todo lo concerniente en cuanto a la forma, manera y condiciones en que </w:t>
      </w:r>
      <w:r w:rsidR="002926EE">
        <w:rPr>
          <w:rFonts w:ascii="Book Antiqua" w:hAnsi="Book Antiqua"/>
          <w:lang w:val="es-ES_tradnl"/>
        </w:rPr>
        <w:t xml:space="preserve">dicho Fondo será utilizado y canalizado. </w:t>
      </w:r>
    </w:p>
    <w:p w14:paraId="02BBEF3B" w14:textId="21F3219D" w:rsidR="009E0F0C" w:rsidRDefault="009E0F0C" w:rsidP="009E0F0C">
      <w:pPr>
        <w:spacing w:line="480" w:lineRule="auto"/>
        <w:ind w:firstLine="720"/>
        <w:jc w:val="both"/>
        <w:rPr>
          <w:rFonts w:ascii="Book Antiqua" w:hAnsi="Book Antiqua"/>
          <w:lang w:val="es-ES_tradnl"/>
        </w:rPr>
      </w:pPr>
      <w:r>
        <w:rPr>
          <w:rFonts w:ascii="Book Antiqua" w:hAnsi="Book Antiqua"/>
          <w:lang w:val="es-ES_tradnl"/>
        </w:rPr>
        <w:lastRenderedPageBreak/>
        <w:t>La Reglamentación promulgada por el Departamento de la Familia sobre el Fondo creado en esta Ley incluirá los</w:t>
      </w:r>
      <w:r w:rsidRPr="009E0F0C">
        <w:rPr>
          <w:rFonts w:ascii="Book Antiqua" w:hAnsi="Book Antiqua"/>
          <w:lang w:val="es-ES_tradnl"/>
        </w:rPr>
        <w:t xml:space="preserve"> requisitos mínimos que habrán de cumplir l</w:t>
      </w:r>
      <w:r>
        <w:rPr>
          <w:rFonts w:ascii="Book Antiqua" w:hAnsi="Book Antiqua"/>
          <w:lang w:val="es-ES_tradnl"/>
        </w:rPr>
        <w:t>a</w:t>
      </w:r>
      <w:r w:rsidRPr="009E0F0C">
        <w:rPr>
          <w:rFonts w:ascii="Book Antiqua" w:hAnsi="Book Antiqua"/>
          <w:lang w:val="es-ES_tradnl"/>
        </w:rPr>
        <w:t xml:space="preserve">s </w:t>
      </w:r>
      <w:r>
        <w:rPr>
          <w:rFonts w:ascii="Book Antiqua" w:hAnsi="Book Antiqua"/>
          <w:lang w:val="es-ES_tradnl"/>
        </w:rPr>
        <w:t xml:space="preserve">y los </w:t>
      </w:r>
      <w:r w:rsidRPr="009E0F0C">
        <w:rPr>
          <w:rFonts w:ascii="Book Antiqua" w:hAnsi="Book Antiqua"/>
          <w:lang w:val="es-ES_tradnl"/>
        </w:rPr>
        <w:t>estudiantes para poder cualificar para los beneficios de este Fondo</w:t>
      </w:r>
      <w:r w:rsidR="00FA2CE9">
        <w:rPr>
          <w:rFonts w:ascii="Book Antiqua" w:hAnsi="Book Antiqua"/>
          <w:lang w:val="es-ES_tradnl"/>
        </w:rPr>
        <w:t xml:space="preserve"> y</w:t>
      </w:r>
      <w:r w:rsidRPr="009E0F0C">
        <w:rPr>
          <w:rFonts w:ascii="Book Antiqua" w:hAnsi="Book Antiqua"/>
          <w:lang w:val="es-ES_tradnl"/>
        </w:rPr>
        <w:t xml:space="preserve"> </w:t>
      </w:r>
      <w:r>
        <w:rPr>
          <w:rFonts w:ascii="Book Antiqua" w:hAnsi="Book Antiqua"/>
          <w:lang w:val="es-ES_tradnl"/>
        </w:rPr>
        <w:t>la</w:t>
      </w:r>
      <w:r w:rsidRPr="009E0F0C">
        <w:rPr>
          <w:rFonts w:ascii="Book Antiqua" w:hAnsi="Book Antiqua"/>
          <w:lang w:val="es-ES_tradnl"/>
        </w:rPr>
        <w:t xml:space="preserve">s causas </w:t>
      </w:r>
      <w:r>
        <w:rPr>
          <w:rFonts w:ascii="Book Antiqua" w:hAnsi="Book Antiqua"/>
          <w:lang w:val="es-ES_tradnl"/>
        </w:rPr>
        <w:t xml:space="preserve">que </w:t>
      </w:r>
      <w:r w:rsidRPr="009E0F0C">
        <w:rPr>
          <w:rFonts w:ascii="Book Antiqua" w:hAnsi="Book Antiqua"/>
          <w:lang w:val="es-ES_tradnl"/>
        </w:rPr>
        <w:t>justificarán la cancelación de</w:t>
      </w:r>
      <w:r>
        <w:rPr>
          <w:rFonts w:ascii="Book Antiqua" w:hAnsi="Book Antiqua"/>
          <w:lang w:val="es-ES_tradnl"/>
        </w:rPr>
        <w:t xml:space="preserve"> la</w:t>
      </w:r>
      <w:r w:rsidRPr="009E0F0C">
        <w:rPr>
          <w:rFonts w:ascii="Book Antiqua" w:hAnsi="Book Antiqua"/>
          <w:lang w:val="es-ES_tradnl"/>
        </w:rPr>
        <w:t xml:space="preserve"> ayuda económica</w:t>
      </w:r>
      <w:r w:rsidR="00FA2CE9">
        <w:rPr>
          <w:rFonts w:ascii="Book Antiqua" w:hAnsi="Book Antiqua"/>
          <w:lang w:val="es-ES_tradnl"/>
        </w:rPr>
        <w:t>.</w:t>
      </w:r>
    </w:p>
    <w:p w14:paraId="5CEEEAD2" w14:textId="3C538957" w:rsidR="00FA2CE9" w:rsidRDefault="00FA2CE9" w:rsidP="00FA2CE9">
      <w:pPr>
        <w:spacing w:line="480" w:lineRule="auto"/>
        <w:jc w:val="both"/>
        <w:rPr>
          <w:rFonts w:ascii="Book Antiqua" w:hAnsi="Book Antiqua"/>
          <w:lang w:val="es-ES_tradnl"/>
        </w:rPr>
      </w:pPr>
      <w:r>
        <w:rPr>
          <w:rFonts w:ascii="Book Antiqua" w:hAnsi="Book Antiqua"/>
          <w:lang w:val="es-ES_tradnl"/>
        </w:rPr>
        <w:t xml:space="preserve">Artículo </w:t>
      </w:r>
      <w:r w:rsidR="00251D7C">
        <w:rPr>
          <w:rFonts w:ascii="Book Antiqua" w:hAnsi="Book Antiqua"/>
          <w:lang w:val="es-ES_tradnl"/>
        </w:rPr>
        <w:t>5</w:t>
      </w:r>
      <w:r>
        <w:rPr>
          <w:rFonts w:ascii="Book Antiqua" w:hAnsi="Book Antiqua"/>
          <w:lang w:val="es-ES_tradnl"/>
        </w:rPr>
        <w:t>.</w:t>
      </w:r>
      <w:r w:rsidR="00A67C83">
        <w:rPr>
          <w:rFonts w:ascii="Book Antiqua" w:hAnsi="Book Antiqua"/>
          <w:lang w:val="es-ES_tradnl"/>
        </w:rPr>
        <w:t xml:space="preserve"> -</w:t>
      </w:r>
      <w:r>
        <w:rPr>
          <w:rFonts w:ascii="Book Antiqua" w:hAnsi="Book Antiqua"/>
          <w:lang w:val="es-ES_tradnl"/>
        </w:rPr>
        <w:t xml:space="preserve"> Número e Importe de las Becas</w:t>
      </w:r>
    </w:p>
    <w:p w14:paraId="79930C7C" w14:textId="2B25F466" w:rsidR="00FA2CE9" w:rsidRDefault="00FA2CE9" w:rsidP="00FA2CE9">
      <w:pPr>
        <w:spacing w:line="480" w:lineRule="auto"/>
        <w:jc w:val="both"/>
        <w:rPr>
          <w:rFonts w:ascii="Book Antiqua" w:hAnsi="Book Antiqua"/>
          <w:lang w:val="es-ES_tradnl"/>
        </w:rPr>
      </w:pPr>
      <w:r>
        <w:rPr>
          <w:rFonts w:ascii="Book Antiqua" w:hAnsi="Book Antiqua"/>
          <w:lang w:val="es-ES_tradnl"/>
        </w:rPr>
        <w:tab/>
        <w:t xml:space="preserve">La Secretaria del Departamento de la Familia </w:t>
      </w:r>
      <w:r w:rsidRPr="00FA2CE9">
        <w:rPr>
          <w:rFonts w:ascii="Book Antiqua" w:hAnsi="Book Antiqua"/>
          <w:lang w:val="es-ES_tradnl"/>
        </w:rPr>
        <w:t xml:space="preserve">seleccionará, entre los que cualifiquen, el número de estudiantes que permitan los recursos que tenga el Fondo anualmente para estos fines; Disponiéndose, que el importe de cada beca no excederá de </w:t>
      </w:r>
      <w:r w:rsidR="00AA1487">
        <w:rPr>
          <w:rFonts w:ascii="Book Antiqua" w:hAnsi="Book Antiqua"/>
          <w:lang w:val="es-ES_tradnl"/>
        </w:rPr>
        <w:t xml:space="preserve">dos </w:t>
      </w:r>
      <w:r w:rsidRPr="00FA2CE9">
        <w:rPr>
          <w:rFonts w:ascii="Book Antiqua" w:hAnsi="Book Antiqua"/>
          <w:lang w:val="es-ES_tradnl"/>
        </w:rPr>
        <w:t>mil (</w:t>
      </w:r>
      <w:r w:rsidR="00AA1487">
        <w:rPr>
          <w:rFonts w:ascii="Book Antiqua" w:hAnsi="Book Antiqua"/>
          <w:lang w:val="es-ES_tradnl"/>
        </w:rPr>
        <w:t>2</w:t>
      </w:r>
      <w:r w:rsidRPr="00FA2CE9">
        <w:rPr>
          <w:rFonts w:ascii="Book Antiqua" w:hAnsi="Book Antiqua"/>
          <w:lang w:val="es-ES_tradnl"/>
        </w:rPr>
        <w:t>,000) dólares</w:t>
      </w:r>
      <w:r w:rsidR="00AA1487">
        <w:rPr>
          <w:rFonts w:ascii="Book Antiqua" w:hAnsi="Book Antiqua"/>
          <w:lang w:val="es-ES_tradnl"/>
        </w:rPr>
        <w:t xml:space="preserve"> anuales. </w:t>
      </w:r>
    </w:p>
    <w:p w14:paraId="6E10C9E3" w14:textId="22B25347" w:rsidR="00FA2CE9" w:rsidRDefault="00FA2CE9" w:rsidP="00FA2CE9">
      <w:pPr>
        <w:spacing w:line="480" w:lineRule="auto"/>
        <w:jc w:val="both"/>
        <w:rPr>
          <w:rFonts w:ascii="Book Antiqua" w:hAnsi="Book Antiqua"/>
          <w:lang w:val="es-ES_tradnl"/>
        </w:rPr>
      </w:pPr>
      <w:r>
        <w:rPr>
          <w:rFonts w:ascii="Book Antiqua" w:hAnsi="Book Antiqua"/>
          <w:lang w:val="es-ES_tradnl"/>
        </w:rPr>
        <w:t xml:space="preserve">Artículo </w:t>
      </w:r>
      <w:r w:rsidR="00251D7C">
        <w:rPr>
          <w:rFonts w:ascii="Book Antiqua" w:hAnsi="Book Antiqua"/>
          <w:lang w:val="es-ES_tradnl"/>
        </w:rPr>
        <w:t>6</w:t>
      </w:r>
      <w:r>
        <w:rPr>
          <w:rFonts w:ascii="Book Antiqua" w:hAnsi="Book Antiqua"/>
          <w:lang w:val="es-ES_tradnl"/>
        </w:rPr>
        <w:t>.</w:t>
      </w:r>
      <w:r w:rsidR="00A67C83">
        <w:rPr>
          <w:rFonts w:ascii="Book Antiqua" w:hAnsi="Book Antiqua"/>
          <w:lang w:val="es-ES_tradnl"/>
        </w:rPr>
        <w:t xml:space="preserve"> </w:t>
      </w:r>
      <w:r>
        <w:rPr>
          <w:rFonts w:ascii="Book Antiqua" w:hAnsi="Book Antiqua"/>
          <w:lang w:val="es-ES_tradnl"/>
        </w:rPr>
        <w:t>- Asignación</w:t>
      </w:r>
    </w:p>
    <w:p w14:paraId="4D3150AF" w14:textId="75C174A6" w:rsidR="00FA2CE9" w:rsidRPr="00A94E02" w:rsidRDefault="00FA2CE9" w:rsidP="00FA2CE9">
      <w:pPr>
        <w:spacing w:line="480" w:lineRule="auto"/>
        <w:jc w:val="both"/>
        <w:rPr>
          <w:rFonts w:ascii="Book Antiqua" w:hAnsi="Book Antiqua"/>
          <w:lang w:val="es-ES_tradnl"/>
        </w:rPr>
      </w:pPr>
      <w:r>
        <w:rPr>
          <w:rFonts w:ascii="Book Antiqua" w:hAnsi="Book Antiqua"/>
          <w:lang w:val="es-ES_tradnl"/>
        </w:rPr>
        <w:tab/>
      </w:r>
      <w:r w:rsidR="00C30FCB">
        <w:rPr>
          <w:rFonts w:ascii="Book Antiqua" w:hAnsi="Book Antiqua"/>
          <w:lang w:val="es-ES_tradnl"/>
        </w:rPr>
        <w:t xml:space="preserve">Se asigna al “Fondo de Becas para las </w:t>
      </w:r>
      <w:r w:rsidR="00E60991">
        <w:rPr>
          <w:rFonts w:ascii="Book Antiqua" w:hAnsi="Book Antiqua"/>
          <w:lang w:val="es-ES_tradnl"/>
        </w:rPr>
        <w:t>hijas e</w:t>
      </w:r>
      <w:r w:rsidR="00C30FCB">
        <w:rPr>
          <w:rFonts w:ascii="Book Antiqua" w:hAnsi="Book Antiqua"/>
          <w:lang w:val="es-ES_tradnl"/>
        </w:rPr>
        <w:t xml:space="preserve"> hijos de las víctimas de feminicidio”, </w:t>
      </w:r>
      <w:r w:rsidR="00C30FCB" w:rsidRPr="00C30FCB">
        <w:rPr>
          <w:rFonts w:ascii="Book Antiqua" w:hAnsi="Book Antiqua"/>
          <w:lang w:val="es-ES_tradnl"/>
        </w:rPr>
        <w:t xml:space="preserve">de fondos no comprometidos en el presupuesto general, la cantidad de </w:t>
      </w:r>
      <w:r w:rsidR="00251D7C">
        <w:rPr>
          <w:rFonts w:ascii="Book Antiqua" w:hAnsi="Book Antiqua"/>
          <w:lang w:val="es-ES_tradnl"/>
        </w:rPr>
        <w:t>cincuenta</w:t>
      </w:r>
      <w:r w:rsidR="00C30FCB" w:rsidRPr="00C30FCB">
        <w:rPr>
          <w:rFonts w:ascii="Book Antiqua" w:hAnsi="Book Antiqua"/>
          <w:lang w:val="es-ES_tradnl"/>
        </w:rPr>
        <w:t xml:space="preserve"> mil (5</w:t>
      </w:r>
      <w:r w:rsidR="00251D7C">
        <w:rPr>
          <w:rFonts w:ascii="Book Antiqua" w:hAnsi="Book Antiqua"/>
          <w:lang w:val="es-ES_tradnl"/>
        </w:rPr>
        <w:t>0</w:t>
      </w:r>
      <w:r w:rsidR="00C30FCB" w:rsidRPr="00C30FCB">
        <w:rPr>
          <w:rFonts w:ascii="Book Antiqua" w:hAnsi="Book Antiqua"/>
          <w:lang w:val="es-ES_tradnl"/>
        </w:rPr>
        <w:t xml:space="preserve">,000) dólares para llevar a cabo los propósitos de esta Ley durante el Año Fiscal </w:t>
      </w:r>
      <w:r w:rsidR="00C30FCB">
        <w:rPr>
          <w:rFonts w:ascii="Book Antiqua" w:hAnsi="Book Antiqua"/>
          <w:lang w:val="es-ES_tradnl"/>
        </w:rPr>
        <w:t>siguiente a su aprobación</w:t>
      </w:r>
      <w:r w:rsidR="00C30FCB" w:rsidRPr="00C30FCB">
        <w:rPr>
          <w:rFonts w:ascii="Book Antiqua" w:hAnsi="Book Antiqua"/>
          <w:lang w:val="es-ES_tradnl"/>
        </w:rPr>
        <w:t>. En años fiscales subsiguientes los fondos necesarios se consignarán en el Presupuesto General de los Gastos de</w:t>
      </w:r>
      <w:r w:rsidR="00C30FCB">
        <w:rPr>
          <w:rFonts w:ascii="Book Antiqua" w:hAnsi="Book Antiqua"/>
          <w:lang w:val="es-ES_tradnl"/>
        </w:rPr>
        <w:t>l Departamento de la Familia</w:t>
      </w:r>
      <w:r w:rsidR="00C30FCB" w:rsidRPr="00C30FCB">
        <w:rPr>
          <w:rFonts w:ascii="Book Antiqua" w:hAnsi="Book Antiqua"/>
          <w:lang w:val="es-ES_tradnl"/>
        </w:rPr>
        <w:t xml:space="preserve">, tomando en consideración la experiencia y resultado del año anterior.  </w:t>
      </w:r>
    </w:p>
    <w:p w14:paraId="5F22E816" w14:textId="7DA01477" w:rsidR="009F0EBF" w:rsidRDefault="009F0EBF" w:rsidP="009F0EBF">
      <w:pPr>
        <w:spacing w:line="480" w:lineRule="auto"/>
        <w:jc w:val="both"/>
        <w:rPr>
          <w:rFonts w:ascii="Book Antiqua" w:hAnsi="Book Antiqua"/>
          <w:lang w:val="es-ES_tradnl"/>
        </w:rPr>
      </w:pPr>
      <w:r>
        <w:rPr>
          <w:rFonts w:ascii="Book Antiqua" w:hAnsi="Book Antiqua"/>
          <w:lang w:val="es-ES_tradnl"/>
        </w:rPr>
        <w:t xml:space="preserve">Artículo </w:t>
      </w:r>
      <w:r w:rsidR="006C1104">
        <w:rPr>
          <w:rFonts w:ascii="Book Antiqua" w:hAnsi="Book Antiqua"/>
          <w:lang w:val="es-ES_tradnl"/>
        </w:rPr>
        <w:t>7</w:t>
      </w:r>
      <w:r>
        <w:rPr>
          <w:rFonts w:ascii="Book Antiqua" w:hAnsi="Book Antiqua"/>
          <w:lang w:val="es-ES_tradnl"/>
        </w:rPr>
        <w:t>.</w:t>
      </w:r>
      <w:r w:rsidR="00A67C83">
        <w:rPr>
          <w:rFonts w:ascii="Book Antiqua" w:hAnsi="Book Antiqua"/>
          <w:lang w:val="es-ES_tradnl"/>
        </w:rPr>
        <w:t xml:space="preserve"> </w:t>
      </w:r>
      <w:r>
        <w:rPr>
          <w:rFonts w:ascii="Book Antiqua" w:hAnsi="Book Antiqua"/>
          <w:lang w:val="es-ES_tradnl"/>
        </w:rPr>
        <w:t>-</w:t>
      </w:r>
      <w:r w:rsidR="00A67C83">
        <w:rPr>
          <w:rFonts w:ascii="Book Antiqua" w:hAnsi="Book Antiqua"/>
          <w:lang w:val="es-ES_tradnl"/>
        </w:rPr>
        <w:t xml:space="preserve"> </w:t>
      </w:r>
      <w:r>
        <w:rPr>
          <w:rFonts w:ascii="Book Antiqua" w:hAnsi="Book Antiqua"/>
          <w:lang w:val="es-ES_tradnl"/>
        </w:rPr>
        <w:t>Registro</w:t>
      </w:r>
      <w:r w:rsidR="00A94E02">
        <w:rPr>
          <w:rFonts w:ascii="Book Antiqua" w:hAnsi="Book Antiqua"/>
          <w:lang w:val="es-ES_tradnl"/>
        </w:rPr>
        <w:t xml:space="preserve"> de las </w:t>
      </w:r>
      <w:r w:rsidR="00E60991">
        <w:rPr>
          <w:rFonts w:ascii="Book Antiqua" w:hAnsi="Book Antiqua"/>
          <w:lang w:val="es-ES_tradnl"/>
        </w:rPr>
        <w:t>hijas e</w:t>
      </w:r>
      <w:r w:rsidR="00A94E02">
        <w:rPr>
          <w:rFonts w:ascii="Book Antiqua" w:hAnsi="Book Antiqua"/>
          <w:lang w:val="es-ES_tradnl"/>
        </w:rPr>
        <w:t xml:space="preserve"> hijos menores de edad de las víctimas de feminicidio</w:t>
      </w:r>
      <w:r w:rsidR="008B5ABC">
        <w:rPr>
          <w:rFonts w:ascii="Book Antiqua" w:hAnsi="Book Antiqua"/>
          <w:lang w:val="es-ES_tradnl"/>
        </w:rPr>
        <w:t>.</w:t>
      </w:r>
    </w:p>
    <w:p w14:paraId="592E6AD5" w14:textId="1ADA0BD3" w:rsidR="009F0EBF" w:rsidRDefault="009F0EBF" w:rsidP="009F0EBF">
      <w:pPr>
        <w:spacing w:line="480" w:lineRule="auto"/>
        <w:ind w:firstLine="720"/>
        <w:jc w:val="both"/>
        <w:rPr>
          <w:rFonts w:ascii="Book Antiqua" w:hAnsi="Book Antiqua"/>
          <w:lang w:val="es-ES_tradnl"/>
        </w:rPr>
      </w:pPr>
      <w:r>
        <w:rPr>
          <w:rFonts w:ascii="Book Antiqua" w:hAnsi="Book Antiqua"/>
          <w:lang w:val="es-ES_tradnl"/>
        </w:rPr>
        <w:t>El Departamento de la Familia</w:t>
      </w:r>
      <w:r w:rsidR="00FC2D7D">
        <w:rPr>
          <w:rFonts w:ascii="Book Antiqua" w:hAnsi="Book Antiqua"/>
          <w:lang w:val="es-ES_tradnl"/>
        </w:rPr>
        <w:t xml:space="preserve"> </w:t>
      </w:r>
      <w:r>
        <w:rPr>
          <w:rFonts w:ascii="Book Antiqua" w:hAnsi="Book Antiqua"/>
          <w:lang w:val="es-ES_tradnl"/>
        </w:rPr>
        <w:t>deberá</w:t>
      </w:r>
      <w:r w:rsidR="00FC2D7D">
        <w:rPr>
          <w:rFonts w:ascii="Book Antiqua" w:hAnsi="Book Antiqua"/>
          <w:lang w:val="es-ES_tradnl"/>
        </w:rPr>
        <w:t xml:space="preserve"> </w:t>
      </w:r>
      <w:r>
        <w:rPr>
          <w:rFonts w:ascii="Book Antiqua" w:hAnsi="Book Antiqua"/>
          <w:lang w:val="es-ES_tradnl"/>
        </w:rPr>
        <w:t xml:space="preserve">crear un registro oficial de las y los </w:t>
      </w:r>
      <w:r w:rsidR="00E60991">
        <w:rPr>
          <w:rFonts w:ascii="Book Antiqua" w:hAnsi="Book Antiqua"/>
          <w:lang w:val="es-ES_tradnl"/>
        </w:rPr>
        <w:t xml:space="preserve">hijos </w:t>
      </w:r>
      <w:r>
        <w:rPr>
          <w:rFonts w:ascii="Book Antiqua" w:hAnsi="Book Antiqua"/>
          <w:lang w:val="es-ES_tradnl"/>
        </w:rPr>
        <w:t xml:space="preserve">menores </w:t>
      </w:r>
      <w:r w:rsidR="00E60991">
        <w:rPr>
          <w:rFonts w:ascii="Book Antiqua" w:hAnsi="Book Antiqua"/>
          <w:lang w:val="es-ES_tradnl"/>
        </w:rPr>
        <w:t>de edad</w:t>
      </w:r>
      <w:r>
        <w:rPr>
          <w:rFonts w:ascii="Book Antiqua" w:hAnsi="Book Antiqua"/>
          <w:lang w:val="es-ES_tradnl"/>
        </w:rPr>
        <w:t xml:space="preserve"> de </w:t>
      </w:r>
      <w:r w:rsidR="00E60991">
        <w:rPr>
          <w:rFonts w:ascii="Book Antiqua" w:hAnsi="Book Antiqua"/>
          <w:lang w:val="es-ES_tradnl"/>
        </w:rPr>
        <w:t xml:space="preserve">las </w:t>
      </w:r>
      <w:r>
        <w:rPr>
          <w:rFonts w:ascii="Book Antiqua" w:hAnsi="Book Antiqua"/>
          <w:lang w:val="es-ES_tradnl"/>
        </w:rPr>
        <w:t xml:space="preserve">víctimas de feminicidios. </w:t>
      </w:r>
      <w:r w:rsidR="00FC2D7D">
        <w:rPr>
          <w:rFonts w:ascii="Book Antiqua" w:hAnsi="Book Antiqua"/>
          <w:lang w:val="es-ES_tradnl"/>
        </w:rPr>
        <w:t>El Negociado de la Policía de Puerto Rico, el Registro Demográfico del Departamento de Salud</w:t>
      </w:r>
      <w:r w:rsidR="00FA4B95">
        <w:rPr>
          <w:rFonts w:ascii="Book Antiqua" w:hAnsi="Book Antiqua"/>
          <w:lang w:val="es-ES_tradnl"/>
        </w:rPr>
        <w:t xml:space="preserve"> y </w:t>
      </w:r>
      <w:r w:rsidR="00FC2D7D">
        <w:rPr>
          <w:rFonts w:ascii="Book Antiqua" w:hAnsi="Book Antiqua"/>
          <w:lang w:val="es-ES_tradnl"/>
        </w:rPr>
        <w:t>el Instituto de Estadística</w:t>
      </w:r>
      <w:r w:rsidR="00FA4B95">
        <w:rPr>
          <w:rFonts w:ascii="Book Antiqua" w:hAnsi="Book Antiqua"/>
          <w:lang w:val="es-ES_tradnl"/>
        </w:rPr>
        <w:t xml:space="preserve">s deberán colaborar con el Departamento de la Familia brindando cualquier información necesaria para la creación del Registro. </w:t>
      </w:r>
    </w:p>
    <w:p w14:paraId="64C55B39" w14:textId="77777777" w:rsidR="009F0EBF" w:rsidRDefault="009F0EBF" w:rsidP="009F0EBF">
      <w:pPr>
        <w:spacing w:line="480" w:lineRule="auto"/>
        <w:ind w:firstLine="360"/>
        <w:jc w:val="both"/>
        <w:rPr>
          <w:rFonts w:ascii="Book Antiqua" w:hAnsi="Book Antiqua"/>
          <w:lang w:val="es-ES_tradnl"/>
        </w:rPr>
      </w:pPr>
      <w:r>
        <w:rPr>
          <w:rFonts w:ascii="Book Antiqua" w:hAnsi="Book Antiqua"/>
          <w:lang w:val="es-ES_tradnl"/>
        </w:rPr>
        <w:lastRenderedPageBreak/>
        <w:t>El Registro deberá incluir, sin que se entienda como una limitación, la siguiente información:</w:t>
      </w:r>
    </w:p>
    <w:p w14:paraId="6B465E33" w14:textId="1DEF42F1" w:rsidR="00AA1487" w:rsidRDefault="00F806D6" w:rsidP="009F0EBF">
      <w:pPr>
        <w:pStyle w:val="ListParagraph"/>
        <w:numPr>
          <w:ilvl w:val="0"/>
          <w:numId w:val="2"/>
        </w:numPr>
        <w:spacing w:line="480" w:lineRule="auto"/>
        <w:jc w:val="both"/>
        <w:rPr>
          <w:rFonts w:ascii="Book Antiqua" w:hAnsi="Book Antiqua"/>
          <w:lang w:val="es-ES_tradnl"/>
        </w:rPr>
      </w:pPr>
      <w:r>
        <w:rPr>
          <w:rFonts w:ascii="Book Antiqua" w:hAnsi="Book Antiqua"/>
          <w:lang w:val="es-ES_tradnl"/>
        </w:rPr>
        <w:t>Nombre</w:t>
      </w:r>
      <w:r w:rsidR="00157452">
        <w:rPr>
          <w:rFonts w:ascii="Book Antiqua" w:hAnsi="Book Antiqua"/>
          <w:lang w:val="es-ES_tradnl"/>
        </w:rPr>
        <w:t xml:space="preserve">, </w:t>
      </w:r>
      <w:r>
        <w:rPr>
          <w:rFonts w:ascii="Book Antiqua" w:hAnsi="Book Antiqua"/>
          <w:lang w:val="es-ES_tradnl"/>
        </w:rPr>
        <w:t>apellidos, edad</w:t>
      </w:r>
      <w:r w:rsidR="00157452">
        <w:rPr>
          <w:rFonts w:ascii="Book Antiqua" w:hAnsi="Book Antiqua"/>
          <w:lang w:val="es-ES_tradnl"/>
        </w:rPr>
        <w:t xml:space="preserve">, </w:t>
      </w:r>
      <w:r>
        <w:rPr>
          <w:rFonts w:ascii="Book Antiqua" w:hAnsi="Book Antiqua"/>
          <w:lang w:val="es-ES_tradnl"/>
        </w:rPr>
        <w:t xml:space="preserve">dirección física y postal de los menores. </w:t>
      </w:r>
    </w:p>
    <w:p w14:paraId="02497E7D" w14:textId="2EC233B4" w:rsidR="009F0EBF" w:rsidRDefault="009F0EBF" w:rsidP="009F0EBF">
      <w:pPr>
        <w:pStyle w:val="ListParagraph"/>
        <w:numPr>
          <w:ilvl w:val="0"/>
          <w:numId w:val="2"/>
        </w:numPr>
        <w:spacing w:line="480" w:lineRule="auto"/>
        <w:jc w:val="both"/>
        <w:rPr>
          <w:rFonts w:ascii="Book Antiqua" w:hAnsi="Book Antiqua"/>
          <w:lang w:val="es-ES_tradnl"/>
        </w:rPr>
      </w:pPr>
      <w:r>
        <w:rPr>
          <w:rFonts w:ascii="Book Antiqua" w:hAnsi="Book Antiqua"/>
          <w:lang w:val="es-ES_tradnl"/>
        </w:rPr>
        <w:t>Si los menores se encuentran bajo la custodia del Departamento de la Familia.</w:t>
      </w:r>
    </w:p>
    <w:p w14:paraId="588640A6" w14:textId="77777777" w:rsidR="009F0EBF" w:rsidRDefault="009F0EBF" w:rsidP="009F0EBF">
      <w:pPr>
        <w:pStyle w:val="ListParagraph"/>
        <w:numPr>
          <w:ilvl w:val="0"/>
          <w:numId w:val="2"/>
        </w:numPr>
        <w:spacing w:line="480" w:lineRule="auto"/>
        <w:jc w:val="both"/>
        <w:rPr>
          <w:rFonts w:ascii="Book Antiqua" w:hAnsi="Book Antiqua"/>
          <w:lang w:val="es-ES_tradnl"/>
        </w:rPr>
      </w:pPr>
      <w:r>
        <w:rPr>
          <w:rFonts w:ascii="Book Antiqua" w:hAnsi="Book Antiqua"/>
          <w:lang w:val="es-ES_tradnl"/>
        </w:rPr>
        <w:t>Si los menores se encuentran bajo la custodia de alguna persona o familiar; información del núcleo familiar en el que se encuentra el menor y el ingreso de las personas o familiares que asumen la custodia del menor.</w:t>
      </w:r>
    </w:p>
    <w:p w14:paraId="316B05D6" w14:textId="77777777" w:rsidR="009F0EBF" w:rsidRDefault="009F0EBF" w:rsidP="009F0EBF">
      <w:pPr>
        <w:pStyle w:val="ListParagraph"/>
        <w:numPr>
          <w:ilvl w:val="0"/>
          <w:numId w:val="2"/>
        </w:numPr>
        <w:spacing w:line="480" w:lineRule="auto"/>
        <w:jc w:val="both"/>
        <w:rPr>
          <w:rFonts w:ascii="Book Antiqua" w:hAnsi="Book Antiqua"/>
          <w:lang w:val="es-ES_tradnl"/>
        </w:rPr>
      </w:pPr>
      <w:r>
        <w:rPr>
          <w:rFonts w:ascii="Book Antiqua" w:hAnsi="Book Antiqua"/>
          <w:lang w:val="es-ES_tradnl"/>
        </w:rPr>
        <w:t xml:space="preserve">Si reciben asistencia o compensación económica por parte del Gobierno, o algún otro tipo de asistencia médica, psicológica, legal, u otra. </w:t>
      </w:r>
    </w:p>
    <w:p w14:paraId="21616E41" w14:textId="0FDC5FF8" w:rsidR="008B5ABC" w:rsidRDefault="00F806D6" w:rsidP="00F806D6">
      <w:pPr>
        <w:spacing w:line="480" w:lineRule="auto"/>
        <w:jc w:val="both"/>
        <w:rPr>
          <w:rFonts w:ascii="Book Antiqua" w:hAnsi="Book Antiqua"/>
          <w:lang w:val="es-ES_tradnl"/>
        </w:rPr>
      </w:pPr>
      <w:r>
        <w:rPr>
          <w:rFonts w:ascii="Book Antiqua" w:hAnsi="Book Antiqua"/>
          <w:lang w:val="es-ES_tradnl"/>
        </w:rPr>
        <w:t xml:space="preserve">Artículo </w:t>
      </w:r>
      <w:r w:rsidR="006C1104">
        <w:rPr>
          <w:rFonts w:ascii="Book Antiqua" w:hAnsi="Book Antiqua"/>
          <w:lang w:val="es-ES_tradnl"/>
        </w:rPr>
        <w:t>8</w:t>
      </w:r>
      <w:r>
        <w:rPr>
          <w:rFonts w:ascii="Book Antiqua" w:hAnsi="Book Antiqua"/>
          <w:lang w:val="es-ES_tradnl"/>
        </w:rPr>
        <w:t>.</w:t>
      </w:r>
      <w:r w:rsidR="00A67C83">
        <w:rPr>
          <w:rFonts w:ascii="Book Antiqua" w:hAnsi="Book Antiqua"/>
          <w:lang w:val="es-ES_tradnl"/>
        </w:rPr>
        <w:t xml:space="preserve"> -</w:t>
      </w:r>
      <w:r>
        <w:rPr>
          <w:rFonts w:ascii="Book Antiqua" w:hAnsi="Book Antiqua"/>
          <w:lang w:val="es-ES_tradnl"/>
        </w:rPr>
        <w:t xml:space="preserve"> </w:t>
      </w:r>
      <w:r w:rsidR="008B5ABC">
        <w:rPr>
          <w:rFonts w:ascii="Book Antiqua" w:hAnsi="Book Antiqua"/>
          <w:lang w:val="es-ES_tradnl"/>
        </w:rPr>
        <w:t xml:space="preserve">Reglamentación sobre el Registro de las </w:t>
      </w:r>
      <w:r w:rsidR="008B5ABC" w:rsidRPr="008B5ABC">
        <w:rPr>
          <w:rFonts w:ascii="Book Antiqua" w:hAnsi="Book Antiqua"/>
          <w:lang w:val="es-ES_tradnl"/>
        </w:rPr>
        <w:t>hijas e hijos menores de edad de las víctimas de feminicidio</w:t>
      </w:r>
      <w:r w:rsidR="008B5ABC">
        <w:rPr>
          <w:rFonts w:ascii="Book Antiqua" w:hAnsi="Book Antiqua"/>
          <w:lang w:val="es-ES_tradnl"/>
        </w:rPr>
        <w:t>.</w:t>
      </w:r>
    </w:p>
    <w:p w14:paraId="65F4B2B1" w14:textId="48923F51" w:rsidR="008B5ABC" w:rsidRPr="00F806D6" w:rsidRDefault="008B5ABC" w:rsidP="008B5ABC">
      <w:pPr>
        <w:spacing w:line="480" w:lineRule="auto"/>
        <w:jc w:val="both"/>
        <w:rPr>
          <w:rFonts w:ascii="Book Antiqua" w:hAnsi="Book Antiqua"/>
          <w:lang w:val="es-ES_tradnl"/>
        </w:rPr>
      </w:pPr>
      <w:r>
        <w:rPr>
          <w:rFonts w:ascii="Book Antiqua" w:hAnsi="Book Antiqua"/>
          <w:lang w:val="es-ES_tradnl"/>
        </w:rPr>
        <w:tab/>
      </w:r>
      <w:r w:rsidR="00FA4B95">
        <w:rPr>
          <w:rFonts w:ascii="Book Antiqua" w:hAnsi="Book Antiqua"/>
          <w:lang w:val="es-ES_tradnl"/>
        </w:rPr>
        <w:t xml:space="preserve">El Departamento de la Familia </w:t>
      </w:r>
      <w:r w:rsidR="00FA4B95" w:rsidRPr="00FA4B95">
        <w:rPr>
          <w:rFonts w:ascii="Book Antiqua" w:hAnsi="Book Antiqua"/>
          <w:lang w:val="es-ES_tradnl"/>
        </w:rPr>
        <w:t xml:space="preserve">deberá establecer un Reglamento, conforme a lo establecido en la Ley 38-2017, “Ley de Procedimiento Administrativo Uniforme del Gobierno de Puerto Rico”, </w:t>
      </w:r>
      <w:r w:rsidR="00FA4B95">
        <w:rPr>
          <w:rFonts w:ascii="Book Antiqua" w:hAnsi="Book Antiqua"/>
          <w:lang w:val="es-ES_tradnl"/>
        </w:rPr>
        <w:t xml:space="preserve">mediante el cual se regulará el manejo </w:t>
      </w:r>
      <w:r w:rsidR="003E2A9B">
        <w:rPr>
          <w:rFonts w:ascii="Book Antiqua" w:hAnsi="Book Antiqua"/>
          <w:lang w:val="es-ES_tradnl"/>
        </w:rPr>
        <w:t xml:space="preserve">y la recopilación de la información provista para la creación del Registro. El Reglamento establecerá los parámetros necesarios para garantizar la confidencialidad de la información de los menores y la protección de su intimidad. </w:t>
      </w:r>
      <w:r w:rsidR="00FA4B95">
        <w:rPr>
          <w:rFonts w:ascii="Book Antiqua" w:hAnsi="Book Antiqua"/>
          <w:lang w:val="es-ES_tradnl"/>
        </w:rPr>
        <w:t xml:space="preserve"> </w:t>
      </w:r>
    </w:p>
    <w:p w14:paraId="602A707F" w14:textId="7361D4B0" w:rsidR="004F6814" w:rsidRDefault="004F6814" w:rsidP="004F6814">
      <w:pPr>
        <w:spacing w:line="480" w:lineRule="auto"/>
        <w:jc w:val="both"/>
        <w:rPr>
          <w:rFonts w:ascii="Book Antiqua" w:hAnsi="Book Antiqua"/>
          <w:lang w:val="es-ES_tradnl"/>
        </w:rPr>
      </w:pPr>
      <w:bookmarkStart w:id="1" w:name="_Hlk146009600"/>
      <w:r w:rsidRPr="00BB7FB7">
        <w:rPr>
          <w:rFonts w:ascii="Book Antiqua" w:hAnsi="Book Antiqua"/>
          <w:lang w:val="es-ES_tradnl"/>
        </w:rPr>
        <w:t xml:space="preserve">Artículo </w:t>
      </w:r>
      <w:r w:rsidR="006C1104">
        <w:rPr>
          <w:rFonts w:ascii="Book Antiqua" w:hAnsi="Book Antiqua"/>
          <w:lang w:val="es-ES_tradnl"/>
        </w:rPr>
        <w:t>9</w:t>
      </w:r>
      <w:r w:rsidRPr="00BB7FB7">
        <w:rPr>
          <w:rFonts w:ascii="Book Antiqua" w:hAnsi="Book Antiqua"/>
          <w:lang w:val="es-ES_tradnl"/>
        </w:rPr>
        <w:t>.</w:t>
      </w:r>
      <w:r w:rsidR="00A67C83">
        <w:rPr>
          <w:rFonts w:ascii="Book Antiqua" w:hAnsi="Book Antiqua"/>
          <w:lang w:val="es-ES_tradnl"/>
        </w:rPr>
        <w:t xml:space="preserve"> </w:t>
      </w:r>
      <w:r w:rsidRPr="00BB7FB7">
        <w:rPr>
          <w:rFonts w:ascii="Book Antiqua" w:hAnsi="Book Antiqua"/>
          <w:lang w:val="es-ES_tradnl"/>
        </w:rPr>
        <w:t xml:space="preserve">- </w:t>
      </w:r>
      <w:r w:rsidRPr="0029000D">
        <w:rPr>
          <w:rFonts w:ascii="Book Antiqua" w:hAnsi="Book Antiqua"/>
          <w:lang w:val="es-ES_tradnl"/>
        </w:rPr>
        <w:t xml:space="preserve">Se enmienda </w:t>
      </w:r>
      <w:r>
        <w:rPr>
          <w:rFonts w:ascii="Book Antiqua" w:hAnsi="Book Antiqua"/>
          <w:lang w:val="es-ES_tradnl"/>
        </w:rPr>
        <w:t xml:space="preserve">el Artículo 3 de </w:t>
      </w:r>
      <w:r w:rsidRPr="0029000D">
        <w:rPr>
          <w:rFonts w:ascii="Book Antiqua" w:hAnsi="Book Antiqua"/>
          <w:lang w:val="es-ES_tradnl"/>
        </w:rPr>
        <w:t xml:space="preserve">la Ley 183-1998, según enmendada, conocida como “Ley de Compensación y Servicios a las Víctimas y Testigos de Delito”, a los fines de añadir un nuevo inciso </w:t>
      </w:r>
      <w:r>
        <w:rPr>
          <w:rFonts w:ascii="Book Antiqua" w:hAnsi="Book Antiqua"/>
          <w:lang w:val="es-ES_tradnl"/>
        </w:rPr>
        <w:t>(f)</w:t>
      </w:r>
      <w:r w:rsidRPr="0029000D">
        <w:rPr>
          <w:rFonts w:ascii="Book Antiqua" w:hAnsi="Book Antiqua"/>
          <w:lang w:val="es-ES_tradnl"/>
        </w:rPr>
        <w:t xml:space="preserve"> </w:t>
      </w:r>
      <w:r>
        <w:rPr>
          <w:rFonts w:ascii="Book Antiqua" w:hAnsi="Book Antiqua"/>
          <w:lang w:val="es-ES_tradnl"/>
        </w:rPr>
        <w:t>y reenumerar los subsiguientes</w:t>
      </w:r>
      <w:r w:rsidRPr="0029000D">
        <w:rPr>
          <w:rFonts w:ascii="Book Antiqua" w:hAnsi="Book Antiqua"/>
          <w:lang w:val="es-ES_tradnl"/>
        </w:rPr>
        <w:t>:</w:t>
      </w:r>
    </w:p>
    <w:p w14:paraId="572AA3E2" w14:textId="1FE55961" w:rsidR="004F6814" w:rsidRDefault="004F6814" w:rsidP="004F6814">
      <w:pPr>
        <w:spacing w:line="480" w:lineRule="auto"/>
        <w:ind w:firstLine="720"/>
        <w:jc w:val="both"/>
        <w:rPr>
          <w:rFonts w:ascii="Book Antiqua" w:hAnsi="Book Antiqua"/>
          <w:lang w:val="es-ES_tradnl"/>
        </w:rPr>
      </w:pPr>
      <w:r>
        <w:rPr>
          <w:rFonts w:ascii="Book Antiqua" w:hAnsi="Book Antiqua"/>
          <w:lang w:val="es-ES_tradnl"/>
        </w:rPr>
        <w:t>“Artículo 3.</w:t>
      </w:r>
      <w:r w:rsidR="00A67C83">
        <w:rPr>
          <w:rFonts w:ascii="Book Antiqua" w:hAnsi="Book Antiqua"/>
          <w:lang w:val="es-ES_tradnl"/>
        </w:rPr>
        <w:t xml:space="preserve"> </w:t>
      </w:r>
      <w:r>
        <w:rPr>
          <w:rFonts w:ascii="Book Antiqua" w:hAnsi="Book Antiqua"/>
          <w:lang w:val="es-ES_tradnl"/>
        </w:rPr>
        <w:t>- Definiciones.</w:t>
      </w:r>
    </w:p>
    <w:p w14:paraId="19DDF696" w14:textId="77777777" w:rsidR="004F6814" w:rsidRDefault="004F6814" w:rsidP="004F6814">
      <w:pPr>
        <w:spacing w:line="480" w:lineRule="auto"/>
        <w:ind w:firstLine="720"/>
        <w:jc w:val="both"/>
        <w:rPr>
          <w:rFonts w:ascii="Book Antiqua" w:hAnsi="Book Antiqua"/>
          <w:lang w:val="es-ES_tradnl"/>
        </w:rPr>
      </w:pPr>
      <w:r>
        <w:rPr>
          <w:rFonts w:ascii="Book Antiqua" w:hAnsi="Book Antiqua"/>
          <w:lang w:val="es-ES_tradnl"/>
        </w:rPr>
        <w:lastRenderedPageBreak/>
        <w:t>A los fines de esta ley, los siguientes términos y frases tienen el significado que a continuación se expresa:</w:t>
      </w:r>
    </w:p>
    <w:p w14:paraId="73499807" w14:textId="77777777" w:rsidR="004F6814" w:rsidRDefault="004F6814" w:rsidP="004F6814">
      <w:pPr>
        <w:pStyle w:val="ListParagraph"/>
        <w:numPr>
          <w:ilvl w:val="0"/>
          <w:numId w:val="3"/>
        </w:numPr>
        <w:spacing w:line="480" w:lineRule="auto"/>
        <w:jc w:val="both"/>
        <w:rPr>
          <w:rFonts w:ascii="Book Antiqua" w:hAnsi="Book Antiqua"/>
          <w:lang w:val="es-ES_tradnl"/>
        </w:rPr>
      </w:pPr>
      <w:r>
        <w:rPr>
          <w:rFonts w:ascii="Book Antiqua" w:hAnsi="Book Antiqua"/>
          <w:lang w:val="es-ES_tradnl"/>
        </w:rPr>
        <w:t>…</w:t>
      </w:r>
    </w:p>
    <w:p w14:paraId="20CE4B97" w14:textId="77777777" w:rsidR="002A1718" w:rsidRDefault="004F6814" w:rsidP="002A1718">
      <w:pPr>
        <w:spacing w:line="480" w:lineRule="auto"/>
        <w:ind w:left="720"/>
        <w:jc w:val="both"/>
        <w:rPr>
          <w:rFonts w:ascii="Book Antiqua" w:hAnsi="Book Antiqua"/>
          <w:lang w:val="es-ES_tradnl"/>
        </w:rPr>
      </w:pPr>
      <w:r>
        <w:rPr>
          <w:rFonts w:ascii="Book Antiqua" w:hAnsi="Book Antiqua"/>
          <w:lang w:val="es-ES_tradnl"/>
        </w:rPr>
        <w:t>…</w:t>
      </w:r>
    </w:p>
    <w:p w14:paraId="1C6007F6" w14:textId="5FC5A204" w:rsidR="004F6814" w:rsidRPr="002A1718" w:rsidRDefault="004F6814" w:rsidP="002A1718">
      <w:pPr>
        <w:spacing w:line="480" w:lineRule="auto"/>
        <w:ind w:left="720"/>
        <w:jc w:val="both"/>
        <w:rPr>
          <w:rFonts w:ascii="Book Antiqua" w:hAnsi="Book Antiqua"/>
          <w:lang w:val="es-ES_tradnl"/>
        </w:rPr>
      </w:pPr>
      <w:r w:rsidRPr="00C812FF">
        <w:rPr>
          <w:rFonts w:ascii="Book Antiqua" w:hAnsi="Book Antiqua"/>
          <w:i/>
          <w:iCs/>
          <w:lang w:val="es-ES_tradnl"/>
        </w:rPr>
        <w:t>(f) Víctima de feminicidio. –</w:t>
      </w:r>
      <w:r w:rsidR="00700FD2">
        <w:rPr>
          <w:rFonts w:ascii="Book Antiqua" w:hAnsi="Book Antiqua"/>
          <w:i/>
          <w:iCs/>
          <w:lang w:val="es-ES_tradnl"/>
        </w:rPr>
        <w:t xml:space="preserve"> </w:t>
      </w:r>
      <w:r w:rsidR="00700FD2" w:rsidRPr="00700FD2">
        <w:rPr>
          <w:rFonts w:ascii="Book Antiqua" w:hAnsi="Book Antiqua"/>
          <w:i/>
          <w:iCs/>
          <w:lang w:val="es-ES_tradnl"/>
        </w:rPr>
        <w:t xml:space="preserve">Toda persona residente legal de Puerto Rico o cualquier inmigrante o residente legal en los Estados Unidos residente en Puerto Rico </w:t>
      </w:r>
      <w:r w:rsidR="009F5F12">
        <w:rPr>
          <w:rFonts w:ascii="Book Antiqua" w:hAnsi="Book Antiqua"/>
          <w:i/>
          <w:iCs/>
          <w:lang w:val="es-ES_tradnl"/>
        </w:rPr>
        <w:t xml:space="preserve">cuya muerte sea </w:t>
      </w:r>
      <w:r w:rsidR="00700FD2" w:rsidRPr="00700FD2">
        <w:rPr>
          <w:rFonts w:ascii="Book Antiqua" w:hAnsi="Book Antiqua"/>
          <w:i/>
          <w:iCs/>
          <w:lang w:val="es-ES_tradnl"/>
        </w:rPr>
        <w:t xml:space="preserve">resultado directo de la comisión </w:t>
      </w:r>
      <w:r w:rsidR="009F5F12">
        <w:rPr>
          <w:rFonts w:ascii="Book Antiqua" w:hAnsi="Book Antiqua"/>
          <w:i/>
          <w:iCs/>
          <w:lang w:val="es-ES_tradnl"/>
        </w:rPr>
        <w:t xml:space="preserve">del delito de </w:t>
      </w:r>
      <w:r w:rsidR="00FB4E89">
        <w:rPr>
          <w:rFonts w:ascii="Book Antiqua" w:hAnsi="Book Antiqua"/>
          <w:i/>
          <w:iCs/>
          <w:lang w:val="es-ES_tradnl"/>
        </w:rPr>
        <w:t>asesinato</w:t>
      </w:r>
      <w:r w:rsidR="00206C0E">
        <w:rPr>
          <w:rFonts w:ascii="Book Antiqua" w:hAnsi="Book Antiqua"/>
          <w:i/>
          <w:iCs/>
          <w:lang w:val="es-ES_tradnl"/>
        </w:rPr>
        <w:t>, en su modalidad de feminicidio, según definido en el inciso (e) del Artículo 93 de la Ley 146-2016, según enmendada, conocida como Código Penal de Puerto Rico</w:t>
      </w:r>
      <w:r w:rsidR="00700FD2" w:rsidRPr="00700FD2">
        <w:rPr>
          <w:rFonts w:ascii="Book Antiqua" w:hAnsi="Book Antiqua"/>
          <w:i/>
          <w:iCs/>
          <w:lang w:val="es-ES_tradnl"/>
        </w:rPr>
        <w:t xml:space="preserve">. </w:t>
      </w:r>
    </w:p>
    <w:p w14:paraId="75EF46E5" w14:textId="2707A1FB" w:rsidR="004F6814" w:rsidRPr="00754A66" w:rsidRDefault="004F6814" w:rsidP="004F6814">
      <w:pPr>
        <w:spacing w:line="480" w:lineRule="auto"/>
        <w:ind w:left="720"/>
        <w:jc w:val="both"/>
        <w:rPr>
          <w:rFonts w:ascii="Book Antiqua" w:hAnsi="Book Antiqua"/>
          <w:i/>
          <w:iCs/>
          <w:lang w:val="pt-PT"/>
        </w:rPr>
      </w:pPr>
      <w:r w:rsidRPr="00754A66">
        <w:rPr>
          <w:rFonts w:ascii="Book Antiqua" w:hAnsi="Book Antiqua"/>
          <w:b/>
          <w:bCs/>
          <w:strike/>
          <w:lang w:val="pt-PT"/>
        </w:rPr>
        <w:t>(f)</w:t>
      </w:r>
      <w:r w:rsidRPr="00754A66">
        <w:rPr>
          <w:rFonts w:ascii="Book Antiqua" w:hAnsi="Book Antiqua"/>
          <w:lang w:val="pt-PT"/>
        </w:rPr>
        <w:t xml:space="preserve"> </w:t>
      </w:r>
      <w:r w:rsidRPr="00754A66">
        <w:rPr>
          <w:rFonts w:ascii="Book Antiqua" w:hAnsi="Book Antiqua"/>
          <w:i/>
          <w:iCs/>
          <w:lang w:val="pt-PT"/>
        </w:rPr>
        <w:t>(</w:t>
      </w:r>
      <w:r w:rsidR="0026704E" w:rsidRPr="00754A66">
        <w:rPr>
          <w:rFonts w:ascii="Book Antiqua" w:hAnsi="Book Antiqua"/>
          <w:i/>
          <w:iCs/>
          <w:lang w:val="pt-PT"/>
        </w:rPr>
        <w:t>g) …</w:t>
      </w:r>
    </w:p>
    <w:p w14:paraId="170B3D27" w14:textId="14C7AA94" w:rsidR="0026704E" w:rsidRPr="00754A66" w:rsidRDefault="0026704E" w:rsidP="004F6814">
      <w:pPr>
        <w:spacing w:line="480" w:lineRule="auto"/>
        <w:ind w:left="720"/>
        <w:jc w:val="both"/>
        <w:rPr>
          <w:rFonts w:ascii="Book Antiqua" w:hAnsi="Book Antiqua"/>
          <w:i/>
          <w:iCs/>
          <w:lang w:val="pt-PT"/>
        </w:rPr>
      </w:pPr>
      <w:r w:rsidRPr="00754A66">
        <w:rPr>
          <w:rFonts w:ascii="Book Antiqua" w:hAnsi="Book Antiqua"/>
          <w:b/>
          <w:bCs/>
          <w:strike/>
          <w:lang w:val="pt-PT"/>
        </w:rPr>
        <w:t xml:space="preserve">(g) </w:t>
      </w:r>
      <w:r w:rsidRPr="00754A66">
        <w:rPr>
          <w:rFonts w:ascii="Book Antiqua" w:hAnsi="Book Antiqua"/>
          <w:i/>
          <w:iCs/>
          <w:lang w:val="pt-PT"/>
        </w:rPr>
        <w:t>(h) …</w:t>
      </w:r>
    </w:p>
    <w:p w14:paraId="222462CF" w14:textId="4405EC81" w:rsidR="0026704E" w:rsidRPr="00754A66" w:rsidRDefault="0026704E" w:rsidP="004F6814">
      <w:pPr>
        <w:spacing w:line="480" w:lineRule="auto"/>
        <w:ind w:left="720"/>
        <w:jc w:val="both"/>
        <w:rPr>
          <w:rFonts w:ascii="Book Antiqua" w:hAnsi="Book Antiqua"/>
          <w:i/>
          <w:iCs/>
          <w:lang w:val="pt-PT"/>
        </w:rPr>
      </w:pPr>
      <w:r w:rsidRPr="00754A66">
        <w:rPr>
          <w:rFonts w:ascii="Book Antiqua" w:hAnsi="Book Antiqua"/>
          <w:b/>
          <w:bCs/>
          <w:strike/>
          <w:lang w:val="pt-PT"/>
        </w:rPr>
        <w:t>(h)</w:t>
      </w:r>
      <w:r w:rsidRPr="00754A66">
        <w:rPr>
          <w:rFonts w:ascii="Book Antiqua" w:hAnsi="Book Antiqua"/>
          <w:lang w:val="pt-PT"/>
        </w:rPr>
        <w:t xml:space="preserve"> </w:t>
      </w:r>
      <w:r w:rsidRPr="00754A66">
        <w:rPr>
          <w:rFonts w:ascii="Book Antiqua" w:hAnsi="Book Antiqua"/>
          <w:i/>
          <w:iCs/>
          <w:lang w:val="pt-PT"/>
        </w:rPr>
        <w:t>(i) …</w:t>
      </w:r>
    </w:p>
    <w:p w14:paraId="471CA7C6" w14:textId="4FB88A58" w:rsidR="0026704E" w:rsidRPr="00754A66" w:rsidRDefault="0026704E" w:rsidP="004F6814">
      <w:pPr>
        <w:spacing w:line="480" w:lineRule="auto"/>
        <w:ind w:left="720"/>
        <w:jc w:val="both"/>
        <w:rPr>
          <w:rFonts w:ascii="Book Antiqua" w:hAnsi="Book Antiqua"/>
          <w:i/>
          <w:iCs/>
          <w:lang w:val="pt-PT"/>
        </w:rPr>
      </w:pPr>
      <w:r w:rsidRPr="00754A66">
        <w:rPr>
          <w:rFonts w:ascii="Book Antiqua" w:hAnsi="Book Antiqua"/>
          <w:b/>
          <w:bCs/>
          <w:strike/>
          <w:lang w:val="pt-PT"/>
        </w:rPr>
        <w:t xml:space="preserve">(i) </w:t>
      </w:r>
      <w:r w:rsidRPr="00754A66">
        <w:rPr>
          <w:rFonts w:ascii="Book Antiqua" w:hAnsi="Book Antiqua"/>
          <w:i/>
          <w:iCs/>
          <w:lang w:val="pt-PT"/>
        </w:rPr>
        <w:t>(j) …</w:t>
      </w:r>
    </w:p>
    <w:p w14:paraId="25CE2661" w14:textId="08948B93" w:rsidR="0026704E" w:rsidRPr="00754A66" w:rsidRDefault="0026704E" w:rsidP="004F6814">
      <w:pPr>
        <w:spacing w:line="480" w:lineRule="auto"/>
        <w:ind w:left="720"/>
        <w:jc w:val="both"/>
        <w:rPr>
          <w:rFonts w:ascii="Book Antiqua" w:hAnsi="Book Antiqua"/>
          <w:i/>
          <w:iCs/>
          <w:lang w:val="pt-PT"/>
        </w:rPr>
      </w:pPr>
      <w:r w:rsidRPr="00754A66">
        <w:rPr>
          <w:rFonts w:ascii="Book Antiqua" w:hAnsi="Book Antiqua"/>
          <w:b/>
          <w:bCs/>
          <w:strike/>
          <w:lang w:val="pt-PT"/>
        </w:rPr>
        <w:t xml:space="preserve">(j) </w:t>
      </w:r>
      <w:r w:rsidRPr="00754A66">
        <w:rPr>
          <w:rFonts w:ascii="Book Antiqua" w:hAnsi="Book Antiqua"/>
          <w:i/>
          <w:iCs/>
          <w:lang w:val="pt-PT"/>
        </w:rPr>
        <w:t>(k) …”</w:t>
      </w:r>
    </w:p>
    <w:bookmarkEnd w:id="1"/>
    <w:p w14:paraId="2B1E3878" w14:textId="394D06C1" w:rsidR="004F6814" w:rsidRDefault="004F6814" w:rsidP="004F6814">
      <w:pPr>
        <w:spacing w:line="480" w:lineRule="auto"/>
        <w:jc w:val="both"/>
        <w:rPr>
          <w:rFonts w:ascii="Book Antiqua" w:hAnsi="Book Antiqua"/>
          <w:lang w:val="es-ES_tradnl"/>
        </w:rPr>
      </w:pPr>
      <w:r>
        <w:rPr>
          <w:rFonts w:ascii="Book Antiqua" w:hAnsi="Book Antiqua"/>
          <w:lang w:val="es-ES_tradnl"/>
        </w:rPr>
        <w:t xml:space="preserve">Artículo </w:t>
      </w:r>
      <w:r w:rsidR="006C1104">
        <w:rPr>
          <w:rFonts w:ascii="Book Antiqua" w:hAnsi="Book Antiqua"/>
          <w:lang w:val="es-ES_tradnl"/>
        </w:rPr>
        <w:t>10</w:t>
      </w:r>
      <w:r>
        <w:rPr>
          <w:rFonts w:ascii="Book Antiqua" w:hAnsi="Book Antiqua"/>
          <w:lang w:val="es-ES_tradnl"/>
        </w:rPr>
        <w:t>.</w:t>
      </w:r>
      <w:r w:rsidR="00A67C83">
        <w:rPr>
          <w:rFonts w:ascii="Book Antiqua" w:hAnsi="Book Antiqua"/>
          <w:lang w:val="es-ES_tradnl"/>
        </w:rPr>
        <w:t xml:space="preserve"> </w:t>
      </w:r>
      <w:r>
        <w:rPr>
          <w:rFonts w:ascii="Book Antiqua" w:hAnsi="Book Antiqua"/>
          <w:lang w:val="es-ES_tradnl"/>
        </w:rPr>
        <w:t>- Se enmienda la Ley 183-1998, según enmendada, conocida como “Ley de Compensación y Servicios a las Víctimas y Testigos de Delito”, a los fines de añadir un nuevo Artículo 10 A que leerá como sigue:</w:t>
      </w:r>
    </w:p>
    <w:p w14:paraId="41690DBD" w14:textId="6BC46B6C" w:rsidR="004F6814" w:rsidRPr="009A680B" w:rsidRDefault="004F6814" w:rsidP="004F6814">
      <w:pPr>
        <w:spacing w:line="480" w:lineRule="auto"/>
        <w:ind w:left="720"/>
        <w:jc w:val="both"/>
        <w:rPr>
          <w:rFonts w:ascii="Book Antiqua" w:hAnsi="Book Antiqua"/>
          <w:i/>
          <w:iCs/>
          <w:lang w:val="es-ES_tradnl"/>
        </w:rPr>
      </w:pPr>
      <w:r>
        <w:rPr>
          <w:rFonts w:ascii="Book Antiqua" w:hAnsi="Book Antiqua"/>
          <w:lang w:val="es-ES_tradnl"/>
        </w:rPr>
        <w:t>“</w:t>
      </w:r>
      <w:r w:rsidRPr="009A680B">
        <w:rPr>
          <w:rFonts w:ascii="Book Antiqua" w:hAnsi="Book Antiqua"/>
          <w:i/>
          <w:iCs/>
          <w:lang w:val="es-ES_tradnl"/>
        </w:rPr>
        <w:t>Artículo 10 A.</w:t>
      </w:r>
      <w:r w:rsidR="00A67C83">
        <w:rPr>
          <w:rFonts w:ascii="Book Antiqua" w:hAnsi="Book Antiqua"/>
          <w:i/>
          <w:iCs/>
          <w:lang w:val="es-ES_tradnl"/>
        </w:rPr>
        <w:t xml:space="preserve"> </w:t>
      </w:r>
      <w:r w:rsidRPr="009A680B">
        <w:rPr>
          <w:rFonts w:ascii="Book Antiqua" w:hAnsi="Book Antiqua"/>
          <w:i/>
          <w:iCs/>
          <w:lang w:val="es-ES_tradnl"/>
        </w:rPr>
        <w:t xml:space="preserve">- </w:t>
      </w:r>
      <w:r w:rsidR="003802AE">
        <w:rPr>
          <w:rFonts w:ascii="Book Antiqua" w:hAnsi="Book Antiqua"/>
          <w:i/>
          <w:iCs/>
          <w:lang w:val="es-ES_tradnl"/>
        </w:rPr>
        <w:t>Beneficio de compensación</w:t>
      </w:r>
      <w:r w:rsidRPr="009A680B">
        <w:rPr>
          <w:rFonts w:ascii="Book Antiqua" w:hAnsi="Book Antiqua"/>
          <w:i/>
          <w:iCs/>
          <w:lang w:val="es-ES_tradnl"/>
        </w:rPr>
        <w:t xml:space="preserve"> </w:t>
      </w:r>
      <w:r w:rsidR="003802AE">
        <w:rPr>
          <w:rFonts w:ascii="Book Antiqua" w:hAnsi="Book Antiqua"/>
          <w:i/>
          <w:iCs/>
          <w:lang w:val="es-ES_tradnl"/>
        </w:rPr>
        <w:t>a</w:t>
      </w:r>
      <w:r w:rsidRPr="009A680B">
        <w:rPr>
          <w:rFonts w:ascii="Book Antiqua" w:hAnsi="Book Antiqua"/>
          <w:i/>
          <w:iCs/>
          <w:lang w:val="es-ES_tradnl"/>
        </w:rPr>
        <w:t xml:space="preserve"> l</w:t>
      </w:r>
      <w:r w:rsidR="00E60991">
        <w:rPr>
          <w:rFonts w:ascii="Book Antiqua" w:hAnsi="Book Antiqua"/>
          <w:i/>
          <w:iCs/>
          <w:lang w:val="es-ES_tradnl"/>
        </w:rPr>
        <w:t>a</w:t>
      </w:r>
      <w:r w:rsidRPr="009A680B">
        <w:rPr>
          <w:rFonts w:ascii="Book Antiqua" w:hAnsi="Book Antiqua"/>
          <w:i/>
          <w:iCs/>
          <w:lang w:val="es-ES_tradnl"/>
        </w:rPr>
        <w:t>s hij</w:t>
      </w:r>
      <w:r w:rsidR="00E60991">
        <w:rPr>
          <w:rFonts w:ascii="Book Antiqua" w:hAnsi="Book Antiqua"/>
          <w:i/>
          <w:iCs/>
          <w:lang w:val="es-ES_tradnl"/>
        </w:rPr>
        <w:t>a</w:t>
      </w:r>
      <w:r w:rsidRPr="009A680B">
        <w:rPr>
          <w:rFonts w:ascii="Book Antiqua" w:hAnsi="Book Antiqua"/>
          <w:i/>
          <w:iCs/>
          <w:lang w:val="es-ES_tradnl"/>
        </w:rPr>
        <w:t>s e hij</w:t>
      </w:r>
      <w:r w:rsidR="00E60991">
        <w:rPr>
          <w:rFonts w:ascii="Book Antiqua" w:hAnsi="Book Antiqua"/>
          <w:i/>
          <w:iCs/>
          <w:lang w:val="es-ES_tradnl"/>
        </w:rPr>
        <w:t>o</w:t>
      </w:r>
      <w:r w:rsidRPr="009A680B">
        <w:rPr>
          <w:rFonts w:ascii="Book Antiqua" w:hAnsi="Book Antiqua"/>
          <w:i/>
          <w:iCs/>
          <w:lang w:val="es-ES_tradnl"/>
        </w:rPr>
        <w:t>s de las víctimas de feminicidio.</w:t>
      </w:r>
    </w:p>
    <w:p w14:paraId="7640E3B3" w14:textId="79D0C782" w:rsidR="004F6814" w:rsidRPr="009A680B" w:rsidRDefault="003802AE" w:rsidP="004F6814">
      <w:pPr>
        <w:spacing w:line="480" w:lineRule="auto"/>
        <w:ind w:firstLine="720"/>
        <w:jc w:val="both"/>
        <w:rPr>
          <w:rFonts w:ascii="Book Antiqua" w:hAnsi="Book Antiqua"/>
          <w:i/>
          <w:iCs/>
          <w:lang w:val="es-ES_tradnl"/>
        </w:rPr>
      </w:pPr>
      <w:r>
        <w:rPr>
          <w:rFonts w:ascii="Book Antiqua" w:hAnsi="Book Antiqua"/>
          <w:i/>
          <w:iCs/>
          <w:lang w:val="es-ES_tradnl"/>
        </w:rPr>
        <w:t>Además de los beneficios contenidos en el Artículo 10 de la presente Ley, s</w:t>
      </w:r>
      <w:r w:rsidR="004F6814" w:rsidRPr="009A680B">
        <w:rPr>
          <w:rFonts w:ascii="Book Antiqua" w:hAnsi="Book Antiqua"/>
          <w:i/>
          <w:iCs/>
          <w:lang w:val="es-ES_tradnl"/>
        </w:rPr>
        <w:t xml:space="preserve">e establecerá una pensión mensual que no excederá de quinientos dólares ($500) en beneficio de cada hijo e hija menor de 21 años de las víctimas de feminicidio. El beneficio de la pensión culminará el día primero </w:t>
      </w:r>
      <w:r w:rsidR="004F6814" w:rsidRPr="009A680B">
        <w:rPr>
          <w:rFonts w:ascii="Book Antiqua" w:hAnsi="Book Antiqua"/>
          <w:i/>
          <w:iCs/>
          <w:lang w:val="es-ES_tradnl"/>
        </w:rPr>
        <w:lastRenderedPageBreak/>
        <w:t>del siguiente mes en que el beneficiario o beneficiaria cumpla los veintiún (21) años</w:t>
      </w:r>
      <w:r w:rsidR="00942F6A">
        <w:rPr>
          <w:rFonts w:ascii="Book Antiqua" w:hAnsi="Book Antiqua"/>
          <w:i/>
          <w:iCs/>
          <w:lang w:val="es-ES_tradnl"/>
        </w:rPr>
        <w:t>;</w:t>
      </w:r>
      <w:r w:rsidR="004F6814" w:rsidRPr="009A680B">
        <w:rPr>
          <w:rFonts w:ascii="Book Antiqua" w:hAnsi="Book Antiqua"/>
          <w:i/>
          <w:iCs/>
          <w:lang w:val="es-ES_tradnl"/>
        </w:rPr>
        <w:t xml:space="preserve"> </w:t>
      </w:r>
      <w:r w:rsidR="00942F6A">
        <w:rPr>
          <w:rFonts w:ascii="Book Antiqua" w:hAnsi="Book Antiqua"/>
          <w:i/>
          <w:iCs/>
          <w:lang w:val="es-ES_tradnl"/>
        </w:rPr>
        <w:t>se emancipe,</w:t>
      </w:r>
      <w:r w:rsidR="004F6814" w:rsidRPr="009A680B">
        <w:rPr>
          <w:rFonts w:ascii="Book Antiqua" w:hAnsi="Book Antiqua"/>
          <w:i/>
          <w:iCs/>
          <w:lang w:val="es-ES_tradnl"/>
        </w:rPr>
        <w:t xml:space="preserve"> según lo establecido en la Ley 55-2020, según enmendada, conocida como “Código Civil de Puerto Rico”; o por el fallecimiento del beneficiario o beneficiaria.</w:t>
      </w:r>
    </w:p>
    <w:p w14:paraId="326C3447" w14:textId="771AA1EC" w:rsidR="004F6814" w:rsidRPr="009A680B" w:rsidRDefault="004F6814" w:rsidP="004F6814">
      <w:pPr>
        <w:spacing w:line="480" w:lineRule="auto"/>
        <w:ind w:firstLine="720"/>
        <w:jc w:val="both"/>
        <w:rPr>
          <w:rFonts w:ascii="Book Antiqua" w:hAnsi="Book Antiqua"/>
          <w:i/>
          <w:iCs/>
          <w:lang w:val="es-ES_tradnl"/>
        </w:rPr>
      </w:pPr>
      <w:r w:rsidRPr="009A680B">
        <w:rPr>
          <w:rFonts w:ascii="Book Antiqua" w:hAnsi="Book Antiqua"/>
          <w:i/>
          <w:iCs/>
          <w:lang w:val="es-ES_tradnl"/>
        </w:rPr>
        <w:t xml:space="preserve">Esta pensión será compatible con cualquiera otra pensión de algún régimen previsional u otro beneficio de seguridad social establecido en las leyes y no constituirá remuneración o renta para ningún efecto legal, ni constituirá ingreso para efectos de la calificación socioeconómica y, en consecuencia, no será imponible ni tributable. Las deducciones establecidas en el Artículo 11 de la presente Ley no se aplicarán a la pensión establecida en el presente artículo. </w:t>
      </w:r>
    </w:p>
    <w:p w14:paraId="398B5384" w14:textId="236103DE" w:rsidR="00251D7C" w:rsidRDefault="00251D7C" w:rsidP="00251D7C">
      <w:pPr>
        <w:spacing w:line="480" w:lineRule="auto"/>
        <w:jc w:val="both"/>
        <w:rPr>
          <w:rFonts w:ascii="Book Antiqua" w:hAnsi="Book Antiqua"/>
          <w:lang w:val="es-ES_tradnl"/>
        </w:rPr>
      </w:pPr>
      <w:r w:rsidRPr="00251D7C">
        <w:rPr>
          <w:rFonts w:ascii="Book Antiqua" w:hAnsi="Book Antiqua"/>
          <w:lang w:val="es-ES_tradnl"/>
        </w:rPr>
        <w:t xml:space="preserve">Artículo </w:t>
      </w:r>
      <w:r w:rsidR="00F806D6">
        <w:rPr>
          <w:rFonts w:ascii="Book Antiqua" w:hAnsi="Book Antiqua"/>
          <w:lang w:val="es-ES_tradnl"/>
        </w:rPr>
        <w:t>1</w:t>
      </w:r>
      <w:r w:rsidR="006C1104">
        <w:rPr>
          <w:rFonts w:ascii="Book Antiqua" w:hAnsi="Book Antiqua"/>
          <w:lang w:val="es-ES_tradnl"/>
        </w:rPr>
        <w:t>1</w:t>
      </w:r>
      <w:r w:rsidRPr="00251D7C">
        <w:rPr>
          <w:rFonts w:ascii="Book Antiqua" w:hAnsi="Book Antiqua"/>
          <w:lang w:val="es-ES_tradnl"/>
        </w:rPr>
        <w:t>.</w:t>
      </w:r>
      <w:r w:rsidR="00A67C83">
        <w:rPr>
          <w:rFonts w:ascii="Book Antiqua" w:hAnsi="Book Antiqua"/>
          <w:lang w:val="es-ES_tradnl"/>
        </w:rPr>
        <w:t xml:space="preserve"> </w:t>
      </w:r>
      <w:r w:rsidRPr="00251D7C">
        <w:rPr>
          <w:rFonts w:ascii="Book Antiqua" w:hAnsi="Book Antiqua"/>
          <w:lang w:val="es-ES_tradnl"/>
        </w:rPr>
        <w:t xml:space="preserve">- </w:t>
      </w:r>
      <w:r>
        <w:rPr>
          <w:rFonts w:ascii="Book Antiqua" w:hAnsi="Book Antiqua"/>
          <w:lang w:val="es-ES_tradnl"/>
        </w:rPr>
        <w:t xml:space="preserve">Reglamentación </w:t>
      </w:r>
      <w:r w:rsidR="008B5ABC">
        <w:rPr>
          <w:rFonts w:ascii="Book Antiqua" w:hAnsi="Book Antiqua"/>
          <w:lang w:val="es-ES_tradnl"/>
        </w:rPr>
        <w:t xml:space="preserve">sobre la </w:t>
      </w:r>
      <w:r w:rsidR="008B5ABC" w:rsidRPr="008B5ABC">
        <w:rPr>
          <w:rFonts w:ascii="Book Antiqua" w:hAnsi="Book Antiqua"/>
          <w:lang w:val="es-ES_tradnl"/>
        </w:rPr>
        <w:t>pensión de las hijas e hijos de las víctimas de feminicidio</w:t>
      </w:r>
      <w:r w:rsidR="008B5ABC">
        <w:rPr>
          <w:rFonts w:ascii="Book Antiqua" w:hAnsi="Book Antiqua"/>
          <w:lang w:val="es-ES_tradnl"/>
        </w:rPr>
        <w:t>.</w:t>
      </w:r>
    </w:p>
    <w:p w14:paraId="5508E21C" w14:textId="7A6962F3" w:rsidR="004F6814" w:rsidRPr="00251D7C" w:rsidRDefault="004F6814" w:rsidP="00251D7C">
      <w:pPr>
        <w:spacing w:line="480" w:lineRule="auto"/>
        <w:ind w:firstLine="720"/>
        <w:jc w:val="both"/>
        <w:rPr>
          <w:rFonts w:ascii="Book Antiqua" w:hAnsi="Book Antiqua"/>
          <w:lang w:val="es-ES_tradnl"/>
        </w:rPr>
      </w:pPr>
      <w:r w:rsidRPr="00251D7C">
        <w:rPr>
          <w:rFonts w:ascii="Book Antiqua" w:hAnsi="Book Antiqua"/>
          <w:lang w:val="es-ES_tradnl"/>
        </w:rPr>
        <w:t>El Departamento de Hacienda deberá establecer un Reglamento, conforme a lo establecido en la Ley 38-2017, “Ley de Procedimiento Administrativo Uniforme del Gobierno de Puerto Rico”, mediante el cual se regulará la tramitación, solicitud, pago de la pensión</w:t>
      </w:r>
      <w:r w:rsidR="00251D7C">
        <w:rPr>
          <w:rFonts w:ascii="Book Antiqua" w:hAnsi="Book Antiqua"/>
          <w:lang w:val="es-ES_tradnl"/>
        </w:rPr>
        <w:t xml:space="preserve"> creada en el Artículo </w:t>
      </w:r>
      <w:r w:rsidR="006C1104">
        <w:rPr>
          <w:rFonts w:ascii="Book Antiqua" w:hAnsi="Book Antiqua"/>
          <w:lang w:val="es-ES_tradnl"/>
        </w:rPr>
        <w:t>10</w:t>
      </w:r>
      <w:r w:rsidR="00251D7C">
        <w:rPr>
          <w:rFonts w:ascii="Book Antiqua" w:hAnsi="Book Antiqua"/>
          <w:lang w:val="es-ES_tradnl"/>
        </w:rPr>
        <w:t xml:space="preserve"> de la presente Ley</w:t>
      </w:r>
      <w:r w:rsidRPr="00251D7C">
        <w:rPr>
          <w:rFonts w:ascii="Book Antiqua" w:hAnsi="Book Antiqua"/>
          <w:lang w:val="es-ES_tradnl"/>
        </w:rPr>
        <w:t>, la forma de acreditar los requisitos establecidos para el otorgamiento de la pensión, la forma y las circunstancias en que se harán efectivas las causales de extinción, así como las demás normas necesarias para su aplicación y funcionamiento</w:t>
      </w:r>
      <w:r w:rsidR="00251D7C" w:rsidRPr="00251D7C">
        <w:rPr>
          <w:rFonts w:ascii="Book Antiqua" w:hAnsi="Book Antiqua"/>
          <w:lang w:val="es-ES_tradnl"/>
        </w:rPr>
        <w:t>.</w:t>
      </w:r>
    </w:p>
    <w:p w14:paraId="71CBB1F0" w14:textId="516DF12B" w:rsidR="009F0EBF" w:rsidRDefault="009F0EBF" w:rsidP="009F0EBF">
      <w:pPr>
        <w:spacing w:line="480" w:lineRule="auto"/>
        <w:jc w:val="both"/>
        <w:rPr>
          <w:rFonts w:ascii="Book Antiqua" w:hAnsi="Book Antiqua"/>
          <w:lang w:val="es-ES_tradnl"/>
        </w:rPr>
      </w:pPr>
      <w:r>
        <w:rPr>
          <w:rFonts w:ascii="Book Antiqua" w:hAnsi="Book Antiqua"/>
          <w:lang w:val="es-ES_tradnl"/>
        </w:rPr>
        <w:t xml:space="preserve">Artículo </w:t>
      </w:r>
      <w:r w:rsidR="00251D7C">
        <w:rPr>
          <w:rFonts w:ascii="Book Antiqua" w:hAnsi="Book Antiqua"/>
          <w:lang w:val="es-ES_tradnl"/>
        </w:rPr>
        <w:t>1</w:t>
      </w:r>
      <w:r w:rsidR="006C1104">
        <w:rPr>
          <w:rFonts w:ascii="Book Antiqua" w:hAnsi="Book Antiqua"/>
          <w:lang w:val="es-ES_tradnl"/>
        </w:rPr>
        <w:t>2</w:t>
      </w:r>
      <w:r>
        <w:rPr>
          <w:rFonts w:ascii="Book Antiqua" w:hAnsi="Book Antiqua"/>
          <w:lang w:val="es-ES_tradnl"/>
        </w:rPr>
        <w:t>.</w:t>
      </w:r>
      <w:r w:rsidR="00A67C83">
        <w:rPr>
          <w:rFonts w:ascii="Book Antiqua" w:hAnsi="Book Antiqua"/>
          <w:lang w:val="es-ES_tradnl"/>
        </w:rPr>
        <w:t xml:space="preserve"> -</w:t>
      </w:r>
      <w:r>
        <w:rPr>
          <w:rFonts w:ascii="Book Antiqua" w:hAnsi="Book Antiqua"/>
          <w:lang w:val="es-ES_tradnl"/>
        </w:rPr>
        <w:t xml:space="preserve"> Cláusula de Separabilidad.</w:t>
      </w:r>
    </w:p>
    <w:p w14:paraId="2E76442B" w14:textId="77777777" w:rsidR="009F0EBF" w:rsidRDefault="009F0EBF" w:rsidP="009F0EBF">
      <w:pPr>
        <w:spacing w:line="480" w:lineRule="auto"/>
        <w:ind w:firstLine="360"/>
        <w:jc w:val="both"/>
        <w:rPr>
          <w:rFonts w:ascii="Book Antiqua" w:hAnsi="Book Antiqua"/>
          <w:lang w:val="es-ES_tradnl"/>
        </w:rPr>
      </w:pPr>
      <w:r>
        <w:rPr>
          <w:rFonts w:ascii="Book Antiqua" w:hAnsi="Book Antiqua"/>
          <w:lang w:val="es-ES_tradnl"/>
        </w:rPr>
        <w:t xml:space="preserve">Si cualquier cláusula, párrafo, Artículo o parte de esta Ley fuera declarada inconstitucional por un tribunal con competencia </w:t>
      </w:r>
      <w:r w:rsidRPr="00231EAA">
        <w:rPr>
          <w:rFonts w:ascii="Book Antiqua" w:hAnsi="Book Antiqua"/>
          <w:lang w:val="es-ES_tradnl"/>
        </w:rPr>
        <w:t>y jurisdicción, la sentencia dictada no afectará ni invalidará el resto de la Ley y su efecto se limitará a la cláusula, párrafo, Artículo o parte declarada inconstitucional.</w:t>
      </w:r>
    </w:p>
    <w:p w14:paraId="0A21E264" w14:textId="203DB139" w:rsidR="009F0EBF" w:rsidRDefault="009F0EBF" w:rsidP="009F0EBF">
      <w:pPr>
        <w:spacing w:line="480" w:lineRule="auto"/>
        <w:jc w:val="both"/>
        <w:rPr>
          <w:rFonts w:ascii="Book Antiqua" w:hAnsi="Book Antiqua"/>
          <w:lang w:val="es-ES_tradnl"/>
        </w:rPr>
      </w:pPr>
      <w:r>
        <w:rPr>
          <w:rFonts w:ascii="Book Antiqua" w:hAnsi="Book Antiqua"/>
          <w:lang w:val="es-ES_tradnl"/>
        </w:rPr>
        <w:lastRenderedPageBreak/>
        <w:t xml:space="preserve">Artículo </w:t>
      </w:r>
      <w:r w:rsidR="00251D7C">
        <w:rPr>
          <w:rFonts w:ascii="Book Antiqua" w:hAnsi="Book Antiqua"/>
          <w:lang w:val="es-ES_tradnl"/>
        </w:rPr>
        <w:t>1</w:t>
      </w:r>
      <w:r w:rsidR="006C1104">
        <w:rPr>
          <w:rFonts w:ascii="Book Antiqua" w:hAnsi="Book Antiqua"/>
          <w:lang w:val="es-ES_tradnl"/>
        </w:rPr>
        <w:t>3</w:t>
      </w:r>
      <w:r>
        <w:rPr>
          <w:rFonts w:ascii="Book Antiqua" w:hAnsi="Book Antiqua"/>
          <w:lang w:val="es-ES_tradnl"/>
        </w:rPr>
        <w:t>.</w:t>
      </w:r>
      <w:r w:rsidR="00A67C83">
        <w:rPr>
          <w:rFonts w:ascii="Book Antiqua" w:hAnsi="Book Antiqua"/>
          <w:lang w:val="es-ES_tradnl"/>
        </w:rPr>
        <w:t xml:space="preserve"> -</w:t>
      </w:r>
      <w:r>
        <w:rPr>
          <w:rFonts w:ascii="Book Antiqua" w:hAnsi="Book Antiqua"/>
          <w:lang w:val="es-ES_tradnl"/>
        </w:rPr>
        <w:t xml:space="preserve"> Vigencia.</w:t>
      </w:r>
    </w:p>
    <w:p w14:paraId="65A174E2" w14:textId="6C4A4D74" w:rsidR="009F0EBF" w:rsidRPr="009F0EBF" w:rsidRDefault="009F0EBF" w:rsidP="006523FD">
      <w:pPr>
        <w:spacing w:line="480" w:lineRule="auto"/>
        <w:ind w:left="360"/>
        <w:jc w:val="both"/>
        <w:rPr>
          <w:rFonts w:ascii="Book Antiqua" w:hAnsi="Book Antiqua"/>
          <w:lang w:val="es-ES_tradnl"/>
        </w:rPr>
      </w:pPr>
      <w:r>
        <w:rPr>
          <w:rFonts w:ascii="Book Antiqua" w:hAnsi="Book Antiqua"/>
          <w:lang w:val="es-ES_tradnl"/>
        </w:rPr>
        <w:t xml:space="preserve">Esta Ley comenzará a regir inmediatamente después de su aprobación. </w:t>
      </w:r>
    </w:p>
    <w:sectPr w:rsidR="009F0EBF" w:rsidRPr="009F0EBF" w:rsidSect="00AF2BE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72475" w14:textId="77777777" w:rsidR="00217E07" w:rsidRDefault="00217E07">
      <w:r>
        <w:separator/>
      </w:r>
    </w:p>
  </w:endnote>
  <w:endnote w:type="continuationSeparator" w:id="0">
    <w:p w14:paraId="441D3ABE" w14:textId="77777777" w:rsidR="00217E07" w:rsidRDefault="00217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68197F" w14:textId="77777777" w:rsidR="00217E07" w:rsidRDefault="00217E07">
      <w:r>
        <w:separator/>
      </w:r>
    </w:p>
  </w:footnote>
  <w:footnote w:type="continuationSeparator" w:id="0">
    <w:p w14:paraId="596C315B" w14:textId="77777777" w:rsidR="00217E07" w:rsidRDefault="00217E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1C0F2" w14:textId="77777777" w:rsidR="009F0EBF" w:rsidRDefault="009F0EB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26501"/>
    <w:multiLevelType w:val="hybridMultilevel"/>
    <w:tmpl w:val="0850356E"/>
    <w:lvl w:ilvl="0" w:tplc="3C5600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EC452F4"/>
    <w:multiLevelType w:val="hybridMultilevel"/>
    <w:tmpl w:val="A1BAF2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245546"/>
    <w:multiLevelType w:val="hybridMultilevel"/>
    <w:tmpl w:val="CF6E695C"/>
    <w:lvl w:ilvl="0" w:tplc="1750C6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04614310">
    <w:abstractNumId w:val="2"/>
  </w:num>
  <w:num w:numId="2" w16cid:durableId="2106460621">
    <w:abstractNumId w:val="1"/>
  </w:num>
  <w:num w:numId="3" w16cid:durableId="707874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F0EBF"/>
    <w:rsid w:val="00020BBB"/>
    <w:rsid w:val="000451D4"/>
    <w:rsid w:val="00056024"/>
    <w:rsid w:val="00063F6F"/>
    <w:rsid w:val="00095AE1"/>
    <w:rsid w:val="000A6B6C"/>
    <w:rsid w:val="000B0DBB"/>
    <w:rsid w:val="000B4BF2"/>
    <w:rsid w:val="000D4157"/>
    <w:rsid w:val="00111E71"/>
    <w:rsid w:val="001157C4"/>
    <w:rsid w:val="00127C6A"/>
    <w:rsid w:val="0013282F"/>
    <w:rsid w:val="001363FE"/>
    <w:rsid w:val="00157452"/>
    <w:rsid w:val="0017132B"/>
    <w:rsid w:val="00176D6C"/>
    <w:rsid w:val="001F4CA3"/>
    <w:rsid w:val="001F612A"/>
    <w:rsid w:val="00206C0E"/>
    <w:rsid w:val="002105A0"/>
    <w:rsid w:val="00211396"/>
    <w:rsid w:val="00217E07"/>
    <w:rsid w:val="00226AE6"/>
    <w:rsid w:val="00245B34"/>
    <w:rsid w:val="00251D7C"/>
    <w:rsid w:val="00263355"/>
    <w:rsid w:val="0026704E"/>
    <w:rsid w:val="00273792"/>
    <w:rsid w:val="002926EE"/>
    <w:rsid w:val="002A1718"/>
    <w:rsid w:val="002D4AC8"/>
    <w:rsid w:val="002D54FC"/>
    <w:rsid w:val="002E2B97"/>
    <w:rsid w:val="00320D78"/>
    <w:rsid w:val="003802AE"/>
    <w:rsid w:val="00380FE5"/>
    <w:rsid w:val="003924DD"/>
    <w:rsid w:val="00394FCB"/>
    <w:rsid w:val="003963F4"/>
    <w:rsid w:val="003B5254"/>
    <w:rsid w:val="003B75A6"/>
    <w:rsid w:val="003E2A9B"/>
    <w:rsid w:val="004061CA"/>
    <w:rsid w:val="00415689"/>
    <w:rsid w:val="004440CB"/>
    <w:rsid w:val="004713D2"/>
    <w:rsid w:val="004A0F56"/>
    <w:rsid w:val="004E113E"/>
    <w:rsid w:val="004E4F05"/>
    <w:rsid w:val="004F6814"/>
    <w:rsid w:val="00521639"/>
    <w:rsid w:val="00532BB7"/>
    <w:rsid w:val="005332E4"/>
    <w:rsid w:val="0053550C"/>
    <w:rsid w:val="0054505E"/>
    <w:rsid w:val="00555018"/>
    <w:rsid w:val="005723DC"/>
    <w:rsid w:val="00600323"/>
    <w:rsid w:val="00600E88"/>
    <w:rsid w:val="006210DC"/>
    <w:rsid w:val="00627C61"/>
    <w:rsid w:val="0064349D"/>
    <w:rsid w:val="006475E2"/>
    <w:rsid w:val="006523FD"/>
    <w:rsid w:val="00653EED"/>
    <w:rsid w:val="00685549"/>
    <w:rsid w:val="006B7365"/>
    <w:rsid w:val="006C1104"/>
    <w:rsid w:val="006C2D81"/>
    <w:rsid w:val="006C7DF8"/>
    <w:rsid w:val="006D45F5"/>
    <w:rsid w:val="00700FD2"/>
    <w:rsid w:val="00750FC8"/>
    <w:rsid w:val="007533D0"/>
    <w:rsid w:val="00754A66"/>
    <w:rsid w:val="00755069"/>
    <w:rsid w:val="007A5089"/>
    <w:rsid w:val="007B0660"/>
    <w:rsid w:val="007D37C6"/>
    <w:rsid w:val="007E3756"/>
    <w:rsid w:val="007E3868"/>
    <w:rsid w:val="00820C41"/>
    <w:rsid w:val="00850256"/>
    <w:rsid w:val="00850AD3"/>
    <w:rsid w:val="008539C4"/>
    <w:rsid w:val="00890996"/>
    <w:rsid w:val="008B5ABC"/>
    <w:rsid w:val="0093686F"/>
    <w:rsid w:val="00942F6A"/>
    <w:rsid w:val="00942FD4"/>
    <w:rsid w:val="00951997"/>
    <w:rsid w:val="00966886"/>
    <w:rsid w:val="00990352"/>
    <w:rsid w:val="009925FD"/>
    <w:rsid w:val="009E0F0C"/>
    <w:rsid w:val="009F0EBF"/>
    <w:rsid w:val="009F5F12"/>
    <w:rsid w:val="00A01C46"/>
    <w:rsid w:val="00A03405"/>
    <w:rsid w:val="00A11296"/>
    <w:rsid w:val="00A1528A"/>
    <w:rsid w:val="00A33918"/>
    <w:rsid w:val="00A53881"/>
    <w:rsid w:val="00A62CF1"/>
    <w:rsid w:val="00A67C83"/>
    <w:rsid w:val="00A7629F"/>
    <w:rsid w:val="00A8478C"/>
    <w:rsid w:val="00A94E02"/>
    <w:rsid w:val="00AA1487"/>
    <w:rsid w:val="00AF0CEE"/>
    <w:rsid w:val="00AF476E"/>
    <w:rsid w:val="00B046EC"/>
    <w:rsid w:val="00B36870"/>
    <w:rsid w:val="00B667AD"/>
    <w:rsid w:val="00B74176"/>
    <w:rsid w:val="00B84C38"/>
    <w:rsid w:val="00B86C00"/>
    <w:rsid w:val="00B947F6"/>
    <w:rsid w:val="00BA0807"/>
    <w:rsid w:val="00BD070E"/>
    <w:rsid w:val="00BF16AA"/>
    <w:rsid w:val="00C2504D"/>
    <w:rsid w:val="00C30FCB"/>
    <w:rsid w:val="00C354B8"/>
    <w:rsid w:val="00C52517"/>
    <w:rsid w:val="00C60921"/>
    <w:rsid w:val="00C62936"/>
    <w:rsid w:val="00C653F2"/>
    <w:rsid w:val="00C679E6"/>
    <w:rsid w:val="00C812FF"/>
    <w:rsid w:val="00C8733F"/>
    <w:rsid w:val="00C908F9"/>
    <w:rsid w:val="00CA0917"/>
    <w:rsid w:val="00CA1099"/>
    <w:rsid w:val="00CD5B91"/>
    <w:rsid w:val="00D417C2"/>
    <w:rsid w:val="00D60936"/>
    <w:rsid w:val="00D709EB"/>
    <w:rsid w:val="00D74714"/>
    <w:rsid w:val="00D82F3F"/>
    <w:rsid w:val="00D921C6"/>
    <w:rsid w:val="00D958C2"/>
    <w:rsid w:val="00DB53C3"/>
    <w:rsid w:val="00DF3D2E"/>
    <w:rsid w:val="00E04AB5"/>
    <w:rsid w:val="00E50EEA"/>
    <w:rsid w:val="00E52F58"/>
    <w:rsid w:val="00E60991"/>
    <w:rsid w:val="00EC26AA"/>
    <w:rsid w:val="00ED7A53"/>
    <w:rsid w:val="00EE4273"/>
    <w:rsid w:val="00F00109"/>
    <w:rsid w:val="00F02004"/>
    <w:rsid w:val="00F042CB"/>
    <w:rsid w:val="00F40F4E"/>
    <w:rsid w:val="00F4251D"/>
    <w:rsid w:val="00F47E93"/>
    <w:rsid w:val="00F60A20"/>
    <w:rsid w:val="00F611FC"/>
    <w:rsid w:val="00F806D6"/>
    <w:rsid w:val="00FA2CE9"/>
    <w:rsid w:val="00FA4B95"/>
    <w:rsid w:val="00FB4E89"/>
    <w:rsid w:val="00FC0A95"/>
    <w:rsid w:val="00FC2D7D"/>
    <w:rsid w:val="00FC3D9C"/>
    <w:rsid w:val="00FE6ECE"/>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A57E01"/>
  <w15:chartTrackingRefBased/>
  <w15:docId w15:val="{6CE46346-A87A-49B0-BEB4-B69A91EAA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EBF"/>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link w:val="Header"/>
    <w:rsid w:val="009F0EBF"/>
    <w:rPr>
      <w:sz w:val="24"/>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9F0E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2012</Words>
  <Characters>10282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5</cp:revision>
  <cp:lastPrinted>2025-01-09T14:31:00Z</cp:lastPrinted>
  <dcterms:created xsi:type="dcterms:W3CDTF">2025-01-10T20:47:00Z</dcterms:created>
  <dcterms:modified xsi:type="dcterms:W3CDTF">2025-01-13T18:48:00Z</dcterms:modified>
</cp:coreProperties>
</file>