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8DFF5" w14:textId="77777777" w:rsidR="00DB792F" w:rsidRPr="00552B60" w:rsidRDefault="00DB792F" w:rsidP="002E5E1F">
      <w:pPr>
        <w:tabs>
          <w:tab w:val="center" w:pos="4680"/>
        </w:tabs>
        <w:jc w:val="center"/>
        <w:rPr>
          <w:rFonts w:ascii="Book Antiqua" w:eastAsia="Calibri" w:hAnsi="Book Antiqua"/>
          <w:sz w:val="32"/>
          <w:szCs w:val="32"/>
          <w:lang w:val="es-ES"/>
        </w:rPr>
      </w:pPr>
      <w:r w:rsidRPr="00552B60">
        <w:rPr>
          <w:rFonts w:ascii="Book Antiqua" w:eastAsia="Calibri" w:hAnsi="Book Antiqua"/>
          <w:sz w:val="32"/>
          <w:szCs w:val="32"/>
          <w:lang w:val="es-ES"/>
        </w:rPr>
        <w:t>GOBIERNO DE PUERTO RICO</w:t>
      </w:r>
    </w:p>
    <w:p w14:paraId="4DF487A1" w14:textId="77777777" w:rsidR="00DB792F" w:rsidRPr="00552B60" w:rsidRDefault="00DB792F" w:rsidP="002E5E1F">
      <w:pPr>
        <w:tabs>
          <w:tab w:val="center" w:pos="4680"/>
        </w:tabs>
        <w:jc w:val="center"/>
        <w:rPr>
          <w:rFonts w:ascii="Book Antiqua" w:eastAsia="Calibri" w:hAnsi="Book Antiqua"/>
          <w:szCs w:val="24"/>
          <w:lang w:val="es-ES"/>
        </w:rPr>
      </w:pPr>
    </w:p>
    <w:p w14:paraId="39040C39" w14:textId="77777777" w:rsidR="00DB792F" w:rsidRPr="00552B60" w:rsidRDefault="007966A8" w:rsidP="002E5E1F">
      <w:pPr>
        <w:tabs>
          <w:tab w:val="left" w:pos="7560"/>
        </w:tabs>
        <w:jc w:val="both"/>
        <w:rPr>
          <w:rFonts w:ascii="Book Antiqua" w:eastAsia="Calibri" w:hAnsi="Book Antiqua"/>
          <w:szCs w:val="24"/>
          <w:lang w:val="es-ES"/>
        </w:rPr>
      </w:pPr>
      <w:r w:rsidRPr="00552B60">
        <w:rPr>
          <w:rFonts w:ascii="Book Antiqua" w:eastAsia="Calibri" w:hAnsi="Book Antiqua"/>
          <w:szCs w:val="24"/>
          <w:lang w:val="es-ES"/>
        </w:rPr>
        <w:t>20</w:t>
      </w:r>
      <w:r w:rsidRPr="00552B60">
        <w:rPr>
          <w:rFonts w:ascii="Book Antiqua" w:eastAsia="Calibri" w:hAnsi="Book Antiqua"/>
          <w:szCs w:val="24"/>
          <w:vertAlign w:val="superscript"/>
          <w:lang w:val="es-ES"/>
        </w:rPr>
        <w:t>m</w:t>
      </w:r>
      <w:r w:rsidR="00DB792F" w:rsidRPr="00552B60">
        <w:rPr>
          <w:rFonts w:ascii="Book Antiqua" w:eastAsia="Calibri" w:hAnsi="Book Antiqua"/>
          <w:szCs w:val="24"/>
          <w:vertAlign w:val="superscript"/>
          <w:lang w:val="es-ES"/>
        </w:rPr>
        <w:t>a</w:t>
      </w:r>
      <w:r w:rsidR="00DB792F" w:rsidRPr="00552B60">
        <w:rPr>
          <w:rFonts w:ascii="Book Antiqua" w:eastAsia="Calibri" w:hAnsi="Book Antiqua"/>
          <w:szCs w:val="24"/>
          <w:lang w:val="es-ES"/>
        </w:rPr>
        <w:t xml:space="preserve"> Asamblea</w:t>
      </w:r>
      <w:r w:rsidR="00DB792F" w:rsidRPr="00552B60">
        <w:rPr>
          <w:rFonts w:ascii="Book Antiqua" w:eastAsia="Calibri" w:hAnsi="Book Antiqua"/>
          <w:szCs w:val="24"/>
          <w:lang w:val="es-ES"/>
        </w:rPr>
        <w:tab/>
        <w:t xml:space="preserve"> </w:t>
      </w:r>
      <w:r w:rsidRPr="00552B60">
        <w:rPr>
          <w:rFonts w:ascii="Book Antiqua" w:eastAsia="Calibri" w:hAnsi="Book Antiqua"/>
          <w:szCs w:val="24"/>
          <w:lang w:val="es-ES"/>
        </w:rPr>
        <w:t>1</w:t>
      </w:r>
      <w:r w:rsidRPr="00552B60">
        <w:rPr>
          <w:rFonts w:ascii="Book Antiqua" w:eastAsia="Calibri" w:hAnsi="Book Antiqua"/>
          <w:szCs w:val="24"/>
          <w:vertAlign w:val="superscript"/>
          <w:lang w:val="es-ES"/>
        </w:rPr>
        <w:t>r</w:t>
      </w:r>
      <w:r w:rsidR="00DB792F" w:rsidRPr="00552B60">
        <w:rPr>
          <w:rFonts w:ascii="Book Antiqua" w:eastAsia="Calibri" w:hAnsi="Book Antiqua"/>
          <w:szCs w:val="24"/>
          <w:vertAlign w:val="superscript"/>
          <w:lang w:val="es-ES"/>
        </w:rPr>
        <w:t>a</w:t>
      </w:r>
      <w:r w:rsidR="00DB792F" w:rsidRPr="00552B60">
        <w:rPr>
          <w:rFonts w:ascii="Book Antiqua" w:eastAsia="Calibri" w:hAnsi="Book Antiqua"/>
          <w:szCs w:val="24"/>
          <w:lang w:val="es-ES"/>
        </w:rPr>
        <w:t xml:space="preserve"> Sesión </w:t>
      </w:r>
    </w:p>
    <w:p w14:paraId="6B55AD4A" w14:textId="77777777" w:rsidR="00DB792F" w:rsidRPr="00552B60" w:rsidRDefault="00DB792F" w:rsidP="002E5E1F">
      <w:pPr>
        <w:tabs>
          <w:tab w:val="left" w:pos="8100"/>
        </w:tabs>
        <w:jc w:val="both"/>
        <w:rPr>
          <w:rFonts w:ascii="Book Antiqua" w:eastAsia="Calibri" w:hAnsi="Book Antiqua"/>
          <w:szCs w:val="24"/>
          <w:lang w:val="es-ES"/>
        </w:rPr>
      </w:pPr>
      <w:r w:rsidRPr="00552B60">
        <w:rPr>
          <w:rFonts w:ascii="Book Antiqua" w:eastAsia="Calibri" w:hAnsi="Book Antiqua"/>
          <w:szCs w:val="24"/>
          <w:lang w:val="es-ES"/>
        </w:rPr>
        <w:t xml:space="preserve">       Legislativa                                                                                                          Ordinaria</w:t>
      </w:r>
    </w:p>
    <w:p w14:paraId="50E5CDC4" w14:textId="77777777" w:rsidR="00DB792F" w:rsidRPr="00552B60" w:rsidRDefault="00DB792F" w:rsidP="002E5E1F">
      <w:pPr>
        <w:jc w:val="center"/>
        <w:rPr>
          <w:rFonts w:ascii="Book Antiqua" w:eastAsia="Calibri" w:hAnsi="Book Antiqua"/>
          <w:b/>
          <w:szCs w:val="24"/>
          <w:lang w:val="es-ES"/>
        </w:rPr>
      </w:pPr>
    </w:p>
    <w:p w14:paraId="1B13C8F9" w14:textId="77777777" w:rsidR="00DB792F" w:rsidRPr="00552B60" w:rsidRDefault="00DB792F" w:rsidP="002E5E1F">
      <w:pPr>
        <w:jc w:val="center"/>
        <w:rPr>
          <w:rFonts w:ascii="Book Antiqua" w:eastAsia="Calibri" w:hAnsi="Book Antiqua"/>
          <w:sz w:val="36"/>
          <w:szCs w:val="36"/>
          <w:lang w:val="es-ES"/>
        </w:rPr>
      </w:pPr>
      <w:r w:rsidRPr="00552B60">
        <w:rPr>
          <w:rFonts w:ascii="Book Antiqua" w:eastAsia="Calibri" w:hAnsi="Book Antiqua"/>
          <w:sz w:val="36"/>
          <w:szCs w:val="36"/>
          <w:lang w:val="es-ES"/>
        </w:rPr>
        <w:t>SENADO DE PUERTO RICO</w:t>
      </w:r>
    </w:p>
    <w:p w14:paraId="6111BA18" w14:textId="77777777" w:rsidR="00DB792F" w:rsidRPr="00552B60" w:rsidRDefault="00DB792F" w:rsidP="002E5E1F">
      <w:pPr>
        <w:jc w:val="center"/>
        <w:rPr>
          <w:rFonts w:ascii="Book Antiqua" w:eastAsia="Calibri" w:hAnsi="Book Antiqua"/>
          <w:szCs w:val="24"/>
          <w:lang w:val="es-ES"/>
        </w:rPr>
      </w:pPr>
    </w:p>
    <w:p w14:paraId="001D090F" w14:textId="7DACD074" w:rsidR="00DB792F" w:rsidRPr="00552B60" w:rsidRDefault="00DB792F" w:rsidP="002E5E1F">
      <w:pPr>
        <w:jc w:val="center"/>
        <w:rPr>
          <w:rFonts w:ascii="Book Antiqua" w:hAnsi="Book Antiqua"/>
          <w:b/>
          <w:sz w:val="52"/>
          <w:szCs w:val="52"/>
          <w:lang w:val="es-ES"/>
        </w:rPr>
      </w:pPr>
      <w:r w:rsidRPr="00552B60">
        <w:rPr>
          <w:rFonts w:ascii="Book Antiqua" w:hAnsi="Book Antiqua"/>
          <w:b/>
          <w:sz w:val="52"/>
          <w:szCs w:val="52"/>
          <w:lang w:val="es-ES"/>
        </w:rPr>
        <w:t xml:space="preserve">P. del S. </w:t>
      </w:r>
      <w:r w:rsidR="00A45D61" w:rsidRPr="00552B60">
        <w:rPr>
          <w:rFonts w:ascii="Book Antiqua" w:hAnsi="Book Antiqua"/>
          <w:b/>
          <w:sz w:val="52"/>
          <w:szCs w:val="52"/>
          <w:lang w:val="es-ES"/>
        </w:rPr>
        <w:t>217</w:t>
      </w:r>
    </w:p>
    <w:p w14:paraId="74F12BDC" w14:textId="77777777" w:rsidR="00DB792F" w:rsidRPr="00552B60" w:rsidRDefault="00DB792F" w:rsidP="002E5E1F">
      <w:pPr>
        <w:jc w:val="center"/>
        <w:rPr>
          <w:rFonts w:ascii="Book Antiqua" w:hAnsi="Book Antiqua"/>
          <w:b/>
          <w:szCs w:val="24"/>
          <w:lang w:val="es-ES"/>
        </w:rPr>
      </w:pPr>
    </w:p>
    <w:p w14:paraId="632C8597" w14:textId="47109EEC" w:rsidR="00DB792F" w:rsidRPr="00552B60" w:rsidRDefault="00DB792F" w:rsidP="002E5E1F">
      <w:pPr>
        <w:jc w:val="center"/>
        <w:rPr>
          <w:rFonts w:ascii="Book Antiqua" w:hAnsi="Book Antiqua"/>
          <w:b/>
          <w:sz w:val="22"/>
          <w:szCs w:val="22"/>
          <w:lang w:val="es-ES"/>
        </w:rPr>
      </w:pPr>
      <w:r w:rsidRPr="00552B60">
        <w:rPr>
          <w:rFonts w:ascii="Book Antiqua" w:hAnsi="Book Antiqua"/>
          <w:b/>
          <w:szCs w:val="24"/>
          <w:lang w:val="es-ES"/>
        </w:rPr>
        <w:t>INFORME POSITIVO</w:t>
      </w:r>
      <w:r w:rsidR="009B55EA">
        <w:rPr>
          <w:rFonts w:ascii="Book Antiqua" w:hAnsi="Book Antiqua"/>
          <w:b/>
          <w:szCs w:val="24"/>
          <w:lang w:val="es-ES"/>
        </w:rPr>
        <w:t xml:space="preserve"> CONJUNTO</w:t>
      </w:r>
    </w:p>
    <w:p w14:paraId="3E0DE505" w14:textId="77777777" w:rsidR="00DB792F" w:rsidRPr="00552B60" w:rsidRDefault="00DB792F" w:rsidP="002E5E1F">
      <w:pPr>
        <w:jc w:val="center"/>
        <w:rPr>
          <w:rFonts w:ascii="Book Antiqua" w:hAnsi="Book Antiqua"/>
          <w:szCs w:val="24"/>
          <w:lang w:val="es-ES"/>
        </w:rPr>
      </w:pPr>
    </w:p>
    <w:p w14:paraId="3617D1A0" w14:textId="4D252328" w:rsidR="00DB792F" w:rsidRPr="00552B60" w:rsidRDefault="00B637D3" w:rsidP="002E5E1F">
      <w:pPr>
        <w:jc w:val="center"/>
        <w:rPr>
          <w:rFonts w:ascii="Book Antiqua" w:hAnsi="Book Antiqua"/>
          <w:szCs w:val="24"/>
          <w:lang w:val="es-ES"/>
        </w:rPr>
      </w:pPr>
      <w:r>
        <w:rPr>
          <w:rFonts w:ascii="Book Antiqua" w:hAnsi="Book Antiqua"/>
          <w:szCs w:val="24"/>
          <w:lang w:val="es-ES"/>
        </w:rPr>
        <w:t xml:space="preserve">8 </w:t>
      </w:r>
      <w:r w:rsidR="00DB792F" w:rsidRPr="00552B60">
        <w:rPr>
          <w:rFonts w:ascii="Book Antiqua" w:hAnsi="Book Antiqua"/>
          <w:szCs w:val="24"/>
          <w:lang w:val="es-ES"/>
        </w:rPr>
        <w:t xml:space="preserve">de </w:t>
      </w:r>
      <w:r>
        <w:rPr>
          <w:rFonts w:ascii="Book Antiqua" w:hAnsi="Book Antiqua"/>
          <w:szCs w:val="24"/>
          <w:lang w:val="es-ES"/>
        </w:rPr>
        <w:t>mayo</w:t>
      </w:r>
      <w:r w:rsidR="00370830" w:rsidRPr="00552B60">
        <w:rPr>
          <w:rFonts w:ascii="Book Antiqua" w:hAnsi="Book Antiqua"/>
          <w:szCs w:val="24"/>
          <w:lang w:val="es-ES"/>
        </w:rPr>
        <w:t xml:space="preserve"> </w:t>
      </w:r>
      <w:r w:rsidR="00DB792F" w:rsidRPr="00552B60">
        <w:rPr>
          <w:rFonts w:ascii="Book Antiqua" w:hAnsi="Book Antiqua"/>
          <w:szCs w:val="24"/>
          <w:lang w:val="es-ES"/>
        </w:rPr>
        <w:t>de 202</w:t>
      </w:r>
      <w:r w:rsidR="007966A8" w:rsidRPr="00552B60">
        <w:rPr>
          <w:rFonts w:ascii="Book Antiqua" w:hAnsi="Book Antiqua"/>
          <w:szCs w:val="24"/>
          <w:lang w:val="es-ES"/>
        </w:rPr>
        <w:t>5</w:t>
      </w:r>
    </w:p>
    <w:p w14:paraId="4AD1B4AD" w14:textId="77777777" w:rsidR="00DB792F" w:rsidRPr="00552B60" w:rsidRDefault="00DB792F" w:rsidP="002E5E1F">
      <w:pPr>
        <w:jc w:val="both"/>
        <w:rPr>
          <w:rFonts w:ascii="Book Antiqua" w:hAnsi="Book Antiqua"/>
          <w:b/>
          <w:szCs w:val="24"/>
          <w:lang w:val="es-ES"/>
        </w:rPr>
      </w:pPr>
    </w:p>
    <w:p w14:paraId="6A0D2A9C" w14:textId="77777777" w:rsidR="00DB792F" w:rsidRPr="00552B60" w:rsidRDefault="00DB792F" w:rsidP="002E5E1F">
      <w:pPr>
        <w:jc w:val="both"/>
        <w:rPr>
          <w:rFonts w:ascii="Book Antiqua" w:hAnsi="Book Antiqua"/>
          <w:szCs w:val="24"/>
          <w:lang w:val="es-ES"/>
        </w:rPr>
      </w:pPr>
      <w:r w:rsidRPr="00552B60">
        <w:rPr>
          <w:rFonts w:ascii="Book Antiqua" w:hAnsi="Book Antiqua"/>
          <w:b/>
          <w:szCs w:val="24"/>
          <w:lang w:val="es-ES"/>
        </w:rPr>
        <w:t>AL SENADO DE PUERTO RICO</w:t>
      </w:r>
    </w:p>
    <w:p w14:paraId="162893BE" w14:textId="77777777" w:rsidR="00DB792F" w:rsidRPr="00552B60" w:rsidRDefault="00DB792F" w:rsidP="002E5E1F">
      <w:pPr>
        <w:ind w:firstLine="720"/>
        <w:jc w:val="both"/>
        <w:rPr>
          <w:rFonts w:ascii="Book Antiqua" w:hAnsi="Book Antiqua"/>
          <w:szCs w:val="24"/>
          <w:lang w:val="es-ES"/>
        </w:rPr>
      </w:pPr>
    </w:p>
    <w:p w14:paraId="2DB8972C" w14:textId="11273468" w:rsidR="00DB792F" w:rsidRPr="00552B60" w:rsidRDefault="00DB792F" w:rsidP="00C15E91">
      <w:pPr>
        <w:ind w:firstLine="360"/>
        <w:jc w:val="both"/>
        <w:rPr>
          <w:rFonts w:ascii="Book Antiqua" w:hAnsi="Book Antiqua"/>
          <w:szCs w:val="24"/>
          <w:lang w:val="es-ES"/>
        </w:rPr>
      </w:pPr>
      <w:r w:rsidRPr="00552B60">
        <w:rPr>
          <w:rFonts w:ascii="Book Antiqua" w:hAnsi="Book Antiqua"/>
          <w:szCs w:val="24"/>
          <w:lang w:val="es-ES"/>
        </w:rPr>
        <w:t>La</w:t>
      </w:r>
      <w:r w:rsidR="00370830" w:rsidRPr="00552B60">
        <w:rPr>
          <w:rFonts w:ascii="Book Antiqua" w:hAnsi="Book Antiqua"/>
          <w:szCs w:val="24"/>
          <w:lang w:val="es-ES"/>
        </w:rPr>
        <w:t>s</w:t>
      </w:r>
      <w:r w:rsidRPr="00552B60">
        <w:rPr>
          <w:rFonts w:ascii="Book Antiqua" w:hAnsi="Book Antiqua"/>
          <w:szCs w:val="24"/>
          <w:lang w:val="es-ES"/>
        </w:rPr>
        <w:t xml:space="preserve"> </w:t>
      </w:r>
      <w:r w:rsidR="00370830" w:rsidRPr="00552B60">
        <w:rPr>
          <w:rFonts w:ascii="Book Antiqua" w:hAnsi="Book Antiqua"/>
          <w:szCs w:val="24"/>
          <w:lang w:val="es-ES"/>
        </w:rPr>
        <w:t>comisiones d</w:t>
      </w:r>
      <w:r w:rsidR="00E44D4D" w:rsidRPr="00552B60">
        <w:rPr>
          <w:rFonts w:ascii="Book Antiqua" w:hAnsi="Book Antiqua"/>
          <w:szCs w:val="24"/>
          <w:lang w:val="es-ES"/>
        </w:rPr>
        <w:t>e Transportación, Telecomunicaciones, Servicios Públicos y Asuntos del Consumidor</w:t>
      </w:r>
      <w:r w:rsidR="00370830" w:rsidRPr="00552B60">
        <w:rPr>
          <w:rFonts w:ascii="Book Antiqua" w:hAnsi="Book Antiqua"/>
          <w:szCs w:val="24"/>
          <w:lang w:val="es-ES"/>
        </w:rPr>
        <w:t xml:space="preserve">; y de </w:t>
      </w:r>
      <w:r w:rsidR="00A45D61" w:rsidRPr="00552B60">
        <w:rPr>
          <w:rFonts w:ascii="Book Antiqua" w:hAnsi="Book Antiqua"/>
          <w:szCs w:val="24"/>
          <w:lang w:val="es-ES"/>
        </w:rPr>
        <w:t>Gobierno del Sena</w:t>
      </w:r>
      <w:r w:rsidRPr="00552B60">
        <w:rPr>
          <w:rFonts w:ascii="Book Antiqua" w:hAnsi="Book Antiqua"/>
          <w:szCs w:val="24"/>
          <w:lang w:val="es-ES"/>
        </w:rPr>
        <w:t>do</w:t>
      </w:r>
      <w:r w:rsidR="007966A8" w:rsidRPr="00552B60">
        <w:rPr>
          <w:rFonts w:ascii="Book Antiqua" w:hAnsi="Book Antiqua"/>
          <w:szCs w:val="24"/>
          <w:lang w:val="es-ES"/>
        </w:rPr>
        <w:t xml:space="preserve"> de Puerto Rico</w:t>
      </w:r>
      <w:r w:rsidRPr="00552B60">
        <w:rPr>
          <w:rFonts w:ascii="Book Antiqua" w:hAnsi="Book Antiqua"/>
          <w:szCs w:val="24"/>
          <w:lang w:val="es-ES"/>
        </w:rPr>
        <w:t>, previo estudio y consideración, recomienda</w:t>
      </w:r>
      <w:r w:rsidR="00370830" w:rsidRPr="00552B60">
        <w:rPr>
          <w:rFonts w:ascii="Book Antiqua" w:hAnsi="Book Antiqua"/>
          <w:szCs w:val="24"/>
          <w:lang w:val="es-ES"/>
        </w:rPr>
        <w:t>n</w:t>
      </w:r>
      <w:r w:rsidRPr="00552B60">
        <w:rPr>
          <w:rFonts w:ascii="Book Antiqua" w:hAnsi="Book Antiqua"/>
          <w:szCs w:val="24"/>
          <w:lang w:val="es-ES"/>
        </w:rPr>
        <w:t xml:space="preserve"> la aprobación del </w:t>
      </w:r>
      <w:r w:rsidR="00E44D4D" w:rsidRPr="00552B60">
        <w:rPr>
          <w:rFonts w:ascii="Book Antiqua" w:hAnsi="Book Antiqua"/>
          <w:szCs w:val="24"/>
          <w:lang w:val="es-ES"/>
        </w:rPr>
        <w:t xml:space="preserve">P. del S. </w:t>
      </w:r>
      <w:r w:rsidR="00A45D61" w:rsidRPr="00552B60">
        <w:rPr>
          <w:rFonts w:ascii="Book Antiqua" w:hAnsi="Book Antiqua"/>
          <w:szCs w:val="24"/>
          <w:lang w:val="es-ES"/>
        </w:rPr>
        <w:t>217</w:t>
      </w:r>
      <w:r w:rsidR="00E44D4D" w:rsidRPr="00552B60">
        <w:rPr>
          <w:rFonts w:ascii="Book Antiqua" w:hAnsi="Book Antiqua"/>
          <w:szCs w:val="24"/>
          <w:lang w:val="es-ES"/>
        </w:rPr>
        <w:t xml:space="preserve">, </w:t>
      </w:r>
      <w:r w:rsidRPr="00552B60">
        <w:rPr>
          <w:rFonts w:ascii="Book Antiqua" w:hAnsi="Book Antiqua"/>
          <w:szCs w:val="24"/>
          <w:lang w:val="es-ES"/>
        </w:rPr>
        <w:t xml:space="preserve">con las </w:t>
      </w:r>
      <w:r w:rsidRPr="00552B60">
        <w:rPr>
          <w:rFonts w:ascii="Book Antiqua" w:hAnsi="Book Antiqua"/>
          <w:bCs/>
          <w:szCs w:val="24"/>
          <w:lang w:val="es-ES"/>
        </w:rPr>
        <w:t xml:space="preserve">enmiendas contenidas en el </w:t>
      </w:r>
      <w:proofErr w:type="spellStart"/>
      <w:r w:rsidRPr="00552B60">
        <w:rPr>
          <w:rFonts w:ascii="Book Antiqua" w:hAnsi="Book Antiqua"/>
          <w:bCs/>
          <w:szCs w:val="24"/>
          <w:lang w:val="es-ES"/>
        </w:rPr>
        <w:t>entirillado</w:t>
      </w:r>
      <w:proofErr w:type="spellEnd"/>
      <w:r w:rsidRPr="00552B60">
        <w:rPr>
          <w:rFonts w:ascii="Book Antiqua" w:hAnsi="Book Antiqua"/>
          <w:bCs/>
          <w:szCs w:val="24"/>
          <w:lang w:val="es-ES"/>
        </w:rPr>
        <w:t xml:space="preserve"> electrónico que acompaña</w:t>
      </w:r>
      <w:r w:rsidR="00A64F09" w:rsidRPr="00552B60">
        <w:rPr>
          <w:rFonts w:ascii="Book Antiqua" w:hAnsi="Book Antiqua"/>
          <w:bCs/>
          <w:szCs w:val="24"/>
          <w:lang w:val="es-ES"/>
        </w:rPr>
        <w:t xml:space="preserve"> a este informe</w:t>
      </w:r>
      <w:r w:rsidRPr="00552B60">
        <w:rPr>
          <w:rFonts w:ascii="Book Antiqua" w:hAnsi="Book Antiqua"/>
          <w:szCs w:val="24"/>
          <w:lang w:val="es-ES"/>
        </w:rPr>
        <w:t>.</w:t>
      </w:r>
    </w:p>
    <w:p w14:paraId="1D8C40D6" w14:textId="77777777" w:rsidR="00DB792F" w:rsidRPr="00552B60" w:rsidRDefault="00DB792F" w:rsidP="002E5E1F">
      <w:pPr>
        <w:ind w:firstLine="720"/>
        <w:jc w:val="both"/>
        <w:rPr>
          <w:rFonts w:ascii="Book Antiqua" w:hAnsi="Book Antiqua"/>
          <w:b/>
          <w:szCs w:val="24"/>
          <w:lang w:val="es-ES"/>
        </w:rPr>
      </w:pPr>
    </w:p>
    <w:p w14:paraId="28A02105" w14:textId="77777777" w:rsidR="00DB792F" w:rsidRPr="00552B60" w:rsidRDefault="00DB792F" w:rsidP="00C15E91">
      <w:pPr>
        <w:ind w:firstLine="360"/>
        <w:jc w:val="center"/>
        <w:rPr>
          <w:rFonts w:ascii="Book Antiqua" w:hAnsi="Book Antiqua"/>
          <w:b/>
          <w:szCs w:val="24"/>
          <w:lang w:val="es-ES"/>
        </w:rPr>
      </w:pPr>
      <w:r w:rsidRPr="00552B60">
        <w:rPr>
          <w:rFonts w:ascii="Book Antiqua" w:hAnsi="Book Antiqua"/>
          <w:b/>
          <w:szCs w:val="24"/>
          <w:lang w:val="es-ES"/>
        </w:rPr>
        <w:t>ALCANCE DE LA MEDIDA</w:t>
      </w:r>
    </w:p>
    <w:p w14:paraId="221F770A" w14:textId="77777777" w:rsidR="00DB792F" w:rsidRPr="00552B60" w:rsidRDefault="00DB792F" w:rsidP="002E5E1F">
      <w:pPr>
        <w:ind w:firstLine="720"/>
        <w:jc w:val="center"/>
        <w:rPr>
          <w:rFonts w:ascii="Book Antiqua" w:hAnsi="Book Antiqua"/>
          <w:szCs w:val="24"/>
          <w:lang w:val="es-ES"/>
        </w:rPr>
      </w:pPr>
    </w:p>
    <w:p w14:paraId="1C7F5A60" w14:textId="17B06FF6" w:rsidR="00A64F09" w:rsidRPr="00552B60" w:rsidRDefault="00A64F09" w:rsidP="00C15E91">
      <w:pPr>
        <w:tabs>
          <w:tab w:val="left" w:pos="0"/>
        </w:tabs>
        <w:ind w:firstLine="360"/>
        <w:jc w:val="both"/>
        <w:rPr>
          <w:rFonts w:ascii="Book Antiqua" w:hAnsi="Book Antiqua"/>
          <w:szCs w:val="24"/>
          <w:lang w:val="es-ES"/>
        </w:rPr>
      </w:pPr>
      <w:r w:rsidRPr="00552B60">
        <w:rPr>
          <w:rFonts w:ascii="Book Antiqua" w:hAnsi="Book Antiqua"/>
          <w:szCs w:val="24"/>
          <w:lang w:val="es-ES"/>
        </w:rPr>
        <w:t xml:space="preserve">El P. del S. </w:t>
      </w:r>
      <w:r w:rsidR="00A45D61" w:rsidRPr="00552B60">
        <w:rPr>
          <w:rFonts w:ascii="Book Antiqua" w:hAnsi="Book Antiqua"/>
          <w:szCs w:val="24"/>
          <w:lang w:val="es-ES"/>
        </w:rPr>
        <w:t>217</w:t>
      </w:r>
      <w:r w:rsidR="00E44D4D" w:rsidRPr="00552B60">
        <w:rPr>
          <w:rFonts w:ascii="Book Antiqua" w:hAnsi="Book Antiqua"/>
          <w:szCs w:val="24"/>
          <w:lang w:val="es-ES"/>
        </w:rPr>
        <w:t xml:space="preserve"> </w:t>
      </w:r>
      <w:r w:rsidRPr="00552B60">
        <w:rPr>
          <w:rFonts w:ascii="Book Antiqua" w:hAnsi="Book Antiqua"/>
          <w:szCs w:val="24"/>
          <w:lang w:val="es-ES"/>
        </w:rPr>
        <w:t xml:space="preserve">tiene como propósito </w:t>
      </w:r>
      <w:r w:rsidRPr="00552B60">
        <w:rPr>
          <w:rFonts w:ascii="Book Antiqua" w:hAnsi="Book Antiqua"/>
          <w:i/>
          <w:iCs/>
          <w:szCs w:val="24"/>
          <w:lang w:val="es-ES"/>
        </w:rPr>
        <w:t>“…</w:t>
      </w:r>
      <w:r w:rsidR="00A45D61" w:rsidRPr="00552B60">
        <w:rPr>
          <w:rFonts w:ascii="Book Antiqua" w:hAnsi="Book Antiqua"/>
          <w:i/>
          <w:iCs/>
          <w:szCs w:val="24"/>
          <w:lang w:val="es-ES"/>
        </w:rPr>
        <w:t>añadir un nuevo Artículo 1.86-A y enmendar el Artículo 6.19 de la Ley 22-2000, según enmendada, conocida como “Ley de Vehículos y Tránsito de Puerto Rico”, con el propósito de prohibir el estacionamiento de vehículos de motor en un espacio que sirva como punto de recarga de vehículos impulsados mayormente por electricidad, salvo que el vehículo ahí estacionado se encuentre conectado y en uso del dispositivo de carga; definir que es un “Punto de Recarga de Vehículos Impulsados Mayormente por Electricidad”, para efectos de esta Ley; y para otros fines relacionados</w:t>
      </w:r>
      <w:r w:rsidRPr="00552B60">
        <w:rPr>
          <w:rFonts w:ascii="Book Antiqua" w:hAnsi="Book Antiqua"/>
          <w:i/>
          <w:iCs/>
          <w:szCs w:val="24"/>
          <w:lang w:val="es-ES"/>
        </w:rPr>
        <w:t>”</w:t>
      </w:r>
      <w:r w:rsidRPr="00552B60">
        <w:rPr>
          <w:rFonts w:ascii="Book Antiqua" w:hAnsi="Book Antiqua"/>
          <w:szCs w:val="24"/>
          <w:lang w:val="es-ES"/>
        </w:rPr>
        <w:t>.</w:t>
      </w:r>
    </w:p>
    <w:p w14:paraId="4B92DA40" w14:textId="77777777" w:rsidR="00A64F09" w:rsidRPr="00552B60" w:rsidRDefault="00A64F09" w:rsidP="008D629E">
      <w:pPr>
        <w:tabs>
          <w:tab w:val="left" w:pos="0"/>
        </w:tabs>
        <w:jc w:val="both"/>
        <w:rPr>
          <w:rFonts w:ascii="Book Antiqua" w:hAnsi="Book Antiqua"/>
          <w:szCs w:val="24"/>
          <w:lang w:val="es-ES"/>
        </w:rPr>
      </w:pPr>
    </w:p>
    <w:p w14:paraId="7DBE8D6D" w14:textId="77777777" w:rsidR="005276D3" w:rsidRPr="00552B60" w:rsidRDefault="005276D3" w:rsidP="00C15E91">
      <w:pPr>
        <w:tabs>
          <w:tab w:val="left" w:pos="0"/>
        </w:tabs>
        <w:ind w:firstLine="360"/>
        <w:jc w:val="both"/>
        <w:rPr>
          <w:rFonts w:ascii="Book Antiqua" w:hAnsi="Book Antiqua"/>
          <w:szCs w:val="24"/>
          <w:lang w:val="es-ES"/>
        </w:rPr>
      </w:pPr>
      <w:r w:rsidRPr="00552B60">
        <w:rPr>
          <w:rFonts w:ascii="Book Antiqua" w:hAnsi="Book Antiqua"/>
          <w:szCs w:val="24"/>
          <w:lang w:val="es-ES"/>
        </w:rPr>
        <w:t>De entrada, es menester señalar la importancia que reviste al proyecto de autos. Estimamos que la Exposición de Motivos de la medida, explica por sí misma lo imperativo de aprobarse, al señalarnos que</w:t>
      </w:r>
    </w:p>
    <w:p w14:paraId="09B0B281" w14:textId="77777777" w:rsidR="005276D3" w:rsidRPr="00552B60" w:rsidRDefault="005276D3" w:rsidP="00C15E91">
      <w:pPr>
        <w:tabs>
          <w:tab w:val="left" w:pos="0"/>
        </w:tabs>
        <w:ind w:firstLine="360"/>
        <w:jc w:val="both"/>
        <w:rPr>
          <w:rFonts w:ascii="Book Antiqua" w:hAnsi="Book Antiqua"/>
          <w:szCs w:val="24"/>
          <w:lang w:val="es-ES"/>
        </w:rPr>
      </w:pPr>
    </w:p>
    <w:p w14:paraId="4B1B697D" w14:textId="77777777" w:rsidR="00A45D61" w:rsidRPr="00552B60" w:rsidRDefault="005276D3" w:rsidP="00A45D61">
      <w:pPr>
        <w:tabs>
          <w:tab w:val="left" w:pos="720"/>
        </w:tabs>
        <w:ind w:left="720" w:right="720"/>
        <w:jc w:val="both"/>
        <w:rPr>
          <w:rFonts w:ascii="Book Antiqua" w:hAnsi="Book Antiqua"/>
          <w:sz w:val="22"/>
          <w:szCs w:val="22"/>
          <w:lang w:val="es-ES"/>
        </w:rPr>
      </w:pPr>
      <w:r w:rsidRPr="00552B60">
        <w:rPr>
          <w:rFonts w:ascii="Book Antiqua" w:hAnsi="Book Antiqua"/>
          <w:sz w:val="22"/>
          <w:szCs w:val="22"/>
          <w:lang w:val="es-ES"/>
        </w:rPr>
        <w:t>[</w:t>
      </w:r>
      <w:r w:rsidR="00A45D61" w:rsidRPr="00552B60">
        <w:rPr>
          <w:rFonts w:ascii="Book Antiqua" w:hAnsi="Book Antiqua"/>
          <w:sz w:val="22"/>
          <w:szCs w:val="22"/>
          <w:lang w:val="es-ES"/>
        </w:rPr>
        <w:t>s</w:t>
      </w:r>
      <w:r w:rsidRPr="00552B60">
        <w:rPr>
          <w:rFonts w:ascii="Book Antiqua" w:hAnsi="Book Antiqua"/>
          <w:sz w:val="22"/>
          <w:szCs w:val="22"/>
          <w:lang w:val="es-ES"/>
        </w:rPr>
        <w:t>]</w:t>
      </w:r>
      <w:proofErr w:type="spellStart"/>
      <w:r w:rsidR="00A45D61" w:rsidRPr="00552B60">
        <w:rPr>
          <w:rFonts w:ascii="Book Antiqua" w:hAnsi="Book Antiqua"/>
          <w:sz w:val="22"/>
          <w:szCs w:val="22"/>
          <w:lang w:val="es-ES"/>
        </w:rPr>
        <w:t>egún</w:t>
      </w:r>
      <w:proofErr w:type="spellEnd"/>
      <w:r w:rsidR="00A45D61" w:rsidRPr="00552B60">
        <w:rPr>
          <w:rFonts w:ascii="Book Antiqua" w:hAnsi="Book Antiqua"/>
          <w:sz w:val="22"/>
          <w:szCs w:val="22"/>
          <w:lang w:val="es-ES"/>
        </w:rPr>
        <w:t xml:space="preserve"> la Ley 81-2014, conocida como la “Ley Para el Fomento de los Vehículos Impulsados Mayormente por Electricidad”, el automóvil híbrido “</w:t>
      </w:r>
      <w:proofErr w:type="spellStart"/>
      <w:r w:rsidR="00A45D61" w:rsidRPr="00552B60">
        <w:rPr>
          <w:rFonts w:ascii="Book Antiqua" w:hAnsi="Book Antiqua"/>
          <w:sz w:val="22"/>
          <w:szCs w:val="22"/>
          <w:lang w:val="es-ES"/>
        </w:rPr>
        <w:t>plug</w:t>
      </w:r>
      <w:proofErr w:type="spellEnd"/>
      <w:r w:rsidR="00A45D61" w:rsidRPr="00552B60">
        <w:rPr>
          <w:rFonts w:ascii="Book Antiqua" w:hAnsi="Book Antiqua"/>
          <w:sz w:val="22"/>
          <w:szCs w:val="22"/>
          <w:lang w:val="es-ES"/>
        </w:rPr>
        <w:t xml:space="preserve">-in” combina un motor convencional de combustible con un motor eléctrico de energía </w:t>
      </w:r>
      <w:proofErr w:type="spellStart"/>
      <w:r w:rsidR="00A45D61" w:rsidRPr="00552B60">
        <w:rPr>
          <w:rFonts w:ascii="Book Antiqua" w:hAnsi="Book Antiqua"/>
          <w:sz w:val="22"/>
          <w:szCs w:val="22"/>
          <w:lang w:val="es-ES"/>
        </w:rPr>
        <w:t>regenerable</w:t>
      </w:r>
      <w:proofErr w:type="spellEnd"/>
      <w:r w:rsidR="00A45D61" w:rsidRPr="00552B60">
        <w:rPr>
          <w:rFonts w:ascii="Book Antiqua" w:hAnsi="Book Antiqua"/>
          <w:sz w:val="22"/>
          <w:szCs w:val="22"/>
          <w:lang w:val="es-ES"/>
        </w:rPr>
        <w:t>. Estos vehículos híbridos eléctricos pueden recargarse al ser enchufados a un receptáculo convencional o a una estación de recarga residencial o comercial dispuesta para estos fines. Por otro lado, los vehículos eléctricos son aquellos que utilizan energía eléctrica para propulsarse, por lo que no producen ningún tipo de emisión al medio ambiente.</w:t>
      </w:r>
    </w:p>
    <w:p w14:paraId="180CC8EB" w14:textId="07FE8AB1" w:rsidR="00A45D61" w:rsidRPr="00552B60" w:rsidRDefault="00A45D61" w:rsidP="00A45D61">
      <w:pPr>
        <w:tabs>
          <w:tab w:val="left" w:pos="720"/>
        </w:tabs>
        <w:ind w:left="720" w:right="720"/>
        <w:jc w:val="both"/>
        <w:rPr>
          <w:rFonts w:ascii="Book Antiqua" w:hAnsi="Book Antiqua"/>
          <w:sz w:val="22"/>
          <w:szCs w:val="22"/>
          <w:lang w:val="es-ES"/>
        </w:rPr>
      </w:pPr>
      <w:r w:rsidRPr="00552B60">
        <w:rPr>
          <w:rFonts w:ascii="Book Antiqua" w:hAnsi="Book Antiqua"/>
          <w:sz w:val="22"/>
          <w:szCs w:val="22"/>
          <w:lang w:val="es-ES"/>
        </w:rPr>
        <w:lastRenderedPageBreak/>
        <w:t>La literatura disponible apunta a que, en conjunto, estos tipos de vehículos reducen la contaminación atmosférica, la dependencia en el petróleo y las emisiones de gases que contribuyen a la contaminación de la atmósfera. Asimismo, además de ser eco-amigables, estos vehículos con tecnologías verdes le ahorran sumas sustanciales al bolsillo del consumidor ante el rendimiento cada vez más alto que exhiben.</w:t>
      </w:r>
    </w:p>
    <w:p w14:paraId="31E0391D" w14:textId="77777777" w:rsidR="00A45D61" w:rsidRPr="00552B60" w:rsidRDefault="00A45D61" w:rsidP="00A45D61">
      <w:pPr>
        <w:tabs>
          <w:tab w:val="left" w:pos="720"/>
        </w:tabs>
        <w:ind w:left="720" w:right="720"/>
        <w:jc w:val="both"/>
        <w:rPr>
          <w:rFonts w:ascii="Book Antiqua" w:hAnsi="Book Antiqua"/>
          <w:sz w:val="22"/>
          <w:szCs w:val="22"/>
          <w:lang w:val="es-ES"/>
        </w:rPr>
      </w:pPr>
    </w:p>
    <w:p w14:paraId="3D849B50" w14:textId="75AABB4C" w:rsidR="00A45D61" w:rsidRPr="00552B60" w:rsidRDefault="00A45D61" w:rsidP="00A45D61">
      <w:pPr>
        <w:tabs>
          <w:tab w:val="left" w:pos="720"/>
        </w:tabs>
        <w:ind w:left="720" w:right="720"/>
        <w:jc w:val="both"/>
        <w:rPr>
          <w:rFonts w:ascii="Book Antiqua" w:hAnsi="Book Antiqua"/>
          <w:sz w:val="22"/>
          <w:szCs w:val="22"/>
          <w:lang w:val="es-ES"/>
        </w:rPr>
      </w:pPr>
      <w:r w:rsidRPr="00552B60">
        <w:rPr>
          <w:rFonts w:ascii="Book Antiqua" w:hAnsi="Book Antiqua"/>
          <w:sz w:val="22"/>
          <w:szCs w:val="22"/>
          <w:lang w:val="es-ES"/>
        </w:rPr>
        <w:t>Ahora bien, ha sido traído ante la consideración de esta Asamblea Legislativa de Puerto Rico, el que, presuntamente, se ha recrudecido la práctica de utilizar los lugares para recargar los antes mencionados vehículos impulsados mayormente por electricidad, como si fueran estacionamientos, sin que necesariamente el vehículo sea uno eléctrico o si lo es, que se encuentre utilizando el dispositivo de carga. Aparentemente, esta situación se encuentra ocurriendo en los centros comerciales que, como parte de sus servicios, han ubicado estaciones de carga, para el beneficio de los consumidores que han adquirido estos tipos de vehículo de motor.</w:t>
      </w:r>
    </w:p>
    <w:p w14:paraId="34F141B1" w14:textId="77777777" w:rsidR="00A45D61" w:rsidRPr="00552B60" w:rsidRDefault="00A45D61" w:rsidP="00A45D61">
      <w:pPr>
        <w:tabs>
          <w:tab w:val="left" w:pos="720"/>
        </w:tabs>
        <w:ind w:left="720" w:right="720"/>
        <w:jc w:val="both"/>
        <w:rPr>
          <w:rFonts w:ascii="Book Antiqua" w:hAnsi="Book Antiqua"/>
          <w:sz w:val="22"/>
          <w:szCs w:val="22"/>
          <w:lang w:val="es-ES"/>
        </w:rPr>
      </w:pPr>
    </w:p>
    <w:p w14:paraId="027E29DC" w14:textId="77777777" w:rsidR="00A45D61" w:rsidRPr="00552B60" w:rsidRDefault="00A45D61" w:rsidP="00A45D61">
      <w:pPr>
        <w:tabs>
          <w:tab w:val="left" w:pos="720"/>
        </w:tabs>
        <w:ind w:left="720" w:right="720"/>
        <w:jc w:val="both"/>
        <w:rPr>
          <w:rFonts w:ascii="Book Antiqua" w:hAnsi="Book Antiqua"/>
          <w:sz w:val="22"/>
          <w:szCs w:val="22"/>
          <w:lang w:val="es-ES"/>
        </w:rPr>
      </w:pPr>
      <w:r w:rsidRPr="00552B60">
        <w:rPr>
          <w:rFonts w:ascii="Book Antiqua" w:hAnsi="Book Antiqua"/>
          <w:sz w:val="22"/>
          <w:szCs w:val="22"/>
          <w:lang w:val="es-ES"/>
        </w:rPr>
        <w:t>Cabe destacar que, hoy día, la Ley 22-2000, según enmendada, conocida como “Ley de Vehículos y Tránsito de Puerto Rico”, dispone que ninguna persona podrá parar, detener o estacionar un vehículo en la vía pública en distintos sitios, salvo en situaciones extraordinaria para evitar conflictos con el tránsito, o por indicación específica de un oficial policíaco, un semáforo o en una señal de tránsito. Entre los lugares en los que no se pueden estacionar vehículos de motor, tenemos las aceras, en los cruces de calles o carreteras, sobre un paso de peatones, paralelo a o al lado opuesto de una excavación u obstrucción, paralelo a o contiguo a un vehículo parado o estacionado en una vía pública, sobre las isletas, donde ubica una boca de incendio, frente a un parque de bombas de incendio, en cualquier entrada o salida de un garaje, frente a la entrada a un templo religioso, institución educativa pública o privada, cine teatro, instituciones bancarias, áreas de estacionamiento o de servicio para la venta de gasolina y sitios donde se celebren actos públicos o en sitios destinados para las paradas de ómnibus debidamente marcadas, pintadas o rotuladas, entre otros.</w:t>
      </w:r>
    </w:p>
    <w:p w14:paraId="723A6CCC" w14:textId="77777777" w:rsidR="00A45D61" w:rsidRPr="00552B60" w:rsidRDefault="00A45D61" w:rsidP="00A45D61">
      <w:pPr>
        <w:tabs>
          <w:tab w:val="left" w:pos="720"/>
        </w:tabs>
        <w:ind w:left="720" w:right="720"/>
        <w:jc w:val="both"/>
        <w:rPr>
          <w:rFonts w:ascii="Book Antiqua" w:hAnsi="Book Antiqua"/>
          <w:sz w:val="22"/>
          <w:szCs w:val="22"/>
          <w:lang w:val="es-ES"/>
        </w:rPr>
      </w:pPr>
    </w:p>
    <w:p w14:paraId="460808C0" w14:textId="3D188F33" w:rsidR="00A45D61" w:rsidRPr="00552B60" w:rsidRDefault="00A45D61" w:rsidP="00A45D61">
      <w:pPr>
        <w:tabs>
          <w:tab w:val="left" w:pos="720"/>
        </w:tabs>
        <w:ind w:left="720" w:right="720"/>
        <w:jc w:val="both"/>
        <w:rPr>
          <w:rFonts w:ascii="Book Antiqua" w:hAnsi="Book Antiqua"/>
          <w:sz w:val="22"/>
          <w:szCs w:val="22"/>
          <w:lang w:val="es-ES"/>
        </w:rPr>
      </w:pPr>
      <w:r w:rsidRPr="00552B60">
        <w:rPr>
          <w:rFonts w:ascii="Book Antiqua" w:hAnsi="Book Antiqua"/>
          <w:sz w:val="22"/>
          <w:szCs w:val="22"/>
          <w:lang w:val="es-ES"/>
        </w:rPr>
        <w:t>Sin embargo, nada dice la Ley en cuanto al estacionar vehículos de motor en puntos de recarga de vehículos impulsados mayormente por electricidad. Claro está, cuando la Ley 22 se promulga en el año 2000, esta era una tecnología que apenas comenzaba a desarrollarse y comercializarse, por lo que era poco probable vaticinar que sugiera una situación como la que esta legislación busca atender. Según los estimados de la industria, en Puerto Rico no existen más 5000 vehículos eléctricos (Véase: https://www.primerahora.com/noticias/gobierno-politica/notas/en-ruta-proyecto-de-estaciones-de-recarga-para-autos-electricos/), y, aunque, la cantidad de estaciones de recarga es escasa y puede variar, dependiendo del buscador que se utilice, no es menos cierto que esta es una tecnología que llegó para quedarse y que, a futuro, deberá regularse con más precisión.</w:t>
      </w:r>
    </w:p>
    <w:p w14:paraId="533732A5" w14:textId="77777777" w:rsidR="00A45D61" w:rsidRPr="00552B60" w:rsidRDefault="00A45D61" w:rsidP="00A45D61">
      <w:pPr>
        <w:tabs>
          <w:tab w:val="left" w:pos="720"/>
        </w:tabs>
        <w:ind w:left="720" w:right="720"/>
        <w:jc w:val="both"/>
        <w:rPr>
          <w:rFonts w:ascii="Book Antiqua" w:hAnsi="Book Antiqua"/>
          <w:sz w:val="22"/>
          <w:szCs w:val="22"/>
          <w:lang w:val="es-ES"/>
        </w:rPr>
      </w:pPr>
    </w:p>
    <w:p w14:paraId="3F6ABADF" w14:textId="13AB1398" w:rsidR="00E44D4D" w:rsidRPr="00552B60" w:rsidRDefault="00A45D61" w:rsidP="005276D3">
      <w:pPr>
        <w:tabs>
          <w:tab w:val="left" w:pos="720"/>
        </w:tabs>
        <w:ind w:left="720" w:right="720"/>
        <w:jc w:val="both"/>
        <w:rPr>
          <w:rFonts w:ascii="Book Antiqua" w:hAnsi="Book Antiqua"/>
          <w:sz w:val="22"/>
          <w:szCs w:val="22"/>
          <w:lang w:val="es-ES"/>
        </w:rPr>
      </w:pPr>
      <w:r w:rsidRPr="00552B60">
        <w:rPr>
          <w:rFonts w:ascii="Book Antiqua" w:hAnsi="Book Antiqua"/>
          <w:sz w:val="22"/>
          <w:szCs w:val="22"/>
          <w:lang w:val="es-ES"/>
        </w:rPr>
        <w:lastRenderedPageBreak/>
        <w:t xml:space="preserve">Expuesto lo anterior, y en consideración a una problemática que se acrecienta aceleradamente, con el devenir del tiempo, se estima necesario enmendar la “Ley de Vehículos y Tránsito de Puerto Rico”, con el propósito de prohibir el estacionamiento de vehículos de motor en un espacio que sirva como punto de recarga de vehículos impulsados mayormente por electricidad, salvo que el vehículo ahí estacionado se encuentre conectado y en uso del dispositivo de carga. Disponiéndose que, toda persona que viole la </w:t>
      </w:r>
      <w:proofErr w:type="gramStart"/>
      <w:r w:rsidRPr="00552B60">
        <w:rPr>
          <w:rFonts w:ascii="Book Antiqua" w:hAnsi="Book Antiqua"/>
          <w:sz w:val="22"/>
          <w:szCs w:val="22"/>
          <w:lang w:val="es-ES"/>
        </w:rPr>
        <w:t>ley,</w:t>
      </w:r>
      <w:proofErr w:type="gramEnd"/>
      <w:r w:rsidRPr="00552B60">
        <w:rPr>
          <w:rFonts w:ascii="Book Antiqua" w:hAnsi="Book Antiqua"/>
          <w:sz w:val="22"/>
          <w:szCs w:val="22"/>
          <w:lang w:val="es-ES"/>
        </w:rPr>
        <w:t xml:space="preserve"> incurrirá en falta administrativa y será sancionada con multa de quinientos (500) dólares.</w:t>
      </w:r>
    </w:p>
    <w:p w14:paraId="268E1AB1" w14:textId="77777777" w:rsidR="00A45D61" w:rsidRPr="00552B60" w:rsidRDefault="00A45D61" w:rsidP="005276D3">
      <w:pPr>
        <w:tabs>
          <w:tab w:val="left" w:pos="720"/>
        </w:tabs>
        <w:ind w:left="720" w:right="720"/>
        <w:jc w:val="both"/>
        <w:rPr>
          <w:rFonts w:ascii="Book Antiqua" w:hAnsi="Book Antiqua"/>
          <w:sz w:val="22"/>
          <w:szCs w:val="22"/>
        </w:rPr>
      </w:pPr>
    </w:p>
    <w:p w14:paraId="6EFAA626" w14:textId="182A8FCD" w:rsidR="00DB792F" w:rsidRPr="00552B60" w:rsidRDefault="00A45D61" w:rsidP="00C15E91">
      <w:pPr>
        <w:tabs>
          <w:tab w:val="left" w:pos="0"/>
        </w:tabs>
        <w:ind w:firstLine="360"/>
        <w:jc w:val="both"/>
        <w:rPr>
          <w:rFonts w:ascii="Book Antiqua" w:hAnsi="Book Antiqua"/>
          <w:szCs w:val="24"/>
          <w:lang w:val="es-ES"/>
        </w:rPr>
      </w:pPr>
      <w:r w:rsidRPr="00552B60">
        <w:rPr>
          <w:rFonts w:ascii="Book Antiqua" w:hAnsi="Book Antiqua"/>
          <w:szCs w:val="24"/>
          <w:lang w:val="es-ES"/>
        </w:rPr>
        <w:t xml:space="preserve">De igual manera, </w:t>
      </w:r>
      <w:r w:rsidR="00370830" w:rsidRPr="00552B60">
        <w:rPr>
          <w:rFonts w:ascii="Book Antiqua" w:hAnsi="Book Antiqua"/>
          <w:szCs w:val="24"/>
          <w:lang w:val="es-ES"/>
        </w:rPr>
        <w:t xml:space="preserve">este proyecto </w:t>
      </w:r>
      <w:r w:rsidRPr="00552B60">
        <w:rPr>
          <w:rFonts w:ascii="Book Antiqua" w:hAnsi="Book Antiqua"/>
          <w:szCs w:val="24"/>
          <w:lang w:val="es-ES"/>
        </w:rPr>
        <w:t>define, para efectos de la Ley 22, antes citada, que es un “Punto de Recarga de Vehículos Impulsados Mayormente por Electricidad”. Específicamente, dispone que es la instalación que permite la carga de vehículos enchufables (híbridos o “</w:t>
      </w:r>
      <w:proofErr w:type="spellStart"/>
      <w:r w:rsidRPr="00552B60">
        <w:rPr>
          <w:rFonts w:ascii="Book Antiqua" w:hAnsi="Book Antiqua"/>
          <w:szCs w:val="24"/>
          <w:lang w:val="es-ES"/>
        </w:rPr>
        <w:t>plug</w:t>
      </w:r>
      <w:proofErr w:type="spellEnd"/>
      <w:r w:rsidRPr="00552B60">
        <w:rPr>
          <w:rFonts w:ascii="Book Antiqua" w:hAnsi="Book Antiqua"/>
          <w:szCs w:val="24"/>
          <w:lang w:val="es-ES"/>
        </w:rPr>
        <w:t>-in” y eléctricos) y están ubicados en zonas públicas, en viviendas privadas o en estaciones de servicios.</w:t>
      </w:r>
    </w:p>
    <w:p w14:paraId="20C4EB08" w14:textId="77777777" w:rsidR="00DB792F" w:rsidRPr="00552B60" w:rsidRDefault="00DB792F" w:rsidP="002E5E1F">
      <w:pPr>
        <w:tabs>
          <w:tab w:val="left" w:pos="0"/>
        </w:tabs>
        <w:jc w:val="both"/>
        <w:rPr>
          <w:rFonts w:ascii="Book Antiqua" w:hAnsi="Book Antiqua"/>
          <w:szCs w:val="24"/>
          <w:lang w:val="es-ES"/>
        </w:rPr>
      </w:pPr>
    </w:p>
    <w:p w14:paraId="3D7942AF" w14:textId="77777777" w:rsidR="00DB792F" w:rsidRPr="00552B60" w:rsidRDefault="00DB792F" w:rsidP="00C15E91">
      <w:pPr>
        <w:tabs>
          <w:tab w:val="left" w:pos="0"/>
        </w:tabs>
        <w:ind w:firstLine="360"/>
        <w:jc w:val="center"/>
        <w:rPr>
          <w:rFonts w:ascii="Book Antiqua" w:hAnsi="Book Antiqua"/>
          <w:b/>
          <w:szCs w:val="24"/>
          <w:lang w:val="es-ES"/>
        </w:rPr>
      </w:pPr>
      <w:r w:rsidRPr="00552B60">
        <w:rPr>
          <w:rFonts w:ascii="Book Antiqua" w:hAnsi="Book Antiqua"/>
          <w:b/>
          <w:szCs w:val="24"/>
          <w:lang w:val="es-ES"/>
        </w:rPr>
        <w:t>ANÁLISIS DE LA MEDIDA</w:t>
      </w:r>
    </w:p>
    <w:p w14:paraId="700016ED" w14:textId="77777777" w:rsidR="00DB792F" w:rsidRPr="00552B60" w:rsidRDefault="00DB792F" w:rsidP="002E5E1F">
      <w:pPr>
        <w:tabs>
          <w:tab w:val="left" w:pos="0"/>
        </w:tabs>
        <w:ind w:firstLine="720"/>
        <w:jc w:val="center"/>
        <w:rPr>
          <w:rFonts w:ascii="Book Antiqua" w:hAnsi="Book Antiqua"/>
          <w:b/>
          <w:szCs w:val="24"/>
          <w:lang w:val="es-ES"/>
        </w:rPr>
      </w:pPr>
    </w:p>
    <w:p w14:paraId="31FAF1FF" w14:textId="2726EB7C" w:rsidR="00A45D61" w:rsidRPr="00552B60" w:rsidRDefault="00691121" w:rsidP="00C15E91">
      <w:pPr>
        <w:tabs>
          <w:tab w:val="left" w:pos="0"/>
        </w:tabs>
        <w:ind w:firstLine="360"/>
        <w:jc w:val="both"/>
        <w:rPr>
          <w:rFonts w:ascii="Book Antiqua" w:hAnsi="Book Antiqua"/>
          <w:szCs w:val="24"/>
          <w:lang w:val="es-ES"/>
        </w:rPr>
      </w:pPr>
      <w:r w:rsidRPr="00552B60">
        <w:rPr>
          <w:rFonts w:ascii="Book Antiqua" w:hAnsi="Book Antiqua"/>
          <w:szCs w:val="24"/>
          <w:lang w:val="es-ES"/>
        </w:rPr>
        <w:t xml:space="preserve">Para la debida evaluación del proyecto de </w:t>
      </w:r>
      <w:r w:rsidR="00E44D4D" w:rsidRPr="00552B60">
        <w:rPr>
          <w:rFonts w:ascii="Book Antiqua" w:hAnsi="Book Antiqua"/>
          <w:szCs w:val="24"/>
          <w:lang w:val="es-ES"/>
        </w:rPr>
        <w:t>marras</w:t>
      </w:r>
      <w:r w:rsidRPr="00552B60">
        <w:rPr>
          <w:rFonts w:ascii="Book Antiqua" w:hAnsi="Book Antiqua"/>
          <w:szCs w:val="24"/>
          <w:lang w:val="es-ES"/>
        </w:rPr>
        <w:t xml:space="preserve">, </w:t>
      </w:r>
      <w:r w:rsidR="00A45D61" w:rsidRPr="00552B60">
        <w:rPr>
          <w:rFonts w:ascii="Book Antiqua" w:hAnsi="Book Antiqua"/>
          <w:szCs w:val="24"/>
          <w:lang w:val="es-ES"/>
        </w:rPr>
        <w:t>las comisiones le solicitaron memoriales explicativos al Negociado de la Policía de Puerto Rico y</w:t>
      </w:r>
      <w:r w:rsidR="007D6CFB" w:rsidRPr="00552B60">
        <w:rPr>
          <w:rFonts w:ascii="Book Antiqua" w:hAnsi="Book Antiqua"/>
          <w:szCs w:val="24"/>
          <w:lang w:val="es-ES"/>
        </w:rPr>
        <w:t xml:space="preserve"> </w:t>
      </w:r>
      <w:r w:rsidR="00A45D61" w:rsidRPr="00552B60">
        <w:rPr>
          <w:rFonts w:ascii="Book Antiqua" w:hAnsi="Book Antiqua"/>
          <w:szCs w:val="24"/>
          <w:lang w:val="es-ES"/>
        </w:rPr>
        <w:t xml:space="preserve">a los departamentos de Justicia; y de Transportación y Obras Públicas. Al momento de la redacción de este informe, solo el Departamento de Transportación y Obras Públicas había sometido su ponencia a favor de la medida. </w:t>
      </w:r>
    </w:p>
    <w:p w14:paraId="5EDB4734" w14:textId="77777777" w:rsidR="00A45D61" w:rsidRPr="00552B60" w:rsidRDefault="00A45D61" w:rsidP="00C15E91">
      <w:pPr>
        <w:tabs>
          <w:tab w:val="left" w:pos="0"/>
        </w:tabs>
        <w:ind w:firstLine="360"/>
        <w:jc w:val="both"/>
        <w:rPr>
          <w:rFonts w:ascii="Book Antiqua" w:hAnsi="Book Antiqua"/>
          <w:szCs w:val="24"/>
          <w:lang w:val="es-ES"/>
        </w:rPr>
      </w:pPr>
    </w:p>
    <w:p w14:paraId="00633C9E" w14:textId="589B74AC" w:rsidR="00A45D61" w:rsidRPr="00552B60" w:rsidRDefault="00A45D61" w:rsidP="00C15E91">
      <w:pPr>
        <w:tabs>
          <w:tab w:val="left" w:pos="0"/>
        </w:tabs>
        <w:ind w:firstLine="360"/>
        <w:jc w:val="both"/>
        <w:rPr>
          <w:rFonts w:ascii="Book Antiqua" w:hAnsi="Book Antiqua"/>
          <w:szCs w:val="24"/>
          <w:lang w:val="es-ES"/>
        </w:rPr>
      </w:pPr>
      <w:r w:rsidRPr="00552B60">
        <w:rPr>
          <w:rFonts w:ascii="Book Antiqua" w:hAnsi="Book Antiqua"/>
          <w:szCs w:val="24"/>
          <w:lang w:val="es-ES"/>
        </w:rPr>
        <w:t xml:space="preserve">En el documento sometido por el Departamento de Transportación y Obras Públicas, esgrimieron </w:t>
      </w:r>
      <w:r w:rsidRPr="00552B60">
        <w:rPr>
          <w:rFonts w:ascii="Book Antiqua" w:hAnsi="Book Antiqua"/>
          <w:b/>
          <w:bCs/>
          <w:szCs w:val="24"/>
          <w:u w:val="single"/>
          <w:lang w:val="es-ES"/>
        </w:rPr>
        <w:t xml:space="preserve">no tener </w:t>
      </w:r>
      <w:r w:rsidRPr="00552B60">
        <w:rPr>
          <w:rFonts w:ascii="Book Antiqua" w:hAnsi="Book Antiqua"/>
          <w:b/>
          <w:bCs/>
          <w:i/>
          <w:iCs/>
          <w:szCs w:val="24"/>
          <w:u w:val="single"/>
          <w:lang w:val="es-ES"/>
        </w:rPr>
        <w:t>“…oposición a la aprobación a este Proyecto</w:t>
      </w:r>
      <w:r w:rsidRPr="00552B60">
        <w:rPr>
          <w:rFonts w:ascii="Book Antiqua" w:hAnsi="Book Antiqua"/>
          <w:i/>
          <w:iCs/>
          <w:szCs w:val="24"/>
          <w:lang w:val="es-ES"/>
        </w:rPr>
        <w:t xml:space="preserve"> ya que entendemos que el mismo esta alineado a la política pública de reducir la contaminación ambiental y fomentar el uso favorable de este tipo de automóvil. </w:t>
      </w:r>
      <w:r w:rsidRPr="00552B60">
        <w:rPr>
          <w:rFonts w:ascii="Book Antiqua" w:hAnsi="Book Antiqua"/>
          <w:b/>
          <w:bCs/>
          <w:i/>
          <w:iCs/>
          <w:szCs w:val="24"/>
          <w:u w:val="single"/>
          <w:lang w:val="es-ES"/>
        </w:rPr>
        <w:t>El DTOP apoya toda medida que vaya dirigida a estimular la adquisición de vehículos eléctricos para evitar y reducir la contaminación ambiental</w:t>
      </w:r>
      <w:r w:rsidRPr="00552B60">
        <w:rPr>
          <w:rFonts w:ascii="Book Antiqua" w:hAnsi="Book Antiqua"/>
          <w:i/>
          <w:iCs/>
          <w:szCs w:val="24"/>
          <w:lang w:val="es-ES"/>
        </w:rPr>
        <w:t>. (…)”</w:t>
      </w:r>
      <w:r w:rsidRPr="00552B60">
        <w:rPr>
          <w:rFonts w:ascii="Book Antiqua" w:hAnsi="Book Antiqua"/>
          <w:szCs w:val="24"/>
          <w:lang w:val="es-ES"/>
        </w:rPr>
        <w:t>. (Énfasis nuestro).</w:t>
      </w:r>
    </w:p>
    <w:p w14:paraId="31ECC9C9" w14:textId="77777777" w:rsidR="00A45D61" w:rsidRPr="00552B60" w:rsidRDefault="00A45D61" w:rsidP="00C15E91">
      <w:pPr>
        <w:tabs>
          <w:tab w:val="left" w:pos="0"/>
        </w:tabs>
        <w:ind w:firstLine="360"/>
        <w:jc w:val="both"/>
        <w:rPr>
          <w:rFonts w:ascii="Book Antiqua" w:hAnsi="Book Antiqua"/>
          <w:szCs w:val="24"/>
          <w:lang w:val="es-ES"/>
        </w:rPr>
      </w:pPr>
    </w:p>
    <w:p w14:paraId="005EB99B" w14:textId="77777777" w:rsidR="00FA7AFA" w:rsidRPr="00552B60" w:rsidRDefault="00A774EB" w:rsidP="000919CD">
      <w:pPr>
        <w:tabs>
          <w:tab w:val="left" w:pos="0"/>
        </w:tabs>
        <w:ind w:firstLine="360"/>
        <w:jc w:val="both"/>
        <w:rPr>
          <w:rFonts w:ascii="Book Antiqua" w:hAnsi="Book Antiqua"/>
          <w:szCs w:val="24"/>
          <w:lang w:val="es-ES"/>
        </w:rPr>
      </w:pPr>
      <w:r w:rsidRPr="00552B60">
        <w:rPr>
          <w:rFonts w:ascii="Book Antiqua" w:hAnsi="Book Antiqua"/>
          <w:szCs w:val="24"/>
          <w:lang w:val="es-ES"/>
        </w:rPr>
        <w:t xml:space="preserve">Analizado el proyecto en sus méritos, entendemos que el mismo requiere ser aprobado con prontitud. </w:t>
      </w:r>
      <w:r w:rsidR="00710473" w:rsidRPr="00552B60">
        <w:rPr>
          <w:rFonts w:ascii="Book Antiqua" w:hAnsi="Book Antiqua"/>
          <w:szCs w:val="24"/>
          <w:lang w:val="es-ES"/>
        </w:rPr>
        <w:t xml:space="preserve">Es nuestro deber reiterar que, este proyecto de ley tiene como objetivo </w:t>
      </w:r>
      <w:r w:rsidR="00FA7AFA" w:rsidRPr="00552B60">
        <w:rPr>
          <w:rFonts w:ascii="Book Antiqua" w:hAnsi="Book Antiqua"/>
          <w:szCs w:val="24"/>
          <w:lang w:val="es-ES"/>
        </w:rPr>
        <w:t>fomentar el uso de los vehículos mayormente impulsados con electricidad, con el fin de promover la más eficaz conservación de los recursos naturales, así como el desarrollo y aprovechamiento de los mismos para el beneficio general de la comunidad, y proveyendo para la eliminación de todo tipo de obstáculo al establecimiento de la infraestructura necesaria para la instalación y uso de estaciones de recarga de vehículos impulsados mayormente por electricidad.</w:t>
      </w:r>
    </w:p>
    <w:p w14:paraId="0BFE4ED6" w14:textId="77777777" w:rsidR="00FA7AFA" w:rsidRPr="00552B60" w:rsidRDefault="00FA7AFA" w:rsidP="000919CD">
      <w:pPr>
        <w:tabs>
          <w:tab w:val="left" w:pos="0"/>
        </w:tabs>
        <w:ind w:firstLine="360"/>
        <w:jc w:val="both"/>
        <w:rPr>
          <w:rFonts w:ascii="Book Antiqua" w:hAnsi="Book Antiqua"/>
          <w:szCs w:val="24"/>
          <w:lang w:val="es-ES"/>
        </w:rPr>
      </w:pPr>
    </w:p>
    <w:p w14:paraId="46572B4F" w14:textId="77777777" w:rsidR="00FA7AFA" w:rsidRPr="00552B60" w:rsidRDefault="00FA7AFA" w:rsidP="000919CD">
      <w:pPr>
        <w:tabs>
          <w:tab w:val="left" w:pos="0"/>
        </w:tabs>
        <w:ind w:firstLine="360"/>
        <w:jc w:val="both"/>
        <w:rPr>
          <w:rFonts w:ascii="Book Antiqua" w:hAnsi="Book Antiqua"/>
          <w:szCs w:val="24"/>
          <w:lang w:val="es-ES_tradnl"/>
        </w:rPr>
      </w:pPr>
      <w:r w:rsidRPr="00552B60">
        <w:rPr>
          <w:rFonts w:ascii="Book Antiqua" w:hAnsi="Book Antiqua"/>
          <w:szCs w:val="24"/>
          <w:lang w:val="es-ES"/>
        </w:rPr>
        <w:t xml:space="preserve">No cabe </w:t>
      </w:r>
      <w:r w:rsidR="000919CD" w:rsidRPr="00552B60">
        <w:rPr>
          <w:rFonts w:ascii="Book Antiqua" w:hAnsi="Book Antiqua"/>
          <w:szCs w:val="24"/>
          <w:lang w:val="es-ES"/>
        </w:rPr>
        <w:t xml:space="preserve">duda de que </w:t>
      </w:r>
      <w:r w:rsidR="000919CD" w:rsidRPr="00552B60">
        <w:rPr>
          <w:rFonts w:ascii="Book Antiqua" w:hAnsi="Book Antiqua"/>
          <w:szCs w:val="24"/>
          <w:lang w:val="es-ES_tradnl"/>
        </w:rPr>
        <w:t xml:space="preserve">la presente pieza legislativa se encuentra perfectamente alineada con las </w:t>
      </w:r>
      <w:r w:rsidRPr="00552B60">
        <w:rPr>
          <w:rFonts w:ascii="Book Antiqua" w:hAnsi="Book Antiqua"/>
          <w:szCs w:val="24"/>
          <w:lang w:val="es-ES_tradnl"/>
        </w:rPr>
        <w:t xml:space="preserve">disposiciones </w:t>
      </w:r>
      <w:r w:rsidR="000919CD" w:rsidRPr="00552B60">
        <w:rPr>
          <w:rFonts w:ascii="Book Antiqua" w:hAnsi="Book Antiqua"/>
          <w:szCs w:val="24"/>
          <w:lang w:val="es-ES_tradnl"/>
        </w:rPr>
        <w:t xml:space="preserve">establecidas en la </w:t>
      </w:r>
      <w:r w:rsidRPr="00552B60">
        <w:rPr>
          <w:rFonts w:ascii="Book Antiqua" w:hAnsi="Book Antiqua"/>
          <w:szCs w:val="24"/>
          <w:lang w:val="es-ES_tradnl"/>
        </w:rPr>
        <w:t>S</w:t>
      </w:r>
      <w:r w:rsidR="000919CD" w:rsidRPr="00552B60">
        <w:rPr>
          <w:rFonts w:ascii="Book Antiqua" w:hAnsi="Book Antiqua"/>
          <w:szCs w:val="24"/>
          <w:lang w:val="es-ES_tradnl"/>
        </w:rPr>
        <w:t xml:space="preserve">ección 19 del Artículo </w:t>
      </w:r>
      <w:r w:rsidRPr="00552B60">
        <w:rPr>
          <w:rFonts w:ascii="Book Antiqua" w:hAnsi="Book Antiqua"/>
          <w:szCs w:val="24"/>
          <w:lang w:val="es-ES_tradnl"/>
        </w:rPr>
        <w:t xml:space="preserve">VI </w:t>
      </w:r>
      <w:r w:rsidR="000919CD" w:rsidRPr="00552B60">
        <w:rPr>
          <w:rFonts w:ascii="Book Antiqua" w:hAnsi="Book Antiqua"/>
          <w:szCs w:val="24"/>
          <w:lang w:val="es-ES_tradnl"/>
        </w:rPr>
        <w:t xml:space="preserve">de la Constitución de Puerto Rico, específicamente, en lo relativo a </w:t>
      </w:r>
      <w:r w:rsidRPr="00552B60">
        <w:rPr>
          <w:rFonts w:ascii="Book Antiqua" w:hAnsi="Book Antiqua"/>
          <w:szCs w:val="24"/>
          <w:lang w:val="es-ES_tradnl"/>
        </w:rPr>
        <w:t xml:space="preserve">la política pública dirigida a lograr </w:t>
      </w:r>
      <w:r w:rsidRPr="00552B60">
        <w:rPr>
          <w:rFonts w:ascii="Book Antiqua" w:hAnsi="Book Antiqua"/>
          <w:i/>
          <w:iCs/>
          <w:szCs w:val="24"/>
          <w:lang w:val="es-ES_tradnl"/>
        </w:rPr>
        <w:t xml:space="preserve">“…la más eficaz conservación de sus recursos naturales, así como el mayor desarrollo y aprovechamiento de </w:t>
      </w:r>
      <w:proofErr w:type="gramStart"/>
      <w:r w:rsidRPr="00552B60">
        <w:rPr>
          <w:rFonts w:ascii="Book Antiqua" w:hAnsi="Book Antiqua"/>
          <w:i/>
          <w:iCs/>
          <w:szCs w:val="24"/>
          <w:lang w:val="es-ES_tradnl"/>
        </w:rPr>
        <w:t>los mismos</w:t>
      </w:r>
      <w:proofErr w:type="gramEnd"/>
      <w:r w:rsidRPr="00552B60">
        <w:rPr>
          <w:rFonts w:ascii="Book Antiqua" w:hAnsi="Book Antiqua"/>
          <w:i/>
          <w:iCs/>
          <w:szCs w:val="24"/>
          <w:lang w:val="es-ES_tradnl"/>
        </w:rPr>
        <w:t xml:space="preserve"> para el beneficio general de la comunidad”</w:t>
      </w:r>
      <w:r w:rsidR="000919CD" w:rsidRPr="00552B60">
        <w:rPr>
          <w:rFonts w:ascii="Book Antiqua" w:hAnsi="Book Antiqua"/>
          <w:szCs w:val="24"/>
          <w:lang w:val="es-ES_tradnl"/>
        </w:rPr>
        <w:t>.</w:t>
      </w:r>
    </w:p>
    <w:p w14:paraId="6B6B9930" w14:textId="7F56F738" w:rsidR="000919CD" w:rsidRPr="00552B60" w:rsidRDefault="000919CD" w:rsidP="000919CD">
      <w:pPr>
        <w:tabs>
          <w:tab w:val="left" w:pos="0"/>
        </w:tabs>
        <w:ind w:firstLine="360"/>
        <w:jc w:val="both"/>
        <w:rPr>
          <w:rFonts w:ascii="Book Antiqua" w:hAnsi="Book Antiqua"/>
          <w:szCs w:val="24"/>
          <w:lang w:val="es-ES_tradnl"/>
        </w:rPr>
      </w:pPr>
      <w:r w:rsidRPr="00552B60">
        <w:rPr>
          <w:rFonts w:ascii="Book Antiqua" w:hAnsi="Book Antiqua"/>
          <w:szCs w:val="24"/>
          <w:lang w:val="es-ES_tradnl"/>
        </w:rPr>
        <w:lastRenderedPageBreak/>
        <w:t>Para finalizar, es preciso indicar que la Sección 1 del Artículo III de la Constitución de Puerto Rico</w:t>
      </w:r>
      <w:r w:rsidRPr="00552B60">
        <w:rPr>
          <w:rStyle w:val="FootnoteReference"/>
          <w:rFonts w:ascii="Book Antiqua" w:hAnsi="Book Antiqua"/>
          <w:szCs w:val="24"/>
          <w:lang w:val="es-ES_tradnl"/>
        </w:rPr>
        <w:footnoteReference w:id="1"/>
      </w:r>
      <w:r w:rsidRPr="00552B60">
        <w:rPr>
          <w:rFonts w:ascii="Book Antiqua" w:hAnsi="Book Antiqua"/>
          <w:szCs w:val="24"/>
          <w:lang w:val="es-ES_tradnl"/>
        </w:rPr>
        <w:t>, delega a la Rama Legislativa la potestad de aprobar leyes. Por su parte, la Sección 17 del referido Artículo III</w:t>
      </w:r>
      <w:r w:rsidRPr="00552B60">
        <w:rPr>
          <w:rStyle w:val="FootnoteReference"/>
          <w:rFonts w:ascii="Book Antiqua" w:hAnsi="Book Antiqua"/>
          <w:szCs w:val="24"/>
          <w:lang w:val="es-ES_tradnl"/>
        </w:rPr>
        <w:footnoteReference w:id="2"/>
      </w:r>
      <w:r w:rsidRPr="00552B60">
        <w:rPr>
          <w:rFonts w:ascii="Book Antiqua" w:hAnsi="Book Antiqua"/>
          <w:szCs w:val="24"/>
          <w:lang w:val="es-ES_tradnl"/>
        </w:rPr>
        <w:t>, delinea el proceso legislativo a observarse para que una legislación presentada se convierta en ley. Asimismo, la Sección 19 del mismo Artículo</w:t>
      </w:r>
      <w:r w:rsidRPr="00552B60">
        <w:rPr>
          <w:rStyle w:val="FootnoteReference"/>
          <w:rFonts w:ascii="Book Antiqua" w:hAnsi="Book Antiqua"/>
          <w:szCs w:val="24"/>
          <w:lang w:val="es-ES_tradnl"/>
        </w:rPr>
        <w:footnoteReference w:id="3"/>
      </w:r>
      <w:r w:rsidRPr="00552B60">
        <w:rPr>
          <w:rFonts w:ascii="Book Antiqua" w:hAnsi="Book Antiqua"/>
          <w:szCs w:val="24"/>
          <w:lang w:val="es-ES_tradnl"/>
        </w:rPr>
        <w:t xml:space="preserve">, establece los requisitos constitucionales relativos a la aprobación de proyectos de ley, por los Cuerpos Legislativos y el Gobernador de Puerto Rico. </w:t>
      </w:r>
    </w:p>
    <w:p w14:paraId="160F3BC7" w14:textId="77777777" w:rsidR="00A45D61" w:rsidRPr="00552B60" w:rsidRDefault="00A45D61" w:rsidP="00A774EB">
      <w:pPr>
        <w:tabs>
          <w:tab w:val="left" w:pos="0"/>
        </w:tabs>
        <w:ind w:firstLine="360"/>
        <w:jc w:val="both"/>
        <w:rPr>
          <w:rFonts w:ascii="Book Antiqua" w:hAnsi="Book Antiqua"/>
          <w:szCs w:val="24"/>
          <w:lang w:val="es-ES_tradnl"/>
        </w:rPr>
      </w:pPr>
    </w:p>
    <w:p w14:paraId="5CB4CECC" w14:textId="2EE7D2C1" w:rsidR="00A75061" w:rsidRPr="00552B60" w:rsidRDefault="000919CD" w:rsidP="00A774EB">
      <w:pPr>
        <w:tabs>
          <w:tab w:val="left" w:pos="0"/>
        </w:tabs>
        <w:ind w:firstLine="360"/>
        <w:jc w:val="both"/>
        <w:rPr>
          <w:rFonts w:ascii="Book Antiqua" w:hAnsi="Book Antiqua"/>
          <w:szCs w:val="24"/>
          <w:lang w:val="es-ES_tradnl"/>
        </w:rPr>
      </w:pPr>
      <w:r w:rsidRPr="00552B60">
        <w:rPr>
          <w:rFonts w:ascii="Book Antiqua" w:hAnsi="Book Antiqua"/>
          <w:szCs w:val="24"/>
          <w:lang w:val="es-ES_tradnl"/>
        </w:rPr>
        <w:t xml:space="preserve">Expuesto ello, y a base de los preceptos constitucionales antes descritos, es imperativo reconocer que la aprobación del P. del S. </w:t>
      </w:r>
      <w:r w:rsidR="00A45D61" w:rsidRPr="00552B60">
        <w:rPr>
          <w:rFonts w:ascii="Book Antiqua" w:hAnsi="Book Antiqua"/>
          <w:szCs w:val="24"/>
          <w:lang w:val="es-ES_tradnl"/>
        </w:rPr>
        <w:t>217</w:t>
      </w:r>
      <w:r w:rsidRPr="00552B60">
        <w:rPr>
          <w:rFonts w:ascii="Book Antiqua" w:hAnsi="Book Antiqua"/>
          <w:szCs w:val="24"/>
          <w:lang w:val="es-ES_tradnl"/>
        </w:rPr>
        <w:t xml:space="preserve"> es un ejercicio válido de la facultad de esta Asamblea Legislativa, según es aquí fundamentado.</w:t>
      </w:r>
    </w:p>
    <w:p w14:paraId="0D7FE3AD" w14:textId="77777777" w:rsidR="00A774EB" w:rsidRPr="00552B60" w:rsidRDefault="00A774EB" w:rsidP="00C15E91">
      <w:pPr>
        <w:tabs>
          <w:tab w:val="left" w:pos="9990"/>
        </w:tabs>
        <w:ind w:right="144" w:firstLine="360"/>
        <w:jc w:val="center"/>
        <w:rPr>
          <w:rFonts w:ascii="Book Antiqua" w:hAnsi="Book Antiqua"/>
          <w:b/>
          <w:bCs/>
          <w:szCs w:val="24"/>
          <w:lang w:val="es-ES"/>
        </w:rPr>
      </w:pPr>
    </w:p>
    <w:p w14:paraId="4190B292" w14:textId="599D9592" w:rsidR="00C571EE" w:rsidRPr="00552B60" w:rsidRDefault="004F590D" w:rsidP="00C15E91">
      <w:pPr>
        <w:tabs>
          <w:tab w:val="left" w:pos="9990"/>
        </w:tabs>
        <w:ind w:right="144" w:firstLine="360"/>
        <w:jc w:val="center"/>
        <w:rPr>
          <w:rFonts w:ascii="Book Antiqua" w:hAnsi="Book Antiqua"/>
          <w:b/>
          <w:bCs/>
          <w:szCs w:val="24"/>
          <w:lang w:val="es-ES"/>
        </w:rPr>
      </w:pPr>
      <w:r w:rsidRPr="00552B60">
        <w:rPr>
          <w:rFonts w:ascii="Book Antiqua" w:hAnsi="Book Antiqua"/>
          <w:b/>
          <w:bCs/>
          <w:szCs w:val="24"/>
          <w:lang w:val="es-ES"/>
        </w:rPr>
        <w:t xml:space="preserve">IMPACTO FISCAL MUNICIPAL  </w:t>
      </w:r>
    </w:p>
    <w:p w14:paraId="671F670D" w14:textId="77777777" w:rsidR="00C571EE" w:rsidRPr="00552B60" w:rsidRDefault="00C571EE" w:rsidP="00C571EE">
      <w:pPr>
        <w:tabs>
          <w:tab w:val="left" w:pos="9990"/>
        </w:tabs>
        <w:ind w:right="144" w:firstLine="630"/>
        <w:jc w:val="center"/>
        <w:rPr>
          <w:rFonts w:ascii="Book Antiqua" w:hAnsi="Book Antiqua"/>
          <w:szCs w:val="24"/>
          <w:lang w:val="es-ES"/>
        </w:rPr>
      </w:pPr>
    </w:p>
    <w:p w14:paraId="3AC139A9" w14:textId="5222C1E6" w:rsidR="00C571EE" w:rsidRPr="00552B60" w:rsidRDefault="00C571EE" w:rsidP="00C15E91">
      <w:pPr>
        <w:tabs>
          <w:tab w:val="left" w:pos="9990"/>
        </w:tabs>
        <w:ind w:right="144" w:firstLine="360"/>
        <w:jc w:val="both"/>
        <w:rPr>
          <w:rFonts w:ascii="Book Antiqua" w:hAnsi="Book Antiqua"/>
          <w:szCs w:val="24"/>
          <w:lang w:val="es-ES"/>
        </w:rPr>
      </w:pPr>
      <w:r w:rsidRPr="00552B60">
        <w:rPr>
          <w:rFonts w:ascii="Book Antiqua" w:hAnsi="Book Antiqua"/>
          <w:szCs w:val="24"/>
          <w:lang w:val="es-ES"/>
        </w:rPr>
        <w:t>Del análisis realizado por est</w:t>
      </w:r>
      <w:r w:rsidR="00FA7AFA" w:rsidRPr="00552B60">
        <w:rPr>
          <w:rFonts w:ascii="Book Antiqua" w:hAnsi="Book Antiqua"/>
          <w:szCs w:val="24"/>
          <w:lang w:val="es-ES"/>
        </w:rPr>
        <w:t>as comisiones</w:t>
      </w:r>
      <w:r w:rsidR="00AE7ABB" w:rsidRPr="00552B60">
        <w:rPr>
          <w:rFonts w:ascii="Book Antiqua" w:hAnsi="Book Antiqua"/>
          <w:szCs w:val="24"/>
          <w:lang w:val="es-ES"/>
        </w:rPr>
        <w:t>,</w:t>
      </w:r>
      <w:r w:rsidRPr="00552B60">
        <w:rPr>
          <w:rFonts w:ascii="Book Antiqua" w:hAnsi="Book Antiqua"/>
          <w:szCs w:val="24"/>
          <w:lang w:val="es-ES"/>
        </w:rPr>
        <w:t xml:space="preserve"> a tenor con el Artículo 1.007 </w:t>
      </w:r>
      <w:r w:rsidR="00A64F09" w:rsidRPr="00552B60">
        <w:rPr>
          <w:rFonts w:ascii="Book Antiqua" w:hAnsi="Book Antiqua"/>
          <w:szCs w:val="24"/>
          <w:lang w:val="es-ES"/>
        </w:rPr>
        <w:t>de la Ley 107-2020, según enmendada, conocida como “</w:t>
      </w:r>
      <w:r w:rsidRPr="00552B60">
        <w:rPr>
          <w:rFonts w:ascii="Book Antiqua" w:hAnsi="Book Antiqua"/>
          <w:szCs w:val="24"/>
          <w:lang w:val="es-ES"/>
        </w:rPr>
        <w:t>Código Municipal de Puerto Rico</w:t>
      </w:r>
      <w:r w:rsidR="00A64F09" w:rsidRPr="00552B60">
        <w:rPr>
          <w:rFonts w:ascii="Book Antiqua" w:hAnsi="Book Antiqua"/>
          <w:szCs w:val="24"/>
          <w:lang w:val="es-ES"/>
        </w:rPr>
        <w:t xml:space="preserve">”, </w:t>
      </w:r>
      <w:r w:rsidRPr="00552B60">
        <w:rPr>
          <w:rFonts w:ascii="Book Antiqua" w:hAnsi="Book Antiqua"/>
          <w:szCs w:val="24"/>
          <w:lang w:val="es-ES"/>
        </w:rPr>
        <w:t xml:space="preserve">no surge que la medida </w:t>
      </w:r>
      <w:r w:rsidR="00A64F09" w:rsidRPr="00552B60">
        <w:rPr>
          <w:rFonts w:ascii="Book Antiqua" w:hAnsi="Book Antiqua"/>
          <w:szCs w:val="24"/>
          <w:lang w:val="es-ES"/>
        </w:rPr>
        <w:t>tenga i</w:t>
      </w:r>
      <w:r w:rsidRPr="00552B60">
        <w:rPr>
          <w:rFonts w:ascii="Book Antiqua" w:hAnsi="Book Antiqua"/>
          <w:szCs w:val="24"/>
          <w:lang w:val="es-ES"/>
        </w:rPr>
        <w:t>mpacto fiscal sobre las finanzas municipales.</w:t>
      </w:r>
    </w:p>
    <w:p w14:paraId="21CDDD5E" w14:textId="77777777" w:rsidR="002C22BA" w:rsidRPr="00552B60" w:rsidRDefault="002C22BA" w:rsidP="002E5E1F">
      <w:pPr>
        <w:tabs>
          <w:tab w:val="left" w:pos="9990"/>
        </w:tabs>
        <w:ind w:right="144" w:firstLine="630"/>
        <w:jc w:val="both"/>
        <w:rPr>
          <w:rFonts w:ascii="Book Antiqua" w:hAnsi="Book Antiqua"/>
          <w:szCs w:val="24"/>
          <w:lang w:val="es-ES"/>
        </w:rPr>
      </w:pPr>
    </w:p>
    <w:p w14:paraId="57649717" w14:textId="77777777" w:rsidR="00DB792F" w:rsidRPr="00552B60" w:rsidRDefault="00DB792F" w:rsidP="00C15E91">
      <w:pPr>
        <w:tabs>
          <w:tab w:val="left" w:pos="0"/>
        </w:tabs>
        <w:ind w:firstLine="360"/>
        <w:jc w:val="center"/>
        <w:rPr>
          <w:rFonts w:ascii="Book Antiqua" w:hAnsi="Book Antiqua"/>
          <w:b/>
          <w:szCs w:val="24"/>
          <w:lang w:val="es-ES"/>
        </w:rPr>
      </w:pPr>
      <w:r w:rsidRPr="00552B60">
        <w:rPr>
          <w:rFonts w:ascii="Book Antiqua" w:hAnsi="Book Antiqua"/>
          <w:b/>
          <w:szCs w:val="24"/>
          <w:lang w:val="es-ES"/>
        </w:rPr>
        <w:t>CONCLUSIÓN</w:t>
      </w:r>
    </w:p>
    <w:p w14:paraId="258930D5" w14:textId="77777777" w:rsidR="00FA7AFA" w:rsidRPr="00552B60" w:rsidRDefault="00FA7AFA" w:rsidP="00A774EB">
      <w:pPr>
        <w:tabs>
          <w:tab w:val="left" w:pos="0"/>
        </w:tabs>
        <w:ind w:firstLine="360"/>
        <w:jc w:val="both"/>
        <w:rPr>
          <w:rFonts w:ascii="Book Antiqua" w:hAnsi="Book Antiqua"/>
          <w:szCs w:val="24"/>
          <w:lang w:val="es-ES"/>
        </w:rPr>
      </w:pPr>
    </w:p>
    <w:p w14:paraId="06D3DA94" w14:textId="1A756AA6" w:rsidR="000919CD" w:rsidRPr="00552B60" w:rsidRDefault="000919CD" w:rsidP="00A774EB">
      <w:pPr>
        <w:tabs>
          <w:tab w:val="left" w:pos="0"/>
        </w:tabs>
        <w:ind w:firstLine="360"/>
        <w:jc w:val="both"/>
        <w:rPr>
          <w:rFonts w:ascii="Book Antiqua" w:hAnsi="Book Antiqua"/>
          <w:szCs w:val="24"/>
          <w:lang w:val="es-ES"/>
        </w:rPr>
      </w:pPr>
      <w:r w:rsidRPr="00552B60">
        <w:rPr>
          <w:rFonts w:ascii="Book Antiqua" w:hAnsi="Book Antiqua"/>
          <w:szCs w:val="24"/>
          <w:lang w:val="es-ES"/>
        </w:rPr>
        <w:t xml:space="preserve">Es tarea de la Asamblea Legislativa de Puerto Rico crear y aprobar política pública, la cual surge como respuesta a los cambios sociales que motivan la actualización del estado de derecho que rige el destino de todos los que aquí residimos. Por ello, podemos concluir que el propósito que origina la presentación de la medida ante nuestra </w:t>
      </w:r>
      <w:proofErr w:type="gramStart"/>
      <w:r w:rsidRPr="00552B60">
        <w:rPr>
          <w:rFonts w:ascii="Book Antiqua" w:hAnsi="Book Antiqua"/>
          <w:szCs w:val="24"/>
          <w:lang w:val="es-ES"/>
        </w:rPr>
        <w:t>consideración,</w:t>
      </w:r>
      <w:proofErr w:type="gramEnd"/>
      <w:r w:rsidRPr="00552B60">
        <w:rPr>
          <w:rFonts w:ascii="Book Antiqua" w:hAnsi="Book Antiqua"/>
          <w:szCs w:val="24"/>
          <w:lang w:val="es-ES"/>
        </w:rPr>
        <w:t xml:space="preserve"> es </w:t>
      </w:r>
      <w:r w:rsidRPr="00552B60">
        <w:rPr>
          <w:rFonts w:ascii="Book Antiqua" w:hAnsi="Book Antiqua"/>
          <w:szCs w:val="24"/>
          <w:lang w:val="es-ES"/>
        </w:rPr>
        <w:lastRenderedPageBreak/>
        <w:t xml:space="preserve">una acción cobijada dentro del amplio poder que tiene esta Rama, la cual fuera conferida por nuestros constituyentes. </w:t>
      </w:r>
    </w:p>
    <w:p w14:paraId="10F9A5F9" w14:textId="77777777" w:rsidR="000919CD" w:rsidRPr="00552B60" w:rsidRDefault="000919CD" w:rsidP="00A774EB">
      <w:pPr>
        <w:tabs>
          <w:tab w:val="left" w:pos="0"/>
        </w:tabs>
        <w:ind w:firstLine="360"/>
        <w:jc w:val="both"/>
        <w:rPr>
          <w:rFonts w:ascii="Book Antiqua" w:hAnsi="Book Antiqua"/>
          <w:szCs w:val="24"/>
          <w:lang w:val="es-ES"/>
        </w:rPr>
      </w:pPr>
    </w:p>
    <w:p w14:paraId="4B4DBDA2" w14:textId="511283D7" w:rsidR="005276D3" w:rsidRPr="00552B60" w:rsidRDefault="00DB792F" w:rsidP="00A774EB">
      <w:pPr>
        <w:tabs>
          <w:tab w:val="left" w:pos="0"/>
        </w:tabs>
        <w:ind w:firstLine="360"/>
        <w:jc w:val="both"/>
        <w:rPr>
          <w:rFonts w:ascii="Book Antiqua" w:hAnsi="Book Antiqua"/>
          <w:b/>
          <w:bCs/>
          <w:szCs w:val="24"/>
          <w:lang w:val="es-ES"/>
        </w:rPr>
      </w:pPr>
      <w:r w:rsidRPr="00552B60">
        <w:rPr>
          <w:rFonts w:ascii="Book Antiqua" w:hAnsi="Book Antiqua"/>
          <w:szCs w:val="24"/>
          <w:lang w:val="es-ES"/>
        </w:rPr>
        <w:t>Por todo lo ante</w:t>
      </w:r>
      <w:r w:rsidR="00234DAF" w:rsidRPr="00552B60">
        <w:rPr>
          <w:rFonts w:ascii="Book Antiqua" w:hAnsi="Book Antiqua"/>
          <w:szCs w:val="24"/>
          <w:lang w:val="es-ES"/>
        </w:rPr>
        <w:t>rior</w:t>
      </w:r>
      <w:r w:rsidRPr="00552B60">
        <w:rPr>
          <w:rFonts w:ascii="Book Antiqua" w:hAnsi="Book Antiqua"/>
          <w:szCs w:val="24"/>
          <w:lang w:val="es-ES"/>
        </w:rPr>
        <w:t>, la</w:t>
      </w:r>
      <w:r w:rsidR="00710473" w:rsidRPr="00552B60">
        <w:rPr>
          <w:rFonts w:ascii="Book Antiqua" w:hAnsi="Book Antiqua"/>
          <w:szCs w:val="24"/>
          <w:lang w:val="es-ES"/>
        </w:rPr>
        <w:t xml:space="preserve">s comisiones </w:t>
      </w:r>
      <w:r w:rsidR="00A774EB" w:rsidRPr="00552B60">
        <w:rPr>
          <w:rFonts w:ascii="Book Antiqua" w:hAnsi="Book Antiqua"/>
          <w:szCs w:val="24"/>
          <w:lang w:val="es-ES"/>
        </w:rPr>
        <w:t>de Transportación, Telecomunicaciones, Servicios Públicos y Asuntos del Consumidor</w:t>
      </w:r>
      <w:r w:rsidR="00710473" w:rsidRPr="00552B60">
        <w:rPr>
          <w:rFonts w:ascii="Book Antiqua" w:hAnsi="Book Antiqua"/>
          <w:szCs w:val="24"/>
          <w:lang w:val="es-ES"/>
        </w:rPr>
        <w:t xml:space="preserve">; y de </w:t>
      </w:r>
      <w:r w:rsidR="00A45D61" w:rsidRPr="00552B60">
        <w:rPr>
          <w:rFonts w:ascii="Book Antiqua" w:hAnsi="Book Antiqua"/>
          <w:szCs w:val="24"/>
          <w:lang w:val="es-ES"/>
        </w:rPr>
        <w:t xml:space="preserve">Gobierno </w:t>
      </w:r>
      <w:r w:rsidR="00A774EB" w:rsidRPr="00552B60">
        <w:rPr>
          <w:rFonts w:ascii="Book Antiqua" w:hAnsi="Book Antiqua"/>
          <w:szCs w:val="24"/>
          <w:lang w:val="es-ES"/>
        </w:rPr>
        <w:t>del Senado de Puerto Rico</w:t>
      </w:r>
      <w:r w:rsidR="00710473" w:rsidRPr="00552B60">
        <w:rPr>
          <w:rFonts w:ascii="Book Antiqua" w:hAnsi="Book Antiqua"/>
          <w:szCs w:val="24"/>
          <w:lang w:val="es-ES"/>
        </w:rPr>
        <w:t>,</w:t>
      </w:r>
      <w:r w:rsidR="00A774EB" w:rsidRPr="00552B60">
        <w:rPr>
          <w:rFonts w:ascii="Book Antiqua" w:hAnsi="Book Antiqua"/>
          <w:szCs w:val="24"/>
          <w:lang w:val="es-ES"/>
        </w:rPr>
        <w:t xml:space="preserve"> </w:t>
      </w:r>
      <w:r w:rsidRPr="00552B60">
        <w:rPr>
          <w:rFonts w:ascii="Book Antiqua" w:hAnsi="Book Antiqua"/>
          <w:szCs w:val="24"/>
          <w:lang w:val="es-ES"/>
        </w:rPr>
        <w:t>recomienda</w:t>
      </w:r>
      <w:r w:rsidR="00710473" w:rsidRPr="00552B60">
        <w:rPr>
          <w:rFonts w:ascii="Book Antiqua" w:hAnsi="Book Antiqua"/>
          <w:szCs w:val="24"/>
          <w:lang w:val="es-ES"/>
        </w:rPr>
        <w:t>n</w:t>
      </w:r>
      <w:r w:rsidRPr="00552B60">
        <w:rPr>
          <w:rFonts w:ascii="Book Antiqua" w:hAnsi="Book Antiqua"/>
          <w:szCs w:val="24"/>
          <w:lang w:val="es-ES"/>
        </w:rPr>
        <w:t xml:space="preserve"> la aprobación del </w:t>
      </w:r>
      <w:r w:rsidR="00234DAF" w:rsidRPr="00552B60">
        <w:rPr>
          <w:rFonts w:ascii="Book Antiqua" w:hAnsi="Book Antiqua"/>
          <w:szCs w:val="24"/>
          <w:lang w:val="es-ES"/>
        </w:rPr>
        <w:t xml:space="preserve">Proyecto del Senado </w:t>
      </w:r>
      <w:r w:rsidR="00A45D61" w:rsidRPr="00552B60">
        <w:rPr>
          <w:rFonts w:ascii="Book Antiqua" w:hAnsi="Book Antiqua"/>
          <w:szCs w:val="24"/>
          <w:lang w:val="es-ES"/>
        </w:rPr>
        <w:t>217</w:t>
      </w:r>
      <w:r w:rsidR="00234DAF" w:rsidRPr="00552B60">
        <w:rPr>
          <w:rFonts w:ascii="Book Antiqua" w:hAnsi="Book Antiqua"/>
          <w:szCs w:val="24"/>
          <w:lang w:val="es-ES"/>
        </w:rPr>
        <w:t xml:space="preserve">, </w:t>
      </w:r>
      <w:r w:rsidRPr="00552B60">
        <w:rPr>
          <w:rFonts w:ascii="Book Antiqua" w:hAnsi="Book Antiqua"/>
          <w:szCs w:val="24"/>
          <w:lang w:val="es-ES"/>
        </w:rPr>
        <w:t xml:space="preserve">con las </w:t>
      </w:r>
      <w:r w:rsidRPr="00552B60">
        <w:rPr>
          <w:rFonts w:ascii="Book Antiqua" w:hAnsi="Book Antiqua"/>
          <w:bCs/>
          <w:szCs w:val="24"/>
          <w:lang w:val="es-ES"/>
        </w:rPr>
        <w:t xml:space="preserve">enmiendas contenidas en el </w:t>
      </w:r>
      <w:proofErr w:type="spellStart"/>
      <w:r w:rsidRPr="00552B60">
        <w:rPr>
          <w:rFonts w:ascii="Book Antiqua" w:hAnsi="Book Antiqua"/>
          <w:bCs/>
          <w:szCs w:val="24"/>
          <w:lang w:val="es-ES"/>
        </w:rPr>
        <w:t>entirillado</w:t>
      </w:r>
      <w:proofErr w:type="spellEnd"/>
      <w:r w:rsidRPr="00552B60">
        <w:rPr>
          <w:rFonts w:ascii="Book Antiqua" w:hAnsi="Book Antiqua"/>
          <w:bCs/>
          <w:szCs w:val="24"/>
          <w:lang w:val="es-ES"/>
        </w:rPr>
        <w:t xml:space="preserve"> electrónico que acompaña</w:t>
      </w:r>
      <w:r w:rsidR="00234DAF" w:rsidRPr="00552B60">
        <w:rPr>
          <w:rFonts w:ascii="Book Antiqua" w:hAnsi="Book Antiqua"/>
          <w:bCs/>
          <w:szCs w:val="24"/>
          <w:lang w:val="es-ES"/>
        </w:rPr>
        <w:t xml:space="preserve"> a este informe</w:t>
      </w:r>
      <w:r w:rsidRPr="00552B60">
        <w:rPr>
          <w:rFonts w:ascii="Book Antiqua" w:hAnsi="Book Antiqua"/>
          <w:szCs w:val="24"/>
          <w:lang w:val="es-ES"/>
        </w:rPr>
        <w:t>.</w:t>
      </w:r>
    </w:p>
    <w:p w14:paraId="0213EE70" w14:textId="77777777" w:rsidR="00A774EB" w:rsidRPr="00552B60" w:rsidRDefault="00A774EB" w:rsidP="00234DAF">
      <w:pPr>
        <w:tabs>
          <w:tab w:val="left" w:pos="0"/>
        </w:tabs>
        <w:jc w:val="both"/>
        <w:rPr>
          <w:rFonts w:ascii="Book Antiqua" w:hAnsi="Book Antiqua"/>
          <w:b/>
          <w:bCs/>
          <w:sz w:val="16"/>
          <w:szCs w:val="16"/>
          <w:lang w:val="es-ES"/>
        </w:rPr>
      </w:pPr>
    </w:p>
    <w:p w14:paraId="7AB92D76" w14:textId="36F8CE6D" w:rsidR="00234DAF" w:rsidRPr="00552B60" w:rsidRDefault="00DB792F" w:rsidP="00234DAF">
      <w:pPr>
        <w:tabs>
          <w:tab w:val="left" w:pos="0"/>
        </w:tabs>
        <w:jc w:val="both"/>
        <w:rPr>
          <w:rFonts w:ascii="Book Antiqua" w:hAnsi="Book Antiqua"/>
          <w:b/>
          <w:bCs/>
          <w:szCs w:val="24"/>
          <w:lang w:val="es-ES"/>
        </w:rPr>
      </w:pPr>
      <w:r w:rsidRPr="00552B60">
        <w:rPr>
          <w:rFonts w:ascii="Book Antiqua" w:hAnsi="Book Antiqua"/>
          <w:b/>
          <w:bCs/>
          <w:szCs w:val="24"/>
          <w:lang w:val="es-ES"/>
        </w:rPr>
        <w:t>Respetuosamente sometido,</w:t>
      </w:r>
    </w:p>
    <w:p w14:paraId="2448B4D7" w14:textId="77777777" w:rsidR="00234DAF" w:rsidRPr="00552B60" w:rsidRDefault="00234DAF" w:rsidP="00234DAF">
      <w:pPr>
        <w:tabs>
          <w:tab w:val="left" w:pos="0"/>
        </w:tabs>
        <w:jc w:val="both"/>
        <w:rPr>
          <w:rFonts w:ascii="Book Antiqua" w:hAnsi="Book Antiqua"/>
          <w:szCs w:val="24"/>
          <w:lang w:val="es-ES"/>
        </w:rPr>
      </w:pPr>
    </w:p>
    <w:p w14:paraId="5273E866" w14:textId="77777777" w:rsidR="00234DAF" w:rsidRPr="00552B60" w:rsidRDefault="00234DAF" w:rsidP="00234DAF">
      <w:pPr>
        <w:tabs>
          <w:tab w:val="left" w:pos="0"/>
        </w:tabs>
        <w:jc w:val="both"/>
        <w:rPr>
          <w:rFonts w:ascii="Book Antiqua" w:hAnsi="Book Antiqua"/>
          <w:szCs w:val="24"/>
          <w:lang w:val="es-ES"/>
        </w:rPr>
      </w:pPr>
    </w:p>
    <w:p w14:paraId="029195FE" w14:textId="77777777" w:rsidR="005276D3" w:rsidRPr="00552B60" w:rsidRDefault="005276D3" w:rsidP="00234DAF">
      <w:pPr>
        <w:tabs>
          <w:tab w:val="left" w:pos="0"/>
        </w:tabs>
        <w:jc w:val="both"/>
        <w:rPr>
          <w:rFonts w:ascii="Book Antiqua" w:hAnsi="Book Antiqua"/>
          <w:szCs w:val="24"/>
          <w:lang w:val="es-ES"/>
        </w:rPr>
      </w:pPr>
    </w:p>
    <w:p w14:paraId="0FE84A09" w14:textId="119B9C4F" w:rsidR="00234DAF" w:rsidRPr="00552B60" w:rsidRDefault="00234DAF" w:rsidP="00234DAF">
      <w:pPr>
        <w:tabs>
          <w:tab w:val="left" w:pos="0"/>
        </w:tabs>
        <w:jc w:val="both"/>
        <w:rPr>
          <w:rFonts w:ascii="Book Antiqua" w:hAnsi="Book Antiqua"/>
          <w:szCs w:val="24"/>
          <w:lang w:val="es-ES"/>
        </w:rPr>
      </w:pPr>
      <w:r w:rsidRPr="00552B60">
        <w:rPr>
          <w:rFonts w:ascii="Book Antiqua" w:hAnsi="Book Antiqua"/>
          <w:szCs w:val="24"/>
          <w:lang w:val="es-ES"/>
        </w:rPr>
        <w:t>___________________</w:t>
      </w:r>
      <w:r w:rsidR="00A774EB" w:rsidRPr="00552B60">
        <w:rPr>
          <w:rFonts w:ascii="Book Antiqua" w:hAnsi="Book Antiqua"/>
          <w:szCs w:val="24"/>
          <w:lang w:val="es-ES"/>
        </w:rPr>
        <w:t>_________</w:t>
      </w:r>
      <w:r w:rsidRPr="00552B60">
        <w:rPr>
          <w:rFonts w:ascii="Book Antiqua" w:hAnsi="Book Antiqua"/>
          <w:szCs w:val="24"/>
          <w:lang w:val="es-ES"/>
        </w:rPr>
        <w:t>______</w:t>
      </w:r>
      <w:r w:rsidR="00710473" w:rsidRPr="00552B60">
        <w:rPr>
          <w:rFonts w:ascii="Book Antiqua" w:hAnsi="Book Antiqua"/>
          <w:szCs w:val="24"/>
          <w:lang w:val="es-ES"/>
        </w:rPr>
        <w:tab/>
      </w:r>
      <w:r w:rsidR="00710473" w:rsidRPr="00552B60">
        <w:rPr>
          <w:rFonts w:ascii="Book Antiqua" w:hAnsi="Book Antiqua"/>
          <w:szCs w:val="24"/>
          <w:lang w:val="es-ES"/>
        </w:rPr>
        <w:tab/>
      </w:r>
      <w:r w:rsidR="00710473" w:rsidRPr="00552B60">
        <w:rPr>
          <w:rFonts w:ascii="Book Antiqua" w:hAnsi="Book Antiqua"/>
          <w:szCs w:val="24"/>
          <w:lang w:val="es-ES"/>
        </w:rPr>
        <w:tab/>
        <w:t>__________________________</w:t>
      </w:r>
    </w:p>
    <w:p w14:paraId="56EC0778" w14:textId="0FA4FE5B" w:rsidR="00234DAF" w:rsidRPr="00552B60" w:rsidRDefault="00234DAF" w:rsidP="00234DAF">
      <w:pPr>
        <w:tabs>
          <w:tab w:val="left" w:pos="0"/>
        </w:tabs>
        <w:jc w:val="both"/>
        <w:rPr>
          <w:rFonts w:ascii="Book Antiqua" w:hAnsi="Book Antiqua"/>
          <w:szCs w:val="24"/>
          <w:lang w:val="es-ES"/>
        </w:rPr>
      </w:pPr>
      <w:proofErr w:type="spellStart"/>
      <w:r w:rsidRPr="00552B60">
        <w:rPr>
          <w:rFonts w:ascii="Book Antiqua" w:hAnsi="Book Antiqua"/>
          <w:szCs w:val="24"/>
          <w:lang w:val="es-ES"/>
        </w:rPr>
        <w:t>Hon</w:t>
      </w:r>
      <w:proofErr w:type="spellEnd"/>
      <w:r w:rsidRPr="00552B60">
        <w:rPr>
          <w:rFonts w:ascii="Book Antiqua" w:hAnsi="Book Antiqua"/>
          <w:szCs w:val="24"/>
          <w:lang w:val="es-ES"/>
        </w:rPr>
        <w:t xml:space="preserve">. </w:t>
      </w:r>
      <w:r w:rsidR="00A774EB" w:rsidRPr="00552B60">
        <w:rPr>
          <w:rFonts w:ascii="Book Antiqua" w:hAnsi="Book Antiqua"/>
          <w:szCs w:val="24"/>
          <w:lang w:val="es-ES"/>
        </w:rPr>
        <w:t>Héctor Joaquín Sánchez Álvarez</w:t>
      </w:r>
      <w:r w:rsidR="00710473" w:rsidRPr="00552B60">
        <w:rPr>
          <w:rFonts w:ascii="Book Antiqua" w:hAnsi="Book Antiqua"/>
          <w:szCs w:val="24"/>
          <w:lang w:val="es-ES"/>
        </w:rPr>
        <w:tab/>
      </w:r>
      <w:r w:rsidR="00710473" w:rsidRPr="00552B60">
        <w:rPr>
          <w:rFonts w:ascii="Book Antiqua" w:hAnsi="Book Antiqua"/>
          <w:szCs w:val="24"/>
          <w:lang w:val="es-ES"/>
        </w:rPr>
        <w:tab/>
      </w:r>
      <w:r w:rsidR="00710473" w:rsidRPr="00552B60">
        <w:rPr>
          <w:rFonts w:ascii="Book Antiqua" w:hAnsi="Book Antiqua"/>
          <w:szCs w:val="24"/>
          <w:lang w:val="es-ES"/>
        </w:rPr>
        <w:tab/>
      </w:r>
      <w:proofErr w:type="spellStart"/>
      <w:r w:rsidR="00710473" w:rsidRPr="00552B60">
        <w:rPr>
          <w:rFonts w:ascii="Book Antiqua" w:hAnsi="Book Antiqua"/>
          <w:szCs w:val="24"/>
          <w:lang w:val="es-ES"/>
        </w:rPr>
        <w:t>Hon</w:t>
      </w:r>
      <w:proofErr w:type="spellEnd"/>
      <w:r w:rsidR="00710473" w:rsidRPr="00552B60">
        <w:rPr>
          <w:rFonts w:ascii="Book Antiqua" w:hAnsi="Book Antiqua"/>
          <w:szCs w:val="24"/>
          <w:lang w:val="es-ES"/>
        </w:rPr>
        <w:t xml:space="preserve">. </w:t>
      </w:r>
      <w:r w:rsidR="00FA7AFA" w:rsidRPr="00552B60">
        <w:rPr>
          <w:rFonts w:ascii="Book Antiqua" w:hAnsi="Book Antiqua"/>
          <w:szCs w:val="24"/>
          <w:lang w:val="es-ES"/>
        </w:rPr>
        <w:t>Ángel Toledo López</w:t>
      </w:r>
    </w:p>
    <w:p w14:paraId="0286940B" w14:textId="48C21B03" w:rsidR="00234DAF" w:rsidRPr="00552B60" w:rsidRDefault="00234DAF" w:rsidP="00234DAF">
      <w:pPr>
        <w:tabs>
          <w:tab w:val="left" w:pos="0"/>
        </w:tabs>
        <w:jc w:val="both"/>
        <w:rPr>
          <w:rFonts w:ascii="Book Antiqua" w:hAnsi="Book Antiqua"/>
          <w:szCs w:val="24"/>
          <w:lang w:val="es-ES"/>
        </w:rPr>
      </w:pPr>
      <w:r w:rsidRPr="00552B60">
        <w:rPr>
          <w:rFonts w:ascii="Book Antiqua" w:hAnsi="Book Antiqua"/>
          <w:szCs w:val="24"/>
          <w:lang w:val="es-ES"/>
        </w:rPr>
        <w:t>President</w:t>
      </w:r>
      <w:r w:rsidR="00A774EB" w:rsidRPr="00552B60">
        <w:rPr>
          <w:rFonts w:ascii="Book Antiqua" w:hAnsi="Book Antiqua"/>
          <w:szCs w:val="24"/>
          <w:lang w:val="es-ES"/>
        </w:rPr>
        <w:t>e</w:t>
      </w:r>
      <w:r w:rsidR="00710473" w:rsidRPr="00552B60">
        <w:rPr>
          <w:rFonts w:ascii="Book Antiqua" w:hAnsi="Book Antiqua"/>
          <w:szCs w:val="24"/>
          <w:lang w:val="es-ES"/>
        </w:rPr>
        <w:tab/>
      </w:r>
      <w:r w:rsidR="00710473" w:rsidRPr="00552B60">
        <w:rPr>
          <w:rFonts w:ascii="Book Antiqua" w:hAnsi="Book Antiqua"/>
          <w:szCs w:val="24"/>
          <w:lang w:val="es-ES"/>
        </w:rPr>
        <w:tab/>
      </w:r>
      <w:r w:rsidR="00710473" w:rsidRPr="00552B60">
        <w:rPr>
          <w:rFonts w:ascii="Book Antiqua" w:hAnsi="Book Antiqua"/>
          <w:szCs w:val="24"/>
          <w:lang w:val="es-ES"/>
        </w:rPr>
        <w:tab/>
      </w:r>
      <w:r w:rsidR="00710473" w:rsidRPr="00552B60">
        <w:rPr>
          <w:rFonts w:ascii="Book Antiqua" w:hAnsi="Book Antiqua"/>
          <w:szCs w:val="24"/>
          <w:lang w:val="es-ES"/>
        </w:rPr>
        <w:tab/>
      </w:r>
      <w:r w:rsidR="00710473" w:rsidRPr="00552B60">
        <w:rPr>
          <w:rFonts w:ascii="Book Antiqua" w:hAnsi="Book Antiqua"/>
          <w:szCs w:val="24"/>
          <w:lang w:val="es-ES"/>
        </w:rPr>
        <w:tab/>
      </w:r>
      <w:r w:rsidR="00710473" w:rsidRPr="00552B60">
        <w:rPr>
          <w:rFonts w:ascii="Book Antiqua" w:hAnsi="Book Antiqua"/>
          <w:szCs w:val="24"/>
          <w:lang w:val="es-ES"/>
        </w:rPr>
        <w:tab/>
      </w:r>
      <w:r w:rsidR="00710473" w:rsidRPr="00552B60">
        <w:rPr>
          <w:rFonts w:ascii="Book Antiqua" w:hAnsi="Book Antiqua"/>
          <w:szCs w:val="24"/>
          <w:lang w:val="es-ES"/>
        </w:rPr>
        <w:tab/>
      </w:r>
      <w:proofErr w:type="spellStart"/>
      <w:proofErr w:type="gramStart"/>
      <w:r w:rsidR="00710473" w:rsidRPr="00552B60">
        <w:rPr>
          <w:rFonts w:ascii="Book Antiqua" w:hAnsi="Book Antiqua"/>
          <w:szCs w:val="24"/>
          <w:lang w:val="es-ES"/>
        </w:rPr>
        <w:t>President</w:t>
      </w:r>
      <w:r w:rsidR="00FA7AFA" w:rsidRPr="00552B60">
        <w:rPr>
          <w:rFonts w:ascii="Book Antiqua" w:hAnsi="Book Antiqua"/>
          <w:szCs w:val="24"/>
          <w:lang w:val="es-ES"/>
        </w:rPr>
        <w:t>e</w:t>
      </w:r>
      <w:proofErr w:type="spellEnd"/>
      <w:proofErr w:type="gramEnd"/>
    </w:p>
    <w:p w14:paraId="7D767751" w14:textId="1E076218" w:rsidR="00710473" w:rsidRPr="00552B60" w:rsidRDefault="00A774EB" w:rsidP="00234DAF">
      <w:pPr>
        <w:tabs>
          <w:tab w:val="left" w:pos="0"/>
        </w:tabs>
        <w:jc w:val="both"/>
        <w:rPr>
          <w:rFonts w:ascii="Book Antiqua" w:hAnsi="Book Antiqua"/>
          <w:szCs w:val="24"/>
          <w:lang w:val="es-ES"/>
        </w:rPr>
      </w:pPr>
      <w:r w:rsidRPr="00552B60">
        <w:rPr>
          <w:rFonts w:ascii="Book Antiqua" w:hAnsi="Book Antiqua"/>
          <w:szCs w:val="24"/>
          <w:lang w:val="es-ES"/>
        </w:rPr>
        <w:t xml:space="preserve">Comisión de Transportación, Telecomunicaciones, </w:t>
      </w:r>
      <w:r w:rsidR="00710473" w:rsidRPr="00552B60">
        <w:rPr>
          <w:rFonts w:ascii="Book Antiqua" w:hAnsi="Book Antiqua"/>
          <w:szCs w:val="24"/>
          <w:lang w:val="es-ES"/>
        </w:rPr>
        <w:tab/>
        <w:t xml:space="preserve">Comisión de </w:t>
      </w:r>
      <w:r w:rsidR="00FA7AFA" w:rsidRPr="00552B60">
        <w:rPr>
          <w:rFonts w:ascii="Book Antiqua" w:hAnsi="Book Antiqua"/>
          <w:szCs w:val="24"/>
          <w:lang w:val="es-ES"/>
        </w:rPr>
        <w:t>Gobierno</w:t>
      </w:r>
    </w:p>
    <w:p w14:paraId="789F6229" w14:textId="44CC4CDF" w:rsidR="00234DAF" w:rsidRPr="00552B60" w:rsidRDefault="00A774EB" w:rsidP="00234DAF">
      <w:pPr>
        <w:tabs>
          <w:tab w:val="left" w:pos="0"/>
        </w:tabs>
        <w:jc w:val="both"/>
        <w:rPr>
          <w:rFonts w:ascii="Book Antiqua" w:hAnsi="Book Antiqua"/>
          <w:szCs w:val="24"/>
          <w:lang w:val="es-ES"/>
        </w:rPr>
      </w:pPr>
      <w:r w:rsidRPr="00552B60">
        <w:rPr>
          <w:rFonts w:ascii="Book Antiqua" w:hAnsi="Book Antiqua"/>
          <w:szCs w:val="24"/>
          <w:lang w:val="es-ES"/>
        </w:rPr>
        <w:t xml:space="preserve">Servicios Públicos y Asuntos del Consumidor </w:t>
      </w:r>
    </w:p>
    <w:sectPr w:rsidR="00234DAF" w:rsidRPr="00552B60" w:rsidSect="00CA01BE">
      <w:headerReference w:type="even" r:id="rId13"/>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7C15D" w14:textId="77777777" w:rsidR="009C2C3D" w:rsidRDefault="009C2C3D">
      <w:r>
        <w:separator/>
      </w:r>
    </w:p>
  </w:endnote>
  <w:endnote w:type="continuationSeparator" w:id="0">
    <w:p w14:paraId="49F5DC71" w14:textId="77777777" w:rsidR="009C2C3D" w:rsidRDefault="009C2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B66DB" w14:textId="77777777" w:rsidR="00B810F9" w:rsidRPr="00605126" w:rsidRDefault="00B810F9">
    <w:pPr>
      <w:pStyle w:val="Footer"/>
      <w:jc w:val="right"/>
      <w:rPr>
        <w:rFonts w:ascii="Book Antiqua" w:hAnsi="Book Antiqua"/>
      </w:rPr>
    </w:pPr>
    <w:r w:rsidRPr="00605126">
      <w:rPr>
        <w:rFonts w:ascii="Book Antiqua" w:hAnsi="Book Antiqua"/>
      </w:rPr>
      <w:fldChar w:fldCharType="begin"/>
    </w:r>
    <w:r w:rsidRPr="00605126">
      <w:rPr>
        <w:rFonts w:ascii="Book Antiqua" w:hAnsi="Book Antiqua"/>
      </w:rPr>
      <w:instrText xml:space="preserve"> PAGE   \* MERGEFORMAT </w:instrText>
    </w:r>
    <w:r w:rsidRPr="00605126">
      <w:rPr>
        <w:rFonts w:ascii="Book Antiqua" w:hAnsi="Book Antiqua"/>
      </w:rPr>
      <w:fldChar w:fldCharType="separate"/>
    </w:r>
    <w:r w:rsidR="00BA26C3">
      <w:rPr>
        <w:rFonts w:ascii="Book Antiqua" w:hAnsi="Book Antiqua"/>
        <w:noProof/>
      </w:rPr>
      <w:t>4</w:t>
    </w:r>
    <w:r w:rsidRPr="00605126">
      <w:rPr>
        <w:rFonts w:ascii="Book Antiqua" w:hAnsi="Book Antiqua"/>
        <w:noProof/>
      </w:rPr>
      <w:fldChar w:fldCharType="end"/>
    </w:r>
  </w:p>
  <w:p w14:paraId="7645AA69" w14:textId="77777777" w:rsidR="00B810F9" w:rsidRDefault="00B81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576F0" w14:textId="77777777" w:rsidR="009C2C3D" w:rsidRDefault="009C2C3D">
      <w:r>
        <w:separator/>
      </w:r>
    </w:p>
  </w:footnote>
  <w:footnote w:type="continuationSeparator" w:id="0">
    <w:p w14:paraId="5BF62183" w14:textId="77777777" w:rsidR="009C2C3D" w:rsidRDefault="009C2C3D">
      <w:r>
        <w:continuationSeparator/>
      </w:r>
    </w:p>
  </w:footnote>
  <w:footnote w:id="1">
    <w:p w14:paraId="73FC4585" w14:textId="77777777" w:rsidR="000919CD" w:rsidRDefault="000919CD" w:rsidP="000919CD">
      <w:pPr>
        <w:pStyle w:val="FootnoteText"/>
        <w:jc w:val="both"/>
        <w:rPr>
          <w:rFonts w:ascii="Book Antiqua" w:hAnsi="Book Antiqua"/>
          <w:sz w:val="16"/>
          <w:szCs w:val="16"/>
        </w:rPr>
      </w:pPr>
      <w:r>
        <w:rPr>
          <w:rStyle w:val="FootnoteReference"/>
          <w:rFonts w:ascii="Book Antiqua" w:hAnsi="Book Antiqua"/>
          <w:sz w:val="16"/>
          <w:szCs w:val="16"/>
        </w:rPr>
        <w:footnoteRef/>
      </w:r>
      <w:r>
        <w:rPr>
          <w:rFonts w:ascii="Book Antiqua" w:hAnsi="Book Antiqua"/>
          <w:sz w:val="16"/>
          <w:szCs w:val="16"/>
        </w:rPr>
        <w:t xml:space="preserve"> Esta Sección, específicamente, dispone que “[e]l Poder Legislativo se ejercerá por una Asamblea Legislativa, que se compondrá de dos Cámaras -el Senado y la Cámara de Representantes- cuyos miembros serán elegidos por votación directa en cada elección general.”</w:t>
      </w:r>
    </w:p>
  </w:footnote>
  <w:footnote w:id="2">
    <w:p w14:paraId="3003FEFF" w14:textId="77777777" w:rsidR="000919CD" w:rsidRDefault="000919CD" w:rsidP="000919CD">
      <w:pPr>
        <w:pStyle w:val="FootnoteText"/>
        <w:jc w:val="both"/>
        <w:rPr>
          <w:rFonts w:ascii="Book Antiqua" w:hAnsi="Book Antiqua"/>
          <w:sz w:val="16"/>
          <w:szCs w:val="16"/>
        </w:rPr>
      </w:pPr>
      <w:r>
        <w:rPr>
          <w:rStyle w:val="FootnoteReference"/>
          <w:rFonts w:ascii="Book Antiqua" w:hAnsi="Book Antiqua"/>
          <w:sz w:val="16"/>
          <w:szCs w:val="16"/>
        </w:rPr>
        <w:footnoteRef/>
      </w:r>
      <w:r>
        <w:rPr>
          <w:rFonts w:ascii="Book Antiqua" w:hAnsi="Book Antiqua"/>
          <w:sz w:val="16"/>
          <w:szCs w:val="16"/>
        </w:rPr>
        <w:t xml:space="preserve"> Esta Sección, específicamente, dispone que “[n]ingún proyecto de ley se convertirá en ley a menos que se imprima, se lea, se remita a comisión y ésta lo devuelva con un informe escrito; pero la cámara correspondiente podrá descargar a la comisión del estudio e informe de cualquier proyecto y proceder a la consideración </w:t>
      </w:r>
      <w:proofErr w:type="gramStart"/>
      <w:r>
        <w:rPr>
          <w:rFonts w:ascii="Book Antiqua" w:hAnsi="Book Antiqua"/>
          <w:sz w:val="16"/>
          <w:szCs w:val="16"/>
        </w:rPr>
        <w:t>del mismo</w:t>
      </w:r>
      <w:proofErr w:type="gramEnd"/>
      <w:r>
        <w:rPr>
          <w:rFonts w:ascii="Book Antiqua" w:hAnsi="Book Antiqua"/>
          <w:sz w:val="16"/>
          <w:szCs w:val="16"/>
        </w:rPr>
        <w:t>. Las cámaras llevarán libros de actas donde harán constar lo relativo al trámite de los proyectos y las votaciones emitidas a favor y en contra de los mismos. Se dará publicidad a los procedimientos legislativos en un diario de sesiones, en la forma que se determine por ley. No se aprobará ningún proyecto de ley, con excepción de los de presupuesto general, que contenga más de un asunto, el cual deberá ser claramente expresado en su título, y toda aquella parte de una ley cuyo asunto no haya sido expresado en el título será nula. La ley de presupuesto general sólo podrá contener asignaciones y reglas para el desembolso de las mismas. Ningún proyecto de ley será enmendado de manera que cambie su propósito original o incorpore materias extrañas al mismo. Al enmendar cualquier artículo o sección de una ley, dicho artículo sección será promulgado en su totalidad tal como haya quedado enmendado. Todo proyecto de ley para obtener rentas se originará en la Cámara de Representantes, pero el Senado podrá proponer enmiendas o convenir en ellas como si se tratara de cualquier otro proyecto de ley.”</w:t>
      </w:r>
    </w:p>
  </w:footnote>
  <w:footnote w:id="3">
    <w:p w14:paraId="245A43E5" w14:textId="77777777" w:rsidR="000919CD" w:rsidRDefault="000919CD" w:rsidP="000919CD">
      <w:pPr>
        <w:pStyle w:val="FootnoteText"/>
        <w:jc w:val="both"/>
        <w:rPr>
          <w:rFonts w:ascii="Book Antiqua" w:hAnsi="Book Antiqua"/>
          <w:sz w:val="16"/>
          <w:szCs w:val="16"/>
        </w:rPr>
      </w:pPr>
      <w:r>
        <w:rPr>
          <w:rStyle w:val="FootnoteReference"/>
          <w:rFonts w:ascii="Book Antiqua" w:hAnsi="Book Antiqua"/>
          <w:sz w:val="16"/>
          <w:szCs w:val="16"/>
        </w:rPr>
        <w:footnoteRef/>
      </w:r>
      <w:r>
        <w:rPr>
          <w:rFonts w:ascii="Book Antiqua" w:hAnsi="Book Antiqua"/>
          <w:sz w:val="16"/>
          <w:szCs w:val="16"/>
        </w:rPr>
        <w:t xml:space="preserve"> Esta Sección, específicamente, dispone que “[c]ualquier proyecto de ley que sea aprobado por una mayoría del número total de los miembros que componen cada cámara se someterá al Gobernador y se convertirá en ley si éste lo firma o si no lo devuelve con sus objeciones a la cámara de origen dentro de diez días (exceptuando los domingos) contados a partir de la fecha en que lo hubiese recibido. </w:t>
      </w:r>
    </w:p>
    <w:p w14:paraId="35EB7811" w14:textId="77777777" w:rsidR="000919CD" w:rsidRDefault="000919CD" w:rsidP="000919CD">
      <w:pPr>
        <w:pStyle w:val="FootnoteText"/>
        <w:jc w:val="both"/>
        <w:rPr>
          <w:rFonts w:ascii="Book Antiqua" w:hAnsi="Book Antiqua"/>
          <w:sz w:val="16"/>
          <w:szCs w:val="16"/>
        </w:rPr>
      </w:pPr>
    </w:p>
    <w:p w14:paraId="2569EFC8" w14:textId="77777777" w:rsidR="000919CD" w:rsidRDefault="000919CD" w:rsidP="000919CD">
      <w:pPr>
        <w:pStyle w:val="FootnoteText"/>
        <w:jc w:val="both"/>
        <w:rPr>
          <w:rFonts w:ascii="Book Antiqua" w:hAnsi="Book Antiqua"/>
          <w:sz w:val="16"/>
          <w:szCs w:val="16"/>
        </w:rPr>
      </w:pPr>
      <w:r>
        <w:rPr>
          <w:rFonts w:ascii="Book Antiqua" w:hAnsi="Book Antiqua"/>
          <w:sz w:val="16"/>
          <w:szCs w:val="16"/>
        </w:rPr>
        <w:t xml:space="preserve">Cuando el Gobernador devuelva un proyecto, la cámara que lo reciba consignará las objeciones del Gobernador en el libro de actas y ambas cámaras podrán reconsiderar el proyecto, que de ser aprobado por dos terceras partes del número total de los miembros que componen cada una de ellas, se convertirá en ley. </w:t>
      </w:r>
    </w:p>
    <w:p w14:paraId="6C2089B2" w14:textId="77777777" w:rsidR="000919CD" w:rsidRDefault="000919CD" w:rsidP="000919CD">
      <w:pPr>
        <w:pStyle w:val="FootnoteText"/>
        <w:jc w:val="both"/>
        <w:rPr>
          <w:rFonts w:ascii="Book Antiqua" w:hAnsi="Book Antiqua"/>
          <w:sz w:val="16"/>
          <w:szCs w:val="16"/>
        </w:rPr>
      </w:pPr>
      <w:r>
        <w:rPr>
          <w:rFonts w:ascii="Book Antiqua" w:hAnsi="Book Antiqua"/>
          <w:sz w:val="16"/>
          <w:szCs w:val="16"/>
        </w:rPr>
        <w:t xml:space="preserve">Si la Asamblea Legislativa levanta sus sesiones antes de expirar el plazo de diez días de haberse sometido un proyecto al Gobernador, éste quedará relevado de la obligación de devolverlo con sus objeciones, y el proyecto sólo se convertirá en ley de firmarlo el Gobernador dentro de los treinta días de haberlo recibido. </w:t>
      </w:r>
    </w:p>
    <w:p w14:paraId="374F5ACA" w14:textId="77777777" w:rsidR="000919CD" w:rsidRDefault="000919CD" w:rsidP="000919CD">
      <w:pPr>
        <w:pStyle w:val="FootnoteText"/>
        <w:jc w:val="both"/>
        <w:rPr>
          <w:rFonts w:ascii="Book Antiqua" w:hAnsi="Book Antiqua"/>
          <w:sz w:val="16"/>
          <w:szCs w:val="16"/>
        </w:rPr>
      </w:pPr>
    </w:p>
    <w:p w14:paraId="7A5ACB39" w14:textId="77777777" w:rsidR="000919CD" w:rsidRDefault="000919CD" w:rsidP="000919CD">
      <w:pPr>
        <w:pStyle w:val="FootnoteText"/>
        <w:jc w:val="both"/>
        <w:rPr>
          <w:sz w:val="16"/>
          <w:szCs w:val="16"/>
        </w:rPr>
      </w:pPr>
      <w:r>
        <w:rPr>
          <w:rFonts w:ascii="Book Antiqua" w:hAnsi="Book Antiqua"/>
          <w:sz w:val="16"/>
          <w:szCs w:val="16"/>
        </w:rPr>
        <w:t>Toda aprobación final o reconsideración de un proyecto será en votación por lista.”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1445" w14:textId="4496D246" w:rsidR="00B810F9" w:rsidRDefault="00C15E91">
    <w:pPr>
      <w:pStyle w:val="Header"/>
    </w:pPr>
    <w:r>
      <w:rPr>
        <w:noProof/>
      </w:rPr>
      <mc:AlternateContent>
        <mc:Choice Requires="wps">
          <w:drawing>
            <wp:anchor distT="0" distB="0" distL="114300" distR="114300" simplePos="0" relativeHeight="251657216" behindDoc="1" locked="0" layoutInCell="0" allowOverlap="1" wp14:anchorId="076C4A0B" wp14:editId="5652E137">
              <wp:simplePos x="0" y="0"/>
              <wp:positionH relativeFrom="margin">
                <wp:align>center</wp:align>
              </wp:positionH>
              <wp:positionV relativeFrom="margin">
                <wp:align>center</wp:align>
              </wp:positionV>
              <wp:extent cx="5985510" cy="2393950"/>
              <wp:effectExtent l="0" t="0" r="0" b="0"/>
              <wp:wrapNone/>
              <wp:docPr id="14106454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wps:spPr>
                    <wps:txbx>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6C4A0B"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o:lock v:ext="edit" shapetype="t"/>
              <v:textbox style="mso-fit-shape-to-text:t">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C77AF" w14:textId="71F5E9C0" w:rsidR="00B810F9" w:rsidRDefault="00C15E91">
    <w:pPr>
      <w:pStyle w:val="Header"/>
      <w:jc w:val="right"/>
    </w:pPr>
    <w:r>
      <w:rPr>
        <w:noProof/>
      </w:rPr>
      <mc:AlternateContent>
        <mc:Choice Requires="wps">
          <w:drawing>
            <wp:anchor distT="0" distB="0" distL="114300" distR="114300" simplePos="0" relativeHeight="251658240" behindDoc="1" locked="0" layoutInCell="0" allowOverlap="1" wp14:anchorId="6061462F" wp14:editId="4C86FF1D">
              <wp:simplePos x="0" y="0"/>
              <wp:positionH relativeFrom="margin">
                <wp:align>center</wp:align>
              </wp:positionH>
              <wp:positionV relativeFrom="margin">
                <wp:align>center</wp:align>
              </wp:positionV>
              <wp:extent cx="5985510" cy="106045"/>
              <wp:effectExtent l="0" t="0" r="0" b="0"/>
              <wp:wrapNone/>
              <wp:docPr id="2118257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106045"/>
                      </a:xfrm>
                      <a:prstGeom prst="rect">
                        <a:avLst/>
                      </a:prstGeom>
                    </wps:spPr>
                    <wps:txbx>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061462F" id="_x0000_t202" coordsize="21600,21600" o:spt="202" path="m,l,21600r21600,l21600,xe">
              <v:stroke joinstyle="miter"/>
              <v:path gradientshapeok="t" o:connecttype="rect"/>
            </v:shapetype>
            <v:shape id="Text Box 1" o:spid="_x0000_s1027" type="#_x0000_t202" style="position:absolute;left:0;text-align:left;margin-left:0;margin-top:0;width:471.3pt;height:8.3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" o:allowincell="f" filled="f" stroked="f">
              <o:lock v:ext="edit" shapetype="t"/>
              <v:textbox style="mso-fit-shape-to-text:t">
                <w:txbxContent>
                  <w:p w14:paraId="36E5B9F6"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p w14:paraId="70F83C21" w14:textId="77777777" w:rsidR="00B810F9" w:rsidRDefault="00B81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7936"/>
    <w:multiLevelType w:val="hybridMultilevel"/>
    <w:tmpl w:val="D842EED6"/>
    <w:lvl w:ilvl="0" w:tplc="04090011">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378768AF"/>
    <w:multiLevelType w:val="hybridMultilevel"/>
    <w:tmpl w:val="8AA6AB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FF1597"/>
    <w:multiLevelType w:val="hybridMultilevel"/>
    <w:tmpl w:val="6F08E34E"/>
    <w:lvl w:ilvl="0" w:tplc="76A05716">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59B6365"/>
    <w:multiLevelType w:val="hybridMultilevel"/>
    <w:tmpl w:val="7848E69E"/>
    <w:lvl w:ilvl="0" w:tplc="84AC3C74">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5F7D0A4C"/>
    <w:multiLevelType w:val="hybridMultilevel"/>
    <w:tmpl w:val="4D0AEE76"/>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5" w15:restartNumberingAfterBreak="0">
    <w:nsid w:val="6DA52B0E"/>
    <w:multiLevelType w:val="hybridMultilevel"/>
    <w:tmpl w:val="C6DEDAE2"/>
    <w:lvl w:ilvl="0" w:tplc="A22E640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700071AA"/>
    <w:multiLevelType w:val="hybridMultilevel"/>
    <w:tmpl w:val="947CCEB6"/>
    <w:lvl w:ilvl="0" w:tplc="60F651B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77780EF4"/>
    <w:multiLevelType w:val="hybridMultilevel"/>
    <w:tmpl w:val="92181926"/>
    <w:lvl w:ilvl="0" w:tplc="BB764F60">
      <w:start w:val="2"/>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744882946">
    <w:abstractNumId w:val="5"/>
  </w:num>
  <w:num w:numId="2" w16cid:durableId="22873030">
    <w:abstractNumId w:val="1"/>
  </w:num>
  <w:num w:numId="3" w16cid:durableId="1816068398">
    <w:abstractNumId w:val="6"/>
  </w:num>
  <w:num w:numId="4" w16cid:durableId="1863788226">
    <w:abstractNumId w:val="4"/>
  </w:num>
  <w:num w:numId="5" w16cid:durableId="618419924">
    <w:abstractNumId w:val="3"/>
  </w:num>
  <w:num w:numId="6" w16cid:durableId="1278760102">
    <w:abstractNumId w:val="0"/>
  </w:num>
  <w:num w:numId="7" w16cid:durableId="1052459705">
    <w:abstractNumId w:val="2"/>
  </w:num>
  <w:num w:numId="8" w16cid:durableId="1838573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2F"/>
    <w:rsid w:val="0002041F"/>
    <w:rsid w:val="00022BF9"/>
    <w:rsid w:val="00041A24"/>
    <w:rsid w:val="000726E4"/>
    <w:rsid w:val="000919CD"/>
    <w:rsid w:val="00092782"/>
    <w:rsid w:val="00095C7F"/>
    <w:rsid w:val="000A608B"/>
    <w:rsid w:val="000C4D26"/>
    <w:rsid w:val="000D5348"/>
    <w:rsid w:val="000E3200"/>
    <w:rsid w:val="000F410F"/>
    <w:rsid w:val="001041C7"/>
    <w:rsid w:val="00116962"/>
    <w:rsid w:val="001220D9"/>
    <w:rsid w:val="00133EE8"/>
    <w:rsid w:val="0014112C"/>
    <w:rsid w:val="00175EE8"/>
    <w:rsid w:val="001846D0"/>
    <w:rsid w:val="00184F57"/>
    <w:rsid w:val="001E4512"/>
    <w:rsid w:val="001E6EB6"/>
    <w:rsid w:val="001F08D9"/>
    <w:rsid w:val="002035B4"/>
    <w:rsid w:val="00211B51"/>
    <w:rsid w:val="002143FB"/>
    <w:rsid w:val="002316C0"/>
    <w:rsid w:val="00234DAF"/>
    <w:rsid w:val="00245A9D"/>
    <w:rsid w:val="00257929"/>
    <w:rsid w:val="002709CA"/>
    <w:rsid w:val="002A52C1"/>
    <w:rsid w:val="002B461C"/>
    <w:rsid w:val="002C22BA"/>
    <w:rsid w:val="002D77A7"/>
    <w:rsid w:val="002E5E1F"/>
    <w:rsid w:val="00322440"/>
    <w:rsid w:val="00353DD1"/>
    <w:rsid w:val="00356E64"/>
    <w:rsid w:val="00366BEB"/>
    <w:rsid w:val="00370830"/>
    <w:rsid w:val="003820E5"/>
    <w:rsid w:val="0039331F"/>
    <w:rsid w:val="00397CD6"/>
    <w:rsid w:val="003A7D7C"/>
    <w:rsid w:val="003C1F4F"/>
    <w:rsid w:val="003D34F6"/>
    <w:rsid w:val="00412AF0"/>
    <w:rsid w:val="00451887"/>
    <w:rsid w:val="00463036"/>
    <w:rsid w:val="00476721"/>
    <w:rsid w:val="004C0167"/>
    <w:rsid w:val="004C6644"/>
    <w:rsid w:val="004C6D8E"/>
    <w:rsid w:val="004D483E"/>
    <w:rsid w:val="004F505B"/>
    <w:rsid w:val="004F590D"/>
    <w:rsid w:val="004F7552"/>
    <w:rsid w:val="00506D21"/>
    <w:rsid w:val="00526A31"/>
    <w:rsid w:val="005276D3"/>
    <w:rsid w:val="00536440"/>
    <w:rsid w:val="00552B60"/>
    <w:rsid w:val="00557581"/>
    <w:rsid w:val="0056033B"/>
    <w:rsid w:val="00574CC2"/>
    <w:rsid w:val="00583A22"/>
    <w:rsid w:val="00597148"/>
    <w:rsid w:val="005C51B9"/>
    <w:rsid w:val="005D0732"/>
    <w:rsid w:val="005D649A"/>
    <w:rsid w:val="005F149D"/>
    <w:rsid w:val="00616CDD"/>
    <w:rsid w:val="006848D2"/>
    <w:rsid w:val="00691121"/>
    <w:rsid w:val="00696C9F"/>
    <w:rsid w:val="006E05FC"/>
    <w:rsid w:val="00705118"/>
    <w:rsid w:val="00706D16"/>
    <w:rsid w:val="00710473"/>
    <w:rsid w:val="00716BEB"/>
    <w:rsid w:val="00727A22"/>
    <w:rsid w:val="007325E5"/>
    <w:rsid w:val="00772F39"/>
    <w:rsid w:val="00782615"/>
    <w:rsid w:val="007966A8"/>
    <w:rsid w:val="007D423D"/>
    <w:rsid w:val="007D6CFB"/>
    <w:rsid w:val="007E56CD"/>
    <w:rsid w:val="007F466F"/>
    <w:rsid w:val="00840AE0"/>
    <w:rsid w:val="00842B2F"/>
    <w:rsid w:val="00864216"/>
    <w:rsid w:val="00894283"/>
    <w:rsid w:val="008C15A4"/>
    <w:rsid w:val="008D629E"/>
    <w:rsid w:val="008D6D7C"/>
    <w:rsid w:val="008E36C0"/>
    <w:rsid w:val="00900F24"/>
    <w:rsid w:val="00910B72"/>
    <w:rsid w:val="00914F1A"/>
    <w:rsid w:val="009429AB"/>
    <w:rsid w:val="00984582"/>
    <w:rsid w:val="009B55EA"/>
    <w:rsid w:val="009B59C4"/>
    <w:rsid w:val="009C2C3D"/>
    <w:rsid w:val="009C5649"/>
    <w:rsid w:val="009C786C"/>
    <w:rsid w:val="009D189A"/>
    <w:rsid w:val="009E368E"/>
    <w:rsid w:val="00A067B6"/>
    <w:rsid w:val="00A12A8F"/>
    <w:rsid w:val="00A26831"/>
    <w:rsid w:val="00A40FEB"/>
    <w:rsid w:val="00A45D61"/>
    <w:rsid w:val="00A60B7F"/>
    <w:rsid w:val="00A64F09"/>
    <w:rsid w:val="00A73EC5"/>
    <w:rsid w:val="00A75061"/>
    <w:rsid w:val="00A75C7E"/>
    <w:rsid w:val="00A774EB"/>
    <w:rsid w:val="00A929A8"/>
    <w:rsid w:val="00AE3955"/>
    <w:rsid w:val="00AE7ABB"/>
    <w:rsid w:val="00B01ABD"/>
    <w:rsid w:val="00B13AE4"/>
    <w:rsid w:val="00B418A2"/>
    <w:rsid w:val="00B474A6"/>
    <w:rsid w:val="00B637D3"/>
    <w:rsid w:val="00B810F9"/>
    <w:rsid w:val="00BA26C3"/>
    <w:rsid w:val="00BA38DA"/>
    <w:rsid w:val="00BB7211"/>
    <w:rsid w:val="00BC5C3F"/>
    <w:rsid w:val="00BE3974"/>
    <w:rsid w:val="00C14037"/>
    <w:rsid w:val="00C15E91"/>
    <w:rsid w:val="00C16BCF"/>
    <w:rsid w:val="00C238C0"/>
    <w:rsid w:val="00C23E44"/>
    <w:rsid w:val="00C377EF"/>
    <w:rsid w:val="00C54BB7"/>
    <w:rsid w:val="00C571EE"/>
    <w:rsid w:val="00CA01BE"/>
    <w:rsid w:val="00CC7D66"/>
    <w:rsid w:val="00CD3C85"/>
    <w:rsid w:val="00CE2EAB"/>
    <w:rsid w:val="00D10ACB"/>
    <w:rsid w:val="00D11988"/>
    <w:rsid w:val="00D14328"/>
    <w:rsid w:val="00D14448"/>
    <w:rsid w:val="00D25134"/>
    <w:rsid w:val="00D718D1"/>
    <w:rsid w:val="00D776E3"/>
    <w:rsid w:val="00D80533"/>
    <w:rsid w:val="00DA2EB6"/>
    <w:rsid w:val="00DB792F"/>
    <w:rsid w:val="00DC1D74"/>
    <w:rsid w:val="00DC7298"/>
    <w:rsid w:val="00DD67EC"/>
    <w:rsid w:val="00E06E06"/>
    <w:rsid w:val="00E226F3"/>
    <w:rsid w:val="00E26E4D"/>
    <w:rsid w:val="00E30C79"/>
    <w:rsid w:val="00E44D4D"/>
    <w:rsid w:val="00E65C42"/>
    <w:rsid w:val="00E95F48"/>
    <w:rsid w:val="00EA5119"/>
    <w:rsid w:val="00EB3FE7"/>
    <w:rsid w:val="00EB42F9"/>
    <w:rsid w:val="00EC5E55"/>
    <w:rsid w:val="00ED1305"/>
    <w:rsid w:val="00EE1493"/>
    <w:rsid w:val="00F40849"/>
    <w:rsid w:val="00F47D2D"/>
    <w:rsid w:val="00F5630B"/>
    <w:rsid w:val="00F61813"/>
    <w:rsid w:val="00F74911"/>
    <w:rsid w:val="00F75FF7"/>
    <w:rsid w:val="00FA7AFA"/>
    <w:rsid w:val="00FB1099"/>
    <w:rsid w:val="00FE6FB4"/>
    <w:rsid w:val="00FF2FB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FD56"/>
  <w15:chartTrackingRefBased/>
  <w15:docId w15:val="{E823A547-122B-4DB0-B391-FFAEA416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92F"/>
    <w:rPr>
      <w:rFonts w:ascii="Times New Roman" w:eastAsia="Times New Roman" w:hAnsi="Times New Roman"/>
      <w:sz w:val="24"/>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92F"/>
    <w:pPr>
      <w:tabs>
        <w:tab w:val="center" w:pos="4680"/>
        <w:tab w:val="right" w:pos="9360"/>
      </w:tabs>
    </w:pPr>
  </w:style>
  <w:style w:type="character" w:customStyle="1" w:styleId="HeaderChar">
    <w:name w:val="Header Char"/>
    <w:link w:val="Header"/>
    <w:uiPriority w:val="99"/>
    <w:rsid w:val="00DB792F"/>
    <w:rPr>
      <w:rFonts w:ascii="Times New Roman" w:eastAsia="Times New Roman" w:hAnsi="Times New Roman" w:cs="Times New Roman"/>
      <w:sz w:val="24"/>
      <w:szCs w:val="20"/>
      <w:lang w:val="es-PR"/>
    </w:rPr>
  </w:style>
  <w:style w:type="paragraph" w:styleId="Footer">
    <w:name w:val="footer"/>
    <w:basedOn w:val="Normal"/>
    <w:link w:val="FooterChar"/>
    <w:uiPriority w:val="99"/>
    <w:unhideWhenUsed/>
    <w:rsid w:val="00DB792F"/>
    <w:pPr>
      <w:tabs>
        <w:tab w:val="center" w:pos="4680"/>
        <w:tab w:val="right" w:pos="9360"/>
      </w:tabs>
    </w:pPr>
  </w:style>
  <w:style w:type="character" w:customStyle="1" w:styleId="FooterChar">
    <w:name w:val="Footer Char"/>
    <w:link w:val="Footer"/>
    <w:uiPriority w:val="99"/>
    <w:rsid w:val="00DB792F"/>
    <w:rPr>
      <w:rFonts w:ascii="Times New Roman" w:eastAsia="Times New Roman" w:hAnsi="Times New Roman" w:cs="Times New Roman"/>
      <w:sz w:val="24"/>
      <w:szCs w:val="20"/>
      <w:lang w:val="es-PR"/>
    </w:rPr>
  </w:style>
  <w:style w:type="paragraph" w:styleId="NormalWeb">
    <w:name w:val="Normal (Web)"/>
    <w:basedOn w:val="Normal"/>
    <w:uiPriority w:val="99"/>
    <w:semiHidden/>
    <w:unhideWhenUsed/>
    <w:rsid w:val="00DB792F"/>
    <w:pPr>
      <w:spacing w:before="100" w:beforeAutospacing="1" w:after="100" w:afterAutospacing="1"/>
    </w:pPr>
    <w:rPr>
      <w:szCs w:val="24"/>
      <w:lang w:val="en-US"/>
    </w:rPr>
  </w:style>
  <w:style w:type="paragraph" w:styleId="ListParagraph">
    <w:name w:val="List Paragraph"/>
    <w:basedOn w:val="Normal"/>
    <w:uiPriority w:val="34"/>
    <w:qFormat/>
    <w:rsid w:val="00CA01BE"/>
    <w:pPr>
      <w:ind w:left="720"/>
      <w:contextualSpacing/>
    </w:pPr>
  </w:style>
  <w:style w:type="paragraph" w:styleId="BalloonText">
    <w:name w:val="Balloon Text"/>
    <w:basedOn w:val="Normal"/>
    <w:link w:val="BalloonTextChar"/>
    <w:uiPriority w:val="99"/>
    <w:semiHidden/>
    <w:unhideWhenUsed/>
    <w:rsid w:val="00F5630B"/>
    <w:rPr>
      <w:rFonts w:ascii="Segoe UI" w:hAnsi="Segoe UI" w:cs="Segoe UI"/>
      <w:sz w:val="18"/>
      <w:szCs w:val="18"/>
    </w:rPr>
  </w:style>
  <w:style w:type="character" w:customStyle="1" w:styleId="BalloonTextChar">
    <w:name w:val="Balloon Text Char"/>
    <w:link w:val="BalloonText"/>
    <w:uiPriority w:val="99"/>
    <w:semiHidden/>
    <w:rsid w:val="00F5630B"/>
    <w:rPr>
      <w:rFonts w:ascii="Segoe UI" w:eastAsia="Times New Roman" w:hAnsi="Segoe UI" w:cs="Segoe UI"/>
      <w:sz w:val="18"/>
      <w:szCs w:val="18"/>
      <w:lang w:val="es-PR"/>
    </w:rPr>
  </w:style>
  <w:style w:type="paragraph" w:styleId="FootnoteText">
    <w:name w:val="footnote text"/>
    <w:basedOn w:val="Normal"/>
    <w:link w:val="FootnoteTextChar"/>
    <w:uiPriority w:val="99"/>
    <w:semiHidden/>
    <w:unhideWhenUsed/>
    <w:rsid w:val="00A75061"/>
    <w:rPr>
      <w:sz w:val="20"/>
    </w:rPr>
  </w:style>
  <w:style w:type="character" w:customStyle="1" w:styleId="FootnoteTextChar">
    <w:name w:val="Footnote Text Char"/>
    <w:basedOn w:val="DefaultParagraphFont"/>
    <w:link w:val="FootnoteText"/>
    <w:uiPriority w:val="99"/>
    <w:semiHidden/>
    <w:rsid w:val="00A75061"/>
    <w:rPr>
      <w:rFonts w:ascii="Times New Roman" w:eastAsia="Times New Roman" w:hAnsi="Times New Roman"/>
      <w:lang w:val="es-PR" w:eastAsia="en-US"/>
    </w:rPr>
  </w:style>
  <w:style w:type="character" w:styleId="FootnoteReference">
    <w:name w:val="footnote reference"/>
    <w:uiPriority w:val="99"/>
    <w:semiHidden/>
    <w:unhideWhenUsed/>
    <w:rsid w:val="00A750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4SQX5P7U7WPY-958212181-812962</_dlc_DocId>
    <_dlc_DocIdUrl xmlns="c890fddd-4e87-4e08-8b51-545f2a3f7b06">
      <Url>https://senpr.sharepoint.com/sites/obralegislativa/_layouts/15/DocIdRedir.aspx?ID=4SQX5P7U7WPY-958212181-812962</Url>
      <Description>4SQX5P7U7WPY-958212181-812962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9900DCF-FFB1-4435-A3E4-799DE2BE543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EAA865F1-7CBA-4BC8-9C16-B7286DEE1E3E}">
  <ds:schemaRefs>
    <ds:schemaRef ds:uri="http://schemas.microsoft.com/sharepoint/v3/contenttype/forms"/>
  </ds:schemaRefs>
</ds:datastoreItem>
</file>

<file path=customXml/itemProps3.xml><?xml version="1.0" encoding="utf-8"?>
<ds:datastoreItem xmlns:ds="http://schemas.openxmlformats.org/officeDocument/2006/customXml" ds:itemID="{A0AB3BA0-2415-4C99-8E67-44A454984464}">
  <ds:schemaRefs>
    <ds:schemaRef ds:uri="http://schemas.openxmlformats.org/officeDocument/2006/bibliography"/>
  </ds:schemaRefs>
</ds:datastoreItem>
</file>

<file path=customXml/itemProps4.xml><?xml version="1.0" encoding="utf-8"?>
<ds:datastoreItem xmlns:ds="http://schemas.openxmlformats.org/officeDocument/2006/customXml" ds:itemID="{CD48A493-7CEE-4EA2-BCE8-64EBC1EA216C}">
  <ds:schemaRefs>
    <ds:schemaRef ds:uri="http://schemas.microsoft.com/sharepoint/events"/>
  </ds:schemaRefs>
</ds:datastoreItem>
</file>

<file path=customXml/itemProps5.xml><?xml version="1.0" encoding="utf-8"?>
<ds:datastoreItem xmlns:ds="http://schemas.openxmlformats.org/officeDocument/2006/customXml" ds:itemID="{1984BE80-8D93-427C-A206-CDF84D7AD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A6A6B24-B9B4-4F64-92D5-1740B9F3F87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1514</Words>
  <Characters>8632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Minier (Sen. Martínez Santiago)</dc:creator>
  <cp:keywords/>
  <dc:description/>
  <cp:lastModifiedBy>Jessica M. Caraballo Rivera (Trámites y Récords)</cp:lastModifiedBy>
  <cp:revision>2</cp:revision>
  <cp:lastPrinted>2025-02-26T22:17:00Z</cp:lastPrinted>
  <dcterms:created xsi:type="dcterms:W3CDTF">2025-05-08T15:58:00Z</dcterms:created>
  <dcterms:modified xsi:type="dcterms:W3CDTF">2025-05-08T15:58:00Z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4SQX5P7U7WPY-958212181-811014</vt:lpwstr>
  </property>
  <property fmtid="{D5CDD505-2E9C-101B-9397-08002B2CF9AE}" pid="3" name="_dlc_DocIdItemGuid">
    <vt:lpwstr>2b9a8d89-b12b-4c41-8a4d-deafb1c65513</vt:lpwstr>
  </property>
  <property fmtid="{D5CDD505-2E9C-101B-9397-08002B2CF9AE}" pid="4" name="_dlc_DocIdUrl">
    <vt:lpwstr>https://senpr.sharepoint.com/sites/obralegislativa/_layouts/15/DocIdRedir.aspx?ID=4SQX5P7U7WPY-958212181-811014, 4SQX5P7U7WPY-958212181-811014</vt:lpwstr>
  </property>
  <property fmtid="{D5CDD505-2E9C-101B-9397-08002B2CF9AE}" pid="5" name="ContentTypeId">
    <vt:lpwstr>0x0101008C58FC75B682744FB4A53C756BEDC3A3</vt:lpwstr>
  </property>
  <property fmtid="{D5CDD505-2E9C-101B-9397-08002B2CF9AE}" pid="6" name="MediaServiceImageTags">
    <vt:lpwstr/>
  </property>
</Properties>
</file>