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8944B1C"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07423E">
        <w:rPr>
          <w:rFonts w:ascii="Book Antiqua" w:hAnsi="Book Antiqua"/>
          <w:b/>
          <w:sz w:val="52"/>
          <w:szCs w:val="52"/>
          <w:lang w:val="es-ES_tradnl"/>
        </w:rPr>
        <w:t>224</w:t>
      </w:r>
    </w:p>
    <w:p w14:paraId="20694564" w14:textId="409A4B3C" w:rsidR="00ED3D5A" w:rsidRPr="00ED3D5A" w:rsidRDefault="00ED3D5A" w:rsidP="007E538D">
      <w:pPr>
        <w:spacing w:line="360" w:lineRule="auto"/>
        <w:jc w:val="center"/>
        <w:rPr>
          <w:rFonts w:ascii="Book Antiqua" w:hAnsi="Book Antiqua"/>
          <w:b/>
          <w:bCs/>
          <w:lang w:val="es-ES_tradnl"/>
        </w:rPr>
      </w:pPr>
      <w:r w:rsidRPr="00ED3D5A">
        <w:rPr>
          <w:rFonts w:ascii="Book Antiqua" w:hAnsi="Book Antiqua"/>
          <w:b/>
          <w:bCs/>
          <w:lang w:val="es-ES_tradnl"/>
        </w:rPr>
        <w:t>INFORME POSITIVO</w:t>
      </w:r>
    </w:p>
    <w:p w14:paraId="77734161" w14:textId="7EBA4001" w:rsidR="000F6729" w:rsidRPr="007E538D" w:rsidRDefault="00077A24" w:rsidP="007E538D">
      <w:pPr>
        <w:spacing w:line="360" w:lineRule="auto"/>
        <w:jc w:val="center"/>
        <w:rPr>
          <w:rFonts w:ascii="Book Antiqua" w:hAnsi="Book Antiqua"/>
          <w:i/>
          <w:szCs w:val="24"/>
          <w:lang w:val="es-419"/>
        </w:rPr>
      </w:pPr>
      <w:r>
        <w:rPr>
          <w:rFonts w:ascii="Book Antiqua" w:hAnsi="Book Antiqua"/>
          <w:lang w:val="es-ES_tradnl"/>
        </w:rPr>
        <w:t>26</w:t>
      </w:r>
      <w:r w:rsidR="00DE2902">
        <w:rPr>
          <w:rFonts w:ascii="Book Antiqua" w:hAnsi="Book Antiqua"/>
          <w:lang w:val="es-ES_tradnl"/>
        </w:rPr>
        <w:t xml:space="preserve"> de </w:t>
      </w:r>
      <w:r w:rsidR="0007423E">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8BD2212" w:rsidR="001D401B" w:rsidRPr="00F1366C"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F1366C">
        <w:rPr>
          <w:rFonts w:ascii="Book Antiqua" w:hAnsi="Book Antiqua"/>
          <w:bCs/>
          <w:szCs w:val="24"/>
          <w:lang w:val="es-ES_tradnl"/>
        </w:rPr>
        <w:t xml:space="preserve">La Comisión de </w:t>
      </w:r>
      <w:r w:rsidR="00BB2EDB" w:rsidRPr="00F1366C">
        <w:rPr>
          <w:rFonts w:ascii="Book Antiqua" w:hAnsi="Book Antiqua"/>
          <w:bCs/>
          <w:szCs w:val="24"/>
          <w:lang w:val="es-ES_tradnl"/>
        </w:rPr>
        <w:t xml:space="preserve">Educación, Arte y Cultura </w:t>
      </w:r>
      <w:r w:rsidR="00DE2902" w:rsidRPr="00F1366C">
        <w:rPr>
          <w:rFonts w:ascii="Book Antiqua" w:hAnsi="Book Antiqua"/>
          <w:bCs/>
          <w:szCs w:val="24"/>
          <w:lang w:val="es-ES_tradnl"/>
        </w:rPr>
        <w:t>del Senado de Puerto Rico, previo estudio y consideración</w:t>
      </w:r>
      <w:r w:rsidR="006A6960" w:rsidRPr="00F1366C">
        <w:rPr>
          <w:rFonts w:ascii="Book Antiqua" w:hAnsi="Book Antiqua"/>
          <w:bCs/>
          <w:szCs w:val="24"/>
          <w:lang w:val="es-ES_tradnl"/>
        </w:rPr>
        <w:t xml:space="preserve"> del Proyecto del Senado </w:t>
      </w:r>
      <w:r w:rsidR="00F1366C">
        <w:rPr>
          <w:rFonts w:ascii="Book Antiqua" w:hAnsi="Book Antiqua"/>
          <w:bCs/>
          <w:szCs w:val="24"/>
          <w:lang w:val="es-ES_tradnl"/>
        </w:rPr>
        <w:t>224</w:t>
      </w:r>
      <w:r w:rsidR="00DE2902" w:rsidRPr="00F1366C">
        <w:rPr>
          <w:rFonts w:ascii="Book Antiqua" w:hAnsi="Book Antiqua"/>
          <w:bCs/>
          <w:szCs w:val="24"/>
          <w:lang w:val="es-ES_tradnl"/>
        </w:rPr>
        <w:t>,</w:t>
      </w:r>
      <w:r w:rsidR="006A6960" w:rsidRPr="00F1366C">
        <w:rPr>
          <w:rFonts w:ascii="Book Antiqua" w:hAnsi="Book Antiqua"/>
          <w:bCs/>
          <w:szCs w:val="24"/>
          <w:lang w:val="es-ES_tradnl"/>
        </w:rPr>
        <w:t xml:space="preserve"> presenta a este Alto Cuerpo Legislativo el Informe Positivo de la presente medida,</w:t>
      </w:r>
      <w:r w:rsidRPr="00F1366C">
        <w:rPr>
          <w:rFonts w:ascii="Book Antiqua" w:hAnsi="Book Antiqua"/>
          <w:szCs w:val="24"/>
          <w:lang w:val="es-PR"/>
        </w:rPr>
        <w:t xml:space="preserve"> </w:t>
      </w:r>
      <w:r w:rsidR="001D401B" w:rsidRPr="00F1366C">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F2CC7E" w14:textId="3C12C8EB" w:rsidR="00816D27" w:rsidRPr="00B5351A" w:rsidRDefault="00B5351A" w:rsidP="00816D27">
      <w:pPr>
        <w:ind w:firstLine="540"/>
        <w:jc w:val="both"/>
        <w:rPr>
          <w:rFonts w:ascii="Book Antiqua" w:hAnsi="Book Antiqua"/>
          <w:bCs/>
          <w:szCs w:val="24"/>
          <w:lang w:val="es-ES_tradnl"/>
        </w:rPr>
      </w:pPr>
      <w:r w:rsidRPr="00B5351A">
        <w:rPr>
          <w:rFonts w:ascii="Book Antiqua" w:hAnsi="Book Antiqua"/>
          <w:bCs/>
          <w:szCs w:val="24"/>
          <w:lang w:val="es-ES_tradnl"/>
        </w:rPr>
        <w:t xml:space="preserve">El Proyecto del Senado 224 tiene como propósito </w:t>
      </w:r>
      <w:r w:rsidR="00ED3D5A" w:rsidRPr="00ED3D5A">
        <w:rPr>
          <w:rFonts w:ascii="Book Antiqua" w:hAnsi="Book Antiqua"/>
          <w:bCs/>
          <w:szCs w:val="24"/>
          <w:lang w:val="es-ES_tradnl"/>
        </w:rPr>
        <w:t xml:space="preserve">añadir un nuevo </w:t>
      </w:r>
      <w:proofErr w:type="spellStart"/>
      <w:r w:rsidR="00ED3D5A" w:rsidRPr="00ED3D5A">
        <w:rPr>
          <w:rFonts w:ascii="Book Antiqua" w:hAnsi="Book Antiqua"/>
          <w:bCs/>
          <w:szCs w:val="24"/>
          <w:lang w:val="es-ES_tradnl"/>
        </w:rPr>
        <w:t>subinciso</w:t>
      </w:r>
      <w:proofErr w:type="spellEnd"/>
      <w:r w:rsidR="00ED3D5A" w:rsidRPr="00ED3D5A">
        <w:rPr>
          <w:rFonts w:ascii="Book Antiqua" w:hAnsi="Book Antiqua"/>
          <w:bCs/>
          <w:szCs w:val="24"/>
          <w:lang w:val="es-ES_tradnl"/>
        </w:rPr>
        <w:t xml:space="preserve"> (68) </w:t>
      </w:r>
      <w:r w:rsidR="00ED3D5A" w:rsidRPr="00ED3D5A">
        <w:rPr>
          <w:rFonts w:ascii="Book Antiqua" w:hAnsi="Book Antiqua"/>
          <w:bCs/>
          <w:szCs w:val="24"/>
          <w:lang w:val="es-PR"/>
        </w:rPr>
        <w:t>al inciso (b)</w:t>
      </w:r>
      <w:r w:rsidR="00ED3D5A" w:rsidRPr="00ED3D5A">
        <w:rPr>
          <w:rFonts w:ascii="Book Antiqua" w:hAnsi="Book Antiqua"/>
          <w:bCs/>
          <w:szCs w:val="24"/>
          <w:lang w:val="es-ES_tradnl"/>
        </w:rPr>
        <w:t xml:space="preserve"> del Artículo 2.04 de la Ley Núm. 85-2018, denominada “Ley de Reforma Educativa de Puerto Rico”, según enmendada, y enmendar e</w:t>
      </w:r>
      <w:r w:rsidR="00ED3D5A" w:rsidRPr="00ED3D5A">
        <w:rPr>
          <w:rFonts w:ascii="Book Antiqua" w:hAnsi="Book Antiqua"/>
          <w:bCs/>
          <w:szCs w:val="24"/>
          <w:lang w:val="es-PR"/>
        </w:rPr>
        <w:t>l inciso (</w:t>
      </w:r>
      <w:proofErr w:type="spellStart"/>
      <w:r w:rsidR="00ED3D5A" w:rsidRPr="00ED3D5A">
        <w:rPr>
          <w:rFonts w:ascii="Book Antiqua" w:hAnsi="Book Antiqua"/>
          <w:bCs/>
          <w:szCs w:val="24"/>
          <w:lang w:val="es-PR"/>
        </w:rPr>
        <w:t>dd</w:t>
      </w:r>
      <w:proofErr w:type="spellEnd"/>
      <w:r w:rsidR="00ED3D5A" w:rsidRPr="00ED3D5A">
        <w:rPr>
          <w:rFonts w:ascii="Book Antiqua" w:hAnsi="Book Antiqua"/>
          <w:bCs/>
          <w:szCs w:val="24"/>
          <w:lang w:val="es-PR"/>
        </w:rPr>
        <w:t xml:space="preserve">) del Artículo 3 de la Ley 160-2020, </w:t>
      </w:r>
      <w:r w:rsidR="00ED3D5A" w:rsidRPr="00ED3D5A">
        <w:rPr>
          <w:rFonts w:ascii="Book Antiqua" w:hAnsi="Book Antiqua"/>
          <w:bCs/>
          <w:szCs w:val="24"/>
          <w:lang w:val="es-ES_tradnl"/>
        </w:rPr>
        <w:t>denominada “Carta de Derechos de los Maestros del Sistema Público de Enseñanza”, con el fin de establecer un término temporal máximo durante el cual una persona empleada por el Departamento de Educación podrá permanecer aislada o trasladada temporeramente del área de trabajo como parte de una medida cautelar, de manera que se garantice el derecho al Debido Proceso de Ley del personal docente</w:t>
      </w:r>
      <w:r w:rsidR="00ED3D5A">
        <w:rPr>
          <w:rFonts w:ascii="Book Antiqua" w:hAnsi="Book Antiqua"/>
          <w:bCs/>
          <w:szCs w:val="24"/>
          <w:lang w:val="es-ES_tradnl"/>
        </w:rPr>
        <w:t>.</w:t>
      </w: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7C2793CE" w14:textId="2652AB0E" w:rsidR="00E00274" w:rsidRDefault="00E00274" w:rsidP="000518A3">
      <w:pPr>
        <w:ind w:firstLine="720"/>
        <w:jc w:val="both"/>
        <w:rPr>
          <w:rFonts w:ascii="Book Antiqua" w:hAnsi="Book Antiqua"/>
          <w:iCs/>
          <w:spacing w:val="-3"/>
          <w:szCs w:val="24"/>
          <w:lang w:val="es-ES_tradnl"/>
        </w:rPr>
      </w:pPr>
      <w:r w:rsidRPr="00E00274">
        <w:rPr>
          <w:rFonts w:ascii="Book Antiqua" w:hAnsi="Book Antiqua"/>
          <w:iCs/>
          <w:spacing w:val="-3"/>
          <w:szCs w:val="24"/>
          <w:lang w:val="es-ES_tradnl"/>
        </w:rPr>
        <w:t xml:space="preserve">El respeto al debido proceso de ley es uno de los principios fundamentales del ordenamiento jurídico de Puerto Rico y piedra angular de toda gestión gubernamental, especialmente en el contexto de la administración pública y las relaciones laborales. Dentro del sistema educativo del país, este principio cobra aún mayor relevancia cuando se trata de proteger los derechos de los maestros que forman parte del sistema público de enseñanza. En atención a esta realidad, el Proyecto del Senado 224 surge como una </w:t>
      </w:r>
      <w:r w:rsidRPr="00E00274">
        <w:rPr>
          <w:rFonts w:ascii="Book Antiqua" w:hAnsi="Book Antiqua"/>
          <w:iCs/>
          <w:spacing w:val="-3"/>
          <w:szCs w:val="24"/>
          <w:lang w:val="es-ES_tradnl"/>
        </w:rPr>
        <w:lastRenderedPageBreak/>
        <w:t>respuesta legislativa necesaria para atender una situación que ha generado gran preocupación tanto en el magisterio como en la comunidad en general: la separación prolongada e indefinida de empleados docentes de sus funciones laborales como parte de medidas cautelares impuestas por el Departamento de Educación.</w:t>
      </w:r>
    </w:p>
    <w:p w14:paraId="227D8BE1" w14:textId="77777777" w:rsidR="00486201" w:rsidRPr="00E00274" w:rsidRDefault="00486201" w:rsidP="000518A3">
      <w:pPr>
        <w:ind w:firstLine="720"/>
        <w:jc w:val="both"/>
        <w:rPr>
          <w:rFonts w:ascii="Book Antiqua" w:hAnsi="Book Antiqua"/>
          <w:iCs/>
          <w:spacing w:val="-3"/>
          <w:szCs w:val="24"/>
          <w:lang w:val="es-ES_tradnl"/>
        </w:rPr>
      </w:pPr>
    </w:p>
    <w:p w14:paraId="155E4644" w14:textId="64A1733F" w:rsidR="00E00274" w:rsidRDefault="00E00274" w:rsidP="00E16425">
      <w:pPr>
        <w:ind w:firstLine="720"/>
        <w:jc w:val="both"/>
        <w:rPr>
          <w:rFonts w:ascii="Book Antiqua" w:hAnsi="Book Antiqua"/>
          <w:iCs/>
          <w:spacing w:val="-3"/>
          <w:szCs w:val="24"/>
          <w:lang w:val="es-ES_tradnl"/>
        </w:rPr>
      </w:pPr>
      <w:r w:rsidRPr="00E00274">
        <w:rPr>
          <w:rFonts w:ascii="Book Antiqua" w:hAnsi="Book Antiqua"/>
          <w:iCs/>
          <w:spacing w:val="-3"/>
          <w:szCs w:val="24"/>
          <w:lang w:val="es-ES_tradnl"/>
        </w:rPr>
        <w:t xml:space="preserve">Actualmente, conforme al Reglamento Núm. </w:t>
      </w:r>
      <w:r w:rsidR="00ED3D5A">
        <w:rPr>
          <w:rFonts w:ascii="Book Antiqua" w:hAnsi="Book Antiqua"/>
          <w:iCs/>
          <w:spacing w:val="-3"/>
          <w:szCs w:val="24"/>
          <w:lang w:val="es-ES_tradnl"/>
        </w:rPr>
        <w:t>9416</w:t>
      </w:r>
      <w:r w:rsidRPr="00E00274">
        <w:rPr>
          <w:rFonts w:ascii="Book Antiqua" w:hAnsi="Book Antiqua"/>
          <w:iCs/>
          <w:spacing w:val="-3"/>
          <w:szCs w:val="24"/>
          <w:lang w:val="es-ES_tradnl"/>
        </w:rPr>
        <w:t xml:space="preserve"> de Medidas Correctivas y Acciones Disciplinarias del Departamento de Educación, los supervisores tienen la facultad de aplicar medidas cautelares de forma inmediata cuando estimen que existe un riesgo a la salud, seguridad, propiedad o moral en el entorno escolar. Entre esas medidas se incluye la posibilidad de aislar o trasladar temporeramente al empleado de su área de trabajo, acción que no constituye una sanción disciplinaria per se, sino un mecanismo preventivo. No obstante, este reglamento carece de un límite temporal claro, permitiendo que empleados permanezcan separados del empleo durante extensos periodos sin que medie adjudicación final ni evaluación formal de su caso.</w:t>
      </w:r>
    </w:p>
    <w:p w14:paraId="24BC1B0C" w14:textId="77777777" w:rsidR="00E16425" w:rsidRPr="00E00274" w:rsidRDefault="00E16425" w:rsidP="00E16425">
      <w:pPr>
        <w:ind w:firstLine="720"/>
        <w:jc w:val="both"/>
        <w:rPr>
          <w:rFonts w:ascii="Book Antiqua" w:hAnsi="Book Antiqua"/>
          <w:iCs/>
          <w:spacing w:val="-3"/>
          <w:szCs w:val="24"/>
          <w:lang w:val="es-ES_tradnl"/>
        </w:rPr>
      </w:pPr>
    </w:p>
    <w:p w14:paraId="5CBA5F11" w14:textId="77777777" w:rsidR="00E00274" w:rsidRDefault="00E00274" w:rsidP="00E16425">
      <w:pPr>
        <w:ind w:firstLine="720"/>
        <w:jc w:val="both"/>
        <w:rPr>
          <w:rFonts w:ascii="Book Antiqua" w:hAnsi="Book Antiqua"/>
          <w:iCs/>
          <w:spacing w:val="-3"/>
          <w:szCs w:val="24"/>
          <w:lang w:val="es-ES_tradnl"/>
        </w:rPr>
      </w:pPr>
      <w:r w:rsidRPr="00E00274">
        <w:rPr>
          <w:rFonts w:ascii="Book Antiqua" w:hAnsi="Book Antiqua"/>
          <w:iCs/>
          <w:spacing w:val="-3"/>
          <w:szCs w:val="24"/>
          <w:lang w:val="es-ES_tradnl"/>
        </w:rPr>
        <w:t>Esta situación ha derivado en numerosos casos en los cuales personal docente ha estado apartado de su área de trabajo por periodos que exceden el año e, incluso, hasta cinco años, sin que se resuelvan las querellas o alegaciones en su contra. Tal dilación, además de ser injustificable desde una perspectiva administrativa, constituye una transgresión directa al derecho constitucional al debido proceso de ley, afectando de manera adversa la reputación profesional, estabilidad económica y bienestar emocional de los empleados involucrados.</w:t>
      </w:r>
    </w:p>
    <w:p w14:paraId="72EB3969" w14:textId="77777777" w:rsidR="00E16425" w:rsidRPr="00E00274" w:rsidRDefault="00E16425" w:rsidP="00E16425">
      <w:pPr>
        <w:ind w:firstLine="720"/>
        <w:jc w:val="both"/>
        <w:rPr>
          <w:rFonts w:ascii="Book Antiqua" w:hAnsi="Book Antiqua"/>
          <w:iCs/>
          <w:spacing w:val="-3"/>
          <w:szCs w:val="24"/>
          <w:lang w:val="es-ES_tradnl"/>
        </w:rPr>
      </w:pPr>
    </w:p>
    <w:p w14:paraId="74DDEA23" w14:textId="2479B83A" w:rsidR="00E00274" w:rsidRDefault="00E00274" w:rsidP="00E16425">
      <w:pPr>
        <w:ind w:firstLine="720"/>
        <w:jc w:val="both"/>
        <w:rPr>
          <w:rFonts w:ascii="Book Antiqua" w:hAnsi="Book Antiqua"/>
          <w:iCs/>
          <w:spacing w:val="-3"/>
          <w:szCs w:val="24"/>
          <w:lang w:val="es-ES_tradnl"/>
        </w:rPr>
      </w:pPr>
      <w:r w:rsidRPr="00E00274">
        <w:rPr>
          <w:rFonts w:ascii="Book Antiqua" w:hAnsi="Book Antiqua"/>
          <w:iCs/>
          <w:spacing w:val="-3"/>
          <w:szCs w:val="24"/>
          <w:lang w:val="es-ES_tradnl"/>
        </w:rPr>
        <w:t xml:space="preserve">El Proyecto del Senado 224 propone enmendar la Ley Núm. 85-2018, conocida como la “Ley de Reforma Educativa de Puerto Rico”, y la Ley Núm. 160-2020, conocida como la “Carta de Derechos de los Maestros del Sistema Público de Enseñanza”, para establecer de forma clara y vinculante un término máximo de un (1) año natural durante el cual un empleado podrá permanecer separado de su empleo como parte de una medida cautelar. Asimismo, se reconoce el derecho del maestro o maestra afectado a presentar un recurso de </w:t>
      </w:r>
      <w:r w:rsidR="00ED3D5A">
        <w:rPr>
          <w:rFonts w:ascii="Book Antiqua" w:hAnsi="Book Antiqua"/>
          <w:iCs/>
          <w:spacing w:val="-3"/>
          <w:szCs w:val="24"/>
          <w:lang w:val="es-ES_tradnl"/>
        </w:rPr>
        <w:t>“</w:t>
      </w:r>
      <w:proofErr w:type="spellStart"/>
      <w:r w:rsidR="00ED3D5A" w:rsidRPr="00ED3D5A">
        <w:rPr>
          <w:rFonts w:ascii="Book Antiqua" w:hAnsi="Book Antiqua"/>
          <w:i/>
          <w:spacing w:val="-3"/>
          <w:szCs w:val="24"/>
          <w:lang w:val="es-ES_tradnl"/>
        </w:rPr>
        <w:t>M</w:t>
      </w:r>
      <w:r w:rsidRPr="00ED3D5A">
        <w:rPr>
          <w:rFonts w:ascii="Book Antiqua" w:hAnsi="Book Antiqua"/>
          <w:i/>
          <w:spacing w:val="-3"/>
          <w:szCs w:val="24"/>
          <w:lang w:val="es-ES_tradnl"/>
        </w:rPr>
        <w:t>andamus</w:t>
      </w:r>
      <w:proofErr w:type="spellEnd"/>
      <w:r w:rsidR="00ED3D5A">
        <w:rPr>
          <w:rFonts w:ascii="Book Antiqua" w:hAnsi="Book Antiqua"/>
          <w:i/>
          <w:spacing w:val="-3"/>
          <w:szCs w:val="24"/>
          <w:lang w:val="es-ES_tradnl"/>
        </w:rPr>
        <w:t>”</w:t>
      </w:r>
      <w:r w:rsidRPr="00E00274">
        <w:rPr>
          <w:rFonts w:ascii="Book Antiqua" w:hAnsi="Book Antiqua"/>
          <w:iCs/>
          <w:spacing w:val="-3"/>
          <w:szCs w:val="24"/>
          <w:lang w:val="es-ES_tradnl"/>
        </w:rPr>
        <w:t xml:space="preserve"> ante el Tribunal de Primera Instancia si, transcurrido dicho término, el Departamento no ha tomado una determinación final sobre su caso.</w:t>
      </w:r>
    </w:p>
    <w:p w14:paraId="2325F5DB" w14:textId="77777777" w:rsidR="00E16425" w:rsidRPr="00E00274" w:rsidRDefault="00E16425" w:rsidP="00E16425">
      <w:pPr>
        <w:ind w:firstLine="720"/>
        <w:jc w:val="both"/>
        <w:rPr>
          <w:rFonts w:ascii="Book Antiqua" w:hAnsi="Book Antiqua"/>
          <w:iCs/>
          <w:spacing w:val="-3"/>
          <w:szCs w:val="24"/>
          <w:lang w:val="es-ES_tradnl"/>
        </w:rPr>
      </w:pPr>
    </w:p>
    <w:p w14:paraId="006C2E30" w14:textId="77777777" w:rsidR="00E00274" w:rsidRPr="00E00274" w:rsidRDefault="00E00274" w:rsidP="00E16425">
      <w:pPr>
        <w:ind w:firstLine="720"/>
        <w:jc w:val="both"/>
        <w:rPr>
          <w:rFonts w:ascii="Book Antiqua" w:hAnsi="Book Antiqua"/>
          <w:iCs/>
          <w:spacing w:val="-3"/>
          <w:szCs w:val="24"/>
          <w:lang w:val="es-ES_tradnl"/>
        </w:rPr>
      </w:pPr>
      <w:r w:rsidRPr="00E00274">
        <w:rPr>
          <w:rFonts w:ascii="Book Antiqua" w:hAnsi="Book Antiqua"/>
          <w:iCs/>
          <w:spacing w:val="-3"/>
          <w:szCs w:val="24"/>
          <w:lang w:val="es-ES_tradnl"/>
        </w:rPr>
        <w:t>Con esta medida, la Asamblea Legislativa busca establecer controles razonables y salvaguardas legales para evitar el uso arbitrario de las medidas cautelares, al mismo tiempo que se protege la integridad del sistema educativo y la seguridad de la comunidad escolar. La legislación aspira a promover una cultura administrativa de mayor eficiencia, transparencia y respeto a los derechos fundamentales del magisterio, reconociendo su rol esencial en la formación de futuras generaciones y en la estabilidad del sistema de educación pública del país.</w:t>
      </w:r>
    </w:p>
    <w:p w14:paraId="6EB81C3D" w14:textId="19510792" w:rsidR="007F75BB" w:rsidRDefault="006C5F9B" w:rsidP="008B279A">
      <w:pPr>
        <w:spacing w:line="360" w:lineRule="auto"/>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65199FD4" w14:textId="77777777" w:rsidR="00E16425" w:rsidRDefault="00E16425" w:rsidP="008B279A">
      <w:pPr>
        <w:spacing w:line="360" w:lineRule="auto"/>
        <w:jc w:val="both"/>
        <w:rPr>
          <w:rFonts w:ascii="Book Antiqua" w:hAnsi="Book Antiqua"/>
          <w:iCs/>
          <w:spacing w:val="-3"/>
          <w:szCs w:val="24"/>
          <w:lang w:val="es-ES_tradnl"/>
        </w:rPr>
      </w:pPr>
    </w:p>
    <w:p w14:paraId="16115731" w14:textId="77777777" w:rsidR="00E16425" w:rsidRDefault="00E16425" w:rsidP="008B279A">
      <w:pPr>
        <w:spacing w:line="360" w:lineRule="auto"/>
        <w:jc w:val="both"/>
        <w:rPr>
          <w:rFonts w:ascii="Book Antiqua" w:hAnsi="Book Antiqua"/>
          <w:b/>
          <w:bCs/>
          <w:szCs w:val="24"/>
          <w:lang w:val="es-ES"/>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lastRenderedPageBreak/>
        <w:t xml:space="preserve">ANÁLISIS DE LA MEDIDA </w:t>
      </w:r>
    </w:p>
    <w:p w14:paraId="6570FD26" w14:textId="2052E5EF" w:rsidR="00140F42" w:rsidRPr="00140F42" w:rsidRDefault="00ED3D5A" w:rsidP="00ED3D5A">
      <w:pPr>
        <w:jc w:val="both"/>
        <w:rPr>
          <w:rFonts w:ascii="Book Antiqua" w:hAnsi="Book Antiqua"/>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C84BA8">
        <w:rPr>
          <w:rFonts w:ascii="Book Antiqua" w:hAnsi="Book Antiqua"/>
          <w:szCs w:val="24"/>
          <w:lang w:val="es-ES"/>
        </w:rPr>
        <w:t>224</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solicitó memoriales</w:t>
      </w:r>
      <w:r w:rsidR="00B9437F">
        <w:rPr>
          <w:rFonts w:ascii="Book Antiqua" w:hAnsi="Book Antiqua"/>
          <w:szCs w:val="24"/>
          <w:lang w:val="es-ES"/>
        </w:rPr>
        <w:t xml:space="preserve"> </w:t>
      </w:r>
      <w:r w:rsidR="00C94CE2">
        <w:rPr>
          <w:rFonts w:ascii="Book Antiqua" w:hAnsi="Book Antiqua"/>
          <w:szCs w:val="24"/>
          <w:lang w:val="es-ES"/>
        </w:rPr>
        <w:t>al</w:t>
      </w:r>
      <w:r w:rsidR="00A56440" w:rsidRPr="00140F42">
        <w:rPr>
          <w:rFonts w:ascii="Book Antiqua" w:hAnsi="Book Antiqua"/>
          <w:szCs w:val="24"/>
          <w:lang w:val="es-ES"/>
        </w:rPr>
        <w:t xml:space="preserve"> Departamento de Educación; Departamento de </w:t>
      </w:r>
      <w:r w:rsidR="00BB6571">
        <w:rPr>
          <w:rFonts w:ascii="Book Antiqua" w:hAnsi="Book Antiqua"/>
          <w:szCs w:val="24"/>
          <w:lang w:val="es-ES"/>
        </w:rPr>
        <w:t>Justicia</w:t>
      </w:r>
      <w:r w:rsidR="00B9437F">
        <w:rPr>
          <w:rFonts w:ascii="Book Antiqua" w:hAnsi="Book Antiqua"/>
          <w:szCs w:val="24"/>
          <w:lang w:val="es-ES"/>
        </w:rPr>
        <w:t xml:space="preserve">; </w:t>
      </w:r>
      <w:r w:rsidR="000B53BD">
        <w:rPr>
          <w:rFonts w:ascii="Book Antiqua" w:hAnsi="Book Antiqua"/>
          <w:szCs w:val="24"/>
          <w:lang w:val="es-ES"/>
        </w:rPr>
        <w:t>Universidad de Puerto Rico</w:t>
      </w:r>
      <w:r w:rsidR="00B9437F">
        <w:rPr>
          <w:rFonts w:ascii="Book Antiqua" w:hAnsi="Book Antiqua"/>
          <w:szCs w:val="24"/>
          <w:lang w:val="es-ES"/>
        </w:rPr>
        <w:t xml:space="preserve">; </w:t>
      </w:r>
      <w:r w:rsidR="00BE468C">
        <w:rPr>
          <w:rFonts w:ascii="Book Antiqua" w:hAnsi="Book Antiqua"/>
          <w:szCs w:val="24"/>
          <w:lang w:val="es-ES"/>
        </w:rPr>
        <w:t>Asociación de Maestros</w:t>
      </w:r>
      <w:r w:rsidR="00A56440" w:rsidRPr="00140F42">
        <w:rPr>
          <w:rFonts w:ascii="Book Antiqua" w:hAnsi="Book Antiqua"/>
          <w:szCs w:val="24"/>
          <w:lang w:val="es-ES"/>
        </w:rPr>
        <w:t xml:space="preserve"> y la </w:t>
      </w:r>
      <w:r w:rsidR="00281D1D" w:rsidRPr="00896132">
        <w:rPr>
          <w:rFonts w:ascii="Book Antiqua" w:hAnsi="Book Antiqua"/>
          <w:szCs w:val="24"/>
          <w:lang w:val="es-ES_tradnl"/>
        </w:rPr>
        <w:t>Unión Americana de Libertades Civiles</w:t>
      </w:r>
      <w:r w:rsidR="00A56440" w:rsidRPr="00896132">
        <w:rPr>
          <w:rFonts w:ascii="Book Antiqua" w:hAnsi="Book Antiqua"/>
          <w:szCs w:val="24"/>
          <w:lang w:val="es-ES"/>
        </w:rPr>
        <w:t>.</w:t>
      </w:r>
      <w:r w:rsidR="00140F42" w:rsidRPr="00140F42">
        <w:rPr>
          <w:rFonts w:ascii="Book Antiqua" w:hAnsi="Book Antiqua"/>
          <w:szCs w:val="24"/>
          <w:lang w:val="es-ES"/>
        </w:rPr>
        <w:t xml:space="preserve"> </w:t>
      </w: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10326F61" w14:textId="604529D5" w:rsidR="0002471D" w:rsidRDefault="002A0893" w:rsidP="0002471D">
      <w:pPr>
        <w:jc w:val="both"/>
        <w:rPr>
          <w:rFonts w:ascii="Book Antiqua" w:hAnsi="Book Antiqua"/>
          <w:lang w:val="es-ES_tradnl"/>
        </w:rPr>
      </w:pPr>
      <w:r>
        <w:rPr>
          <w:rFonts w:ascii="Book Antiqua" w:hAnsi="Book Antiqua"/>
          <w:szCs w:val="24"/>
          <w:lang w:val="es-ES"/>
        </w:rPr>
        <w:tab/>
      </w:r>
      <w:r w:rsidR="0002471D" w:rsidRPr="0002471D">
        <w:rPr>
          <w:rFonts w:ascii="Book Antiqua" w:hAnsi="Book Antiqua"/>
          <w:lang w:val="es-ES_tradnl"/>
        </w:rPr>
        <w:t>El Departamento de Educación de Puerto Rico (</w:t>
      </w:r>
      <w:r w:rsidR="00ED3D5A">
        <w:rPr>
          <w:rFonts w:ascii="Book Antiqua" w:hAnsi="Book Antiqua"/>
          <w:lang w:val="es-ES_tradnl"/>
        </w:rPr>
        <w:t xml:space="preserve">en adelante </w:t>
      </w:r>
      <w:r w:rsidR="0002471D" w:rsidRPr="0002471D">
        <w:rPr>
          <w:rFonts w:ascii="Book Antiqua" w:hAnsi="Book Antiqua"/>
          <w:lang w:val="es-ES_tradnl"/>
        </w:rPr>
        <w:t xml:space="preserve">DEPR), mediante su memorial explicativo, expresó su posición </w:t>
      </w:r>
      <w:r w:rsidR="00ED3D5A">
        <w:rPr>
          <w:rFonts w:ascii="Book Antiqua" w:hAnsi="Book Antiqua"/>
          <w:lang w:val="es-ES_tradnl"/>
        </w:rPr>
        <w:t>a favor de la medida</w:t>
      </w:r>
      <w:r w:rsidR="0002471D" w:rsidRPr="0002471D">
        <w:rPr>
          <w:rFonts w:ascii="Book Antiqua" w:hAnsi="Book Antiqua"/>
          <w:lang w:val="es-ES_tradnl"/>
        </w:rPr>
        <w:t>, reconociendo la pertinencia y el valor de esta iniciativa legislativa para salvaguardar el derecho al debido proceso de ley del personal docente. El DEPR agradeció a la Comisión de Educación, Arte y Cultura la oportunidad de colaborar en la evaluación de esta medida, resaltando la importancia de toda legislación que procure el fortalecimiento de los derechos de los educadores sin comprometer el funcionamiento adecuado del sistema educativo.</w:t>
      </w:r>
    </w:p>
    <w:p w14:paraId="70AFD62A" w14:textId="77777777" w:rsidR="0002471D" w:rsidRPr="0002471D" w:rsidRDefault="0002471D" w:rsidP="0002471D">
      <w:pPr>
        <w:jc w:val="both"/>
        <w:rPr>
          <w:rFonts w:ascii="Book Antiqua" w:hAnsi="Book Antiqua"/>
          <w:lang w:val="es-ES_tradnl"/>
        </w:rPr>
      </w:pPr>
    </w:p>
    <w:p w14:paraId="79E790AF" w14:textId="27168562" w:rsidR="0002471D" w:rsidRDefault="0002471D" w:rsidP="00192FFC">
      <w:pPr>
        <w:ind w:firstLine="720"/>
        <w:jc w:val="both"/>
        <w:rPr>
          <w:rFonts w:ascii="Book Antiqua" w:hAnsi="Book Antiqua"/>
          <w:lang w:val="es-ES_tradnl"/>
        </w:rPr>
      </w:pPr>
      <w:r w:rsidRPr="0002471D">
        <w:rPr>
          <w:rFonts w:ascii="Book Antiqua" w:hAnsi="Book Antiqua"/>
          <w:lang w:val="es-ES_tradnl"/>
        </w:rPr>
        <w:t>La medida propone establecer un término temporal máximo de un año natural durante el cual un empleado del sistema público de enseñanza pueda estar separado de su lugar de trabajo como medida cautelar. Esta disposición busca evitar que los docentes permanezcan por periodos prolongados alejados de sus funciones sin que medie una adjudicación final sobre las querellas presentadas en su contra. En este sentido, el Departamento reconoció que el marco reglamentario actual, aunque permite la aplicación de medidas cautelares en casos de riesgo o seguridad institucional, no establece un límite temporal específico, lo que ha dado paso, en algunas instancias, a dilaciones perjudiciales para los derechos del empleado.</w:t>
      </w:r>
    </w:p>
    <w:p w14:paraId="44389B10" w14:textId="77777777" w:rsidR="0002471D" w:rsidRPr="0002471D" w:rsidRDefault="0002471D" w:rsidP="0002471D">
      <w:pPr>
        <w:jc w:val="both"/>
        <w:rPr>
          <w:rFonts w:ascii="Book Antiqua" w:hAnsi="Book Antiqua"/>
          <w:lang w:val="es-ES_tradnl"/>
        </w:rPr>
      </w:pPr>
    </w:p>
    <w:p w14:paraId="43A68F79" w14:textId="77777777" w:rsidR="0002471D" w:rsidRDefault="0002471D" w:rsidP="00192FFC">
      <w:pPr>
        <w:ind w:firstLine="720"/>
        <w:jc w:val="both"/>
        <w:rPr>
          <w:rFonts w:ascii="Book Antiqua" w:hAnsi="Book Antiqua"/>
          <w:lang w:val="es-ES_tradnl"/>
        </w:rPr>
      </w:pPr>
      <w:r w:rsidRPr="0002471D">
        <w:rPr>
          <w:rFonts w:ascii="Book Antiqua" w:hAnsi="Book Antiqua"/>
          <w:lang w:val="es-ES_tradnl"/>
        </w:rPr>
        <w:t>El DEPR acogió con beneplácito el propósito del proyecto, que armoniza con los principios constitucionales que rigen su gestión, incluyendo el derecho a una educación de calidad y el respeto a la dignidad del magisterio. Destacó además que la Ley Núm. 85-2018 establece como principio rector que el estudiante es la razón de ser del sistema educativo, y que el maestro es su recurso principal, por lo que resulta indispensable garantizar condiciones justas y procesos administrativos eficientes y equitativos.</w:t>
      </w:r>
    </w:p>
    <w:p w14:paraId="3490FB54" w14:textId="77777777" w:rsidR="0002471D" w:rsidRPr="0002471D" w:rsidRDefault="0002471D" w:rsidP="0002471D">
      <w:pPr>
        <w:jc w:val="both"/>
        <w:rPr>
          <w:rFonts w:ascii="Book Antiqua" w:hAnsi="Book Antiqua"/>
          <w:lang w:val="es-ES_tradnl"/>
        </w:rPr>
      </w:pPr>
    </w:p>
    <w:p w14:paraId="67DADF35" w14:textId="7561F79C" w:rsidR="0002471D" w:rsidRDefault="0002471D" w:rsidP="00192FFC">
      <w:pPr>
        <w:ind w:firstLine="720"/>
        <w:jc w:val="both"/>
        <w:rPr>
          <w:rFonts w:ascii="Book Antiqua" w:hAnsi="Book Antiqua"/>
          <w:lang w:val="es-ES_tradnl"/>
        </w:rPr>
      </w:pPr>
      <w:r w:rsidRPr="0002471D">
        <w:rPr>
          <w:rFonts w:ascii="Book Antiqua" w:hAnsi="Book Antiqua"/>
          <w:lang w:val="es-ES_tradnl"/>
        </w:rPr>
        <w:t>Asimismo, el D</w:t>
      </w:r>
      <w:r w:rsidR="00ED3D5A">
        <w:rPr>
          <w:rFonts w:ascii="Book Antiqua" w:hAnsi="Book Antiqua"/>
          <w:lang w:val="es-ES_tradnl"/>
        </w:rPr>
        <w:t>EPR</w:t>
      </w:r>
      <w:r w:rsidRPr="0002471D">
        <w:rPr>
          <w:rFonts w:ascii="Book Antiqua" w:hAnsi="Book Antiqua"/>
          <w:lang w:val="es-ES_tradnl"/>
        </w:rPr>
        <w:t xml:space="preserve"> aclaró que el reglamento disciplinario vigente no es el mencionado en la exposición de motivos (Reglamento 7565), sino el Reglamento Núm. 9416. Esta normativa reconoce la facultad de aplicar medidas preventivas, pero no establece aún un término límite, por lo que la propuesta legislativa representa una oportunidad para atender ese vacío reglamentario con una disposición clara de ley.</w:t>
      </w:r>
    </w:p>
    <w:p w14:paraId="5C0DDF50" w14:textId="77777777" w:rsidR="00375856" w:rsidRDefault="00375856" w:rsidP="00192FFC">
      <w:pPr>
        <w:ind w:firstLine="720"/>
        <w:jc w:val="both"/>
        <w:rPr>
          <w:rFonts w:ascii="Book Antiqua" w:hAnsi="Book Antiqua"/>
          <w:lang w:val="es-ES_tradnl"/>
        </w:rPr>
      </w:pPr>
    </w:p>
    <w:p w14:paraId="52B1F4AE" w14:textId="0FB4F1DE" w:rsidR="0002471D" w:rsidRPr="0002471D" w:rsidRDefault="00375856" w:rsidP="00375856">
      <w:pPr>
        <w:ind w:firstLine="720"/>
        <w:jc w:val="both"/>
        <w:rPr>
          <w:rFonts w:ascii="Book Antiqua" w:hAnsi="Book Antiqua"/>
          <w:lang w:val="es-ES_tradnl"/>
        </w:rPr>
      </w:pPr>
      <w:r>
        <w:rPr>
          <w:rFonts w:ascii="Book Antiqua" w:hAnsi="Book Antiqua"/>
          <w:lang w:val="es-ES_tradnl"/>
        </w:rPr>
        <w:t xml:space="preserve">Este sugiere una enmienda técnica en el texto </w:t>
      </w:r>
      <w:proofErr w:type="spellStart"/>
      <w:r>
        <w:rPr>
          <w:rFonts w:ascii="Book Antiqua" w:hAnsi="Book Antiqua"/>
          <w:lang w:val="es-ES_tradnl"/>
        </w:rPr>
        <w:t>decretativo</w:t>
      </w:r>
      <w:proofErr w:type="spellEnd"/>
      <w:r>
        <w:rPr>
          <w:rFonts w:ascii="Book Antiqua" w:hAnsi="Book Antiqua"/>
          <w:lang w:val="es-ES_tradnl"/>
        </w:rPr>
        <w:t xml:space="preserve">, la cual fue acogida por nuestra Comisión e incluida en el Entirillado Electrónico. </w:t>
      </w:r>
      <w:r w:rsidR="0002471D" w:rsidRPr="0002471D">
        <w:rPr>
          <w:rFonts w:ascii="Book Antiqua" w:hAnsi="Book Antiqua"/>
          <w:lang w:val="es-ES_tradnl"/>
        </w:rPr>
        <w:t xml:space="preserve">En conclusión, el DEPR </w:t>
      </w:r>
      <w:r w:rsidR="0002471D" w:rsidRPr="0002471D">
        <w:rPr>
          <w:rFonts w:ascii="Book Antiqua" w:hAnsi="Book Antiqua"/>
          <w:lang w:val="es-ES_tradnl"/>
        </w:rPr>
        <w:lastRenderedPageBreak/>
        <w:t xml:space="preserve">reafirma su disposición a colaborar con la Asamblea Legislativa en la implantación de este proyecto, destacando que el mismo contribuirá a garantizar el equilibrio entre la seguridad institucional y los derechos constitucionales del personal docente. </w:t>
      </w:r>
      <w:r>
        <w:rPr>
          <w:rFonts w:ascii="Book Antiqua" w:hAnsi="Book Antiqua"/>
          <w:lang w:val="es-ES_tradnl"/>
        </w:rPr>
        <w:t xml:space="preserve"> A su vez reitera </w:t>
      </w:r>
      <w:r w:rsidR="0002471D" w:rsidRPr="0002471D">
        <w:rPr>
          <w:rFonts w:ascii="Book Antiqua" w:hAnsi="Book Antiqua"/>
          <w:lang w:val="es-ES_tradnl"/>
        </w:rPr>
        <w:t>su compromiso de trabajar a favor de una educación pública robusta, transparente y centrada en el bienestar tanto del estudiantado como del magisterio.</w:t>
      </w:r>
    </w:p>
    <w:p w14:paraId="4A07B0CC" w14:textId="10049DCB" w:rsidR="007F75BB" w:rsidRPr="00140F42" w:rsidRDefault="007F75BB" w:rsidP="0002471D">
      <w:pPr>
        <w:jc w:val="both"/>
        <w:rPr>
          <w:rFonts w:ascii="Book Antiqua" w:hAnsi="Book Antiqua"/>
          <w:b/>
          <w:bCs/>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5100A601" w:rsidR="00422A92" w:rsidRPr="00140F42" w:rsidRDefault="00CB43BF" w:rsidP="00140F42">
      <w:pPr>
        <w:tabs>
          <w:tab w:val="left" w:pos="-720"/>
        </w:tabs>
        <w:suppressAutoHyphens/>
        <w:spacing w:before="120" w:after="120"/>
        <w:jc w:val="center"/>
        <w:rPr>
          <w:rFonts w:ascii="Book Antiqua" w:hAnsi="Book Antiqua"/>
          <w:b/>
          <w:bCs/>
          <w:szCs w:val="24"/>
          <w:u w:val="single"/>
          <w:lang w:val="es-ES"/>
        </w:rPr>
      </w:pPr>
      <w:r w:rsidRPr="00140F42">
        <w:rPr>
          <w:rFonts w:ascii="Book Antiqua" w:hAnsi="Book Antiqua"/>
          <w:b/>
          <w:bCs/>
          <w:szCs w:val="24"/>
          <w:u w:val="single"/>
          <w:lang w:val="es-ES"/>
        </w:rPr>
        <w:t xml:space="preserve">DEPARTAMENTO DE </w:t>
      </w:r>
      <w:r w:rsidR="00FB5CA8">
        <w:rPr>
          <w:rFonts w:ascii="Book Antiqua" w:hAnsi="Book Antiqua"/>
          <w:b/>
          <w:bCs/>
          <w:szCs w:val="24"/>
          <w:u w:val="single"/>
          <w:lang w:val="es-ES"/>
        </w:rPr>
        <w:t>JUSTICIA</w:t>
      </w:r>
    </w:p>
    <w:p w14:paraId="4AEBF184" w14:textId="77777777" w:rsidR="00FB5CA8" w:rsidRPr="00E1390D" w:rsidRDefault="00AF1F99" w:rsidP="00FB5CA8">
      <w:pPr>
        <w:tabs>
          <w:tab w:val="left" w:pos="-720"/>
        </w:tabs>
        <w:suppressAutoHyphens/>
        <w:spacing w:before="120" w:after="120"/>
        <w:jc w:val="both"/>
        <w:rPr>
          <w:rFonts w:ascii="Book Antiqua" w:hAnsi="Book Antiqua"/>
          <w:lang w:val="es-ES_tradnl"/>
        </w:rPr>
      </w:pPr>
      <w:r w:rsidRPr="00FB5CA8">
        <w:rPr>
          <w:rFonts w:ascii="Book Antiqua" w:hAnsi="Book Antiqua"/>
          <w:szCs w:val="24"/>
          <w:lang w:val="es-ES"/>
        </w:rPr>
        <w:tab/>
      </w:r>
      <w:r w:rsidR="00FB5CA8" w:rsidRPr="00E1390D">
        <w:rPr>
          <w:rFonts w:ascii="Book Antiqua" w:hAnsi="Book Antiqua"/>
          <w:lang w:val="es-ES_tradnl"/>
        </w:rPr>
        <w:t>El Departamento de Justicia de Puerto Rico, en cumplimiento con la solicitud de la Comisión de Educación, Arte y Cultura del Senado, presentó su evaluación del Proyecto del Senado 224, expresando una posición favorable hacia la medida. El análisis jurídico de la agencia concluye que la propuesta legislativa representa un ejercicio válido del poder legislativo, al buscar salvaguardar derechos fundamentales y fortalecer el marco normativo vigente sin contravenir principios constitucionales.</w:t>
      </w:r>
    </w:p>
    <w:p w14:paraId="589D2234" w14:textId="618A7C28" w:rsidR="00FB5CA8" w:rsidRPr="00FB5CA8" w:rsidRDefault="00192FFC" w:rsidP="00FB5CA8">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FB5CA8" w:rsidRPr="00FB5CA8">
        <w:rPr>
          <w:rFonts w:ascii="Book Antiqua" w:hAnsi="Book Antiqua"/>
          <w:szCs w:val="24"/>
          <w:lang w:val="es-ES_tradnl"/>
        </w:rPr>
        <w:t>El Departamento señala que el proyecto busca enmendar la Ley Núm. 85-2018,</w:t>
      </w:r>
      <w:r w:rsidR="00375856">
        <w:rPr>
          <w:rFonts w:ascii="Book Antiqua" w:hAnsi="Book Antiqua"/>
          <w:szCs w:val="24"/>
          <w:lang w:val="es-ES_tradnl"/>
        </w:rPr>
        <w:t xml:space="preserve"> </w:t>
      </w:r>
      <w:r w:rsidR="00375856" w:rsidRPr="00375856">
        <w:rPr>
          <w:rFonts w:ascii="Book Antiqua" w:hAnsi="Book Antiqua"/>
          <w:i/>
          <w:iCs/>
          <w:szCs w:val="24"/>
          <w:lang w:val="es-ES_tradnl"/>
        </w:rPr>
        <w:t>supra</w:t>
      </w:r>
      <w:r w:rsidR="00FB5CA8" w:rsidRPr="00FB5CA8">
        <w:rPr>
          <w:rFonts w:ascii="Book Antiqua" w:hAnsi="Book Antiqua"/>
          <w:szCs w:val="24"/>
          <w:lang w:val="es-ES_tradnl"/>
        </w:rPr>
        <w:t xml:space="preserve">, y la Ley Núm. 160-2020, </w:t>
      </w:r>
      <w:r w:rsidR="00375856" w:rsidRPr="00375856">
        <w:rPr>
          <w:rFonts w:ascii="Book Antiqua" w:hAnsi="Book Antiqua"/>
          <w:i/>
          <w:iCs/>
          <w:szCs w:val="24"/>
          <w:lang w:val="es-ES_tradnl"/>
        </w:rPr>
        <w:t>supra</w:t>
      </w:r>
      <w:r w:rsidR="00FB5CA8" w:rsidRPr="00FB5CA8">
        <w:rPr>
          <w:rFonts w:ascii="Book Antiqua" w:hAnsi="Book Antiqua"/>
          <w:szCs w:val="24"/>
          <w:lang w:val="es-ES_tradnl"/>
        </w:rPr>
        <w:t>, para establecer un límite de un (1) año natural al tiempo durante el cual un maestro o empleado puede permanecer aislado o trasladado de forma temporera del área de trabajo como medida cautelar, sin que medie adjudicación final sobre su caso. Este término busca evitar dilaciones excesivas en los procesos administrativos disciplinarios que puedan constituir una violación al debido proceso de ley.</w:t>
      </w:r>
    </w:p>
    <w:p w14:paraId="1F360926" w14:textId="67742474" w:rsidR="00FB5CA8" w:rsidRPr="00FB5CA8" w:rsidRDefault="00192FFC" w:rsidP="00FB5CA8">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FB5CA8" w:rsidRPr="00FB5CA8">
        <w:rPr>
          <w:rFonts w:ascii="Book Antiqua" w:hAnsi="Book Antiqua"/>
          <w:szCs w:val="24"/>
          <w:lang w:val="es-ES_tradnl"/>
        </w:rPr>
        <w:t>El Departamento de Justicia valida que, tanto en la ley como en la reglamentación vigente del Departamento de Educación, no existe una disposición que establezca un término límite para este tipo de medidas provisionales. Por tanto, las enmiendas propuestas subsanan esa omisión y refuerzan el cumplimiento con las garantías constitucionales. Se reconoce que las medidas cautelares, según el Reglamento actual (Núm. 9416), incluyen acciones como la custodia de documentos, el aislamiento o traslado del empleado, y otras gestiones para garantizar la seguridad e integridad institucional. Estas medidas no se consideran sanciones, ya que el empleado sigue activo y devengando salario.</w:t>
      </w:r>
    </w:p>
    <w:p w14:paraId="7709ABA0" w14:textId="7B622E54" w:rsidR="00FB5CA8" w:rsidRPr="00FB5CA8" w:rsidRDefault="00192FFC" w:rsidP="00FB5CA8">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La agencia</w:t>
      </w:r>
      <w:r w:rsidR="00FB5CA8" w:rsidRPr="00FB5CA8">
        <w:rPr>
          <w:rFonts w:ascii="Book Antiqua" w:hAnsi="Book Antiqua"/>
          <w:szCs w:val="24"/>
          <w:lang w:val="es-ES_tradnl"/>
        </w:rPr>
        <w:t xml:space="preserve"> también realizó recomendaciones específicas de forma técnica. Sugirió enmendar el texto del proyecto para que, en lugar de referirse a “separación del empleo”, utilice el lenguaje más preciso de “aislar o trasladar temporeramente”, conforme a lo que establece tanto el título del proyecto como el Reglamento 9416. Además, aclaró que la Exposición de Motivos menciona incorrectamente el Reglamento Núm. 7565, el cual ya fue derogado y sustituido por el actual.</w:t>
      </w:r>
      <w:r w:rsidR="00375856">
        <w:rPr>
          <w:rFonts w:ascii="Book Antiqua" w:hAnsi="Book Antiqua"/>
          <w:szCs w:val="24"/>
          <w:lang w:val="es-ES_tradnl"/>
        </w:rPr>
        <w:t xml:space="preserve"> Se tomó conocimiento y se enmendó en el Entirillado Electrónico de la medida.</w:t>
      </w:r>
    </w:p>
    <w:p w14:paraId="490A1B80" w14:textId="2230B3DA" w:rsidR="00FB5CA8" w:rsidRPr="00FB5CA8" w:rsidRDefault="000A7D27" w:rsidP="00FB5CA8">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FB5CA8" w:rsidRPr="00FB5CA8">
        <w:rPr>
          <w:rFonts w:ascii="Book Antiqua" w:hAnsi="Book Antiqua"/>
          <w:szCs w:val="24"/>
          <w:lang w:val="es-ES_tradnl"/>
        </w:rPr>
        <w:t xml:space="preserve">Finalmente, aunque reconoce que la materia del proyecto recae principalmente bajo la jurisdicción del Departamento de Educación, el Departamento de Justicia concluye </w:t>
      </w:r>
      <w:r w:rsidR="00FB5CA8" w:rsidRPr="00FB5CA8">
        <w:rPr>
          <w:rFonts w:ascii="Book Antiqua" w:hAnsi="Book Antiqua"/>
          <w:szCs w:val="24"/>
          <w:lang w:val="es-ES_tradnl"/>
        </w:rPr>
        <w:lastRenderedPageBreak/>
        <w:t>que no hay impedimento legal o constitucional para la aprobación de la medida, y que esta contribuye a un sistema administrativo más justo y ordenado. Expresan su disposición de continuar colaborando con la Asamblea Legislativa en beneficio de la protección de los derechos de los empleados públicos y la eficacia del sistema educativo del país.</w:t>
      </w:r>
    </w:p>
    <w:p w14:paraId="7EDFBB45" w14:textId="23CDD970" w:rsidR="00A56440" w:rsidRPr="00A56440" w:rsidRDefault="00A56440" w:rsidP="00FB5CA8">
      <w:pPr>
        <w:tabs>
          <w:tab w:val="left" w:pos="-720"/>
        </w:tabs>
        <w:suppressAutoHyphens/>
        <w:spacing w:before="120" w:after="120"/>
        <w:jc w:val="both"/>
        <w:rPr>
          <w:rFonts w:ascii="Book Antiqua" w:hAnsi="Book Antiqua"/>
          <w:lang w:val="es-ES_tradnl"/>
        </w:rPr>
      </w:pPr>
    </w:p>
    <w:p w14:paraId="48CC8714" w14:textId="324B3A17" w:rsidR="00AF1F99" w:rsidRPr="00A56440" w:rsidRDefault="00E1390D"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UNIVERSIDAD DE PUERTO RICO</w:t>
      </w:r>
    </w:p>
    <w:p w14:paraId="559C21D5" w14:textId="77777777" w:rsidR="001F435C" w:rsidRDefault="001F435C" w:rsidP="000A7D27">
      <w:pPr>
        <w:ind w:firstLine="720"/>
        <w:jc w:val="both"/>
        <w:rPr>
          <w:rFonts w:ascii="Book Antiqua" w:hAnsi="Book Antiqua"/>
          <w:lang w:val="es-ES_tradnl"/>
        </w:rPr>
      </w:pPr>
    </w:p>
    <w:p w14:paraId="22009916" w14:textId="6A298339" w:rsidR="00BC7C3C" w:rsidRPr="00E7400D" w:rsidRDefault="00BC7C3C" w:rsidP="000A7D27">
      <w:pPr>
        <w:ind w:firstLine="720"/>
        <w:jc w:val="both"/>
        <w:rPr>
          <w:rFonts w:ascii="Book Antiqua" w:hAnsi="Book Antiqua"/>
          <w:lang w:val="es-ES_tradnl"/>
        </w:rPr>
      </w:pPr>
      <w:r w:rsidRPr="00BC7C3C">
        <w:rPr>
          <w:rFonts w:ascii="Book Antiqua" w:hAnsi="Book Antiqua"/>
          <w:lang w:val="es-ES_tradnl"/>
        </w:rPr>
        <w:t>La Universidad de Puerto Rico (</w:t>
      </w:r>
      <w:r w:rsidR="00375856">
        <w:rPr>
          <w:rFonts w:ascii="Book Antiqua" w:hAnsi="Book Antiqua"/>
          <w:lang w:val="es-ES_tradnl"/>
        </w:rPr>
        <w:t xml:space="preserve">en adelante </w:t>
      </w:r>
      <w:r w:rsidRPr="00BC7C3C">
        <w:rPr>
          <w:rFonts w:ascii="Book Antiqua" w:hAnsi="Book Antiqua"/>
          <w:lang w:val="es-ES_tradnl"/>
        </w:rPr>
        <w:t>UPR), como principal institución académica del país, expresó su respaldo al Proyecto del Senado 224, reconociendo su valor en la protección de los derechos fundamentales del magisterio y el fortalecimiento de la justicia administrativa dentro del sistema público de enseñanza.</w:t>
      </w:r>
    </w:p>
    <w:p w14:paraId="18DCAF3E" w14:textId="77777777" w:rsidR="00BC7C3C" w:rsidRPr="00BC7C3C" w:rsidRDefault="00BC7C3C" w:rsidP="00BC7C3C">
      <w:pPr>
        <w:jc w:val="both"/>
        <w:rPr>
          <w:rFonts w:ascii="Book Antiqua" w:hAnsi="Book Antiqua"/>
          <w:lang w:val="es-ES_tradnl"/>
        </w:rPr>
      </w:pPr>
    </w:p>
    <w:p w14:paraId="0BFD9512" w14:textId="381D5DB6" w:rsidR="00BC7C3C" w:rsidRPr="00E7400D" w:rsidRDefault="00BC7C3C" w:rsidP="000A7D27">
      <w:pPr>
        <w:ind w:firstLine="720"/>
        <w:jc w:val="both"/>
        <w:rPr>
          <w:rFonts w:ascii="Book Antiqua" w:hAnsi="Book Antiqua"/>
          <w:lang w:val="es-ES_tradnl"/>
        </w:rPr>
      </w:pPr>
      <w:r w:rsidRPr="00BC7C3C">
        <w:rPr>
          <w:rFonts w:ascii="Book Antiqua" w:hAnsi="Book Antiqua"/>
          <w:lang w:val="es-ES_tradnl"/>
        </w:rPr>
        <w:t xml:space="preserve">En su memorial, la UPR validó la necesidad de establecer un límite temporal claro para la duración de las medidas cautelares impuestas a empleados del Departamento de Educación, tales como el aislamiento o traslado temporero del lugar de trabajo. Señaló que mantener a un docente en esa condición sin resolución durante periodos prolongados </w:t>
      </w:r>
      <w:r w:rsidR="000A7D27">
        <w:rPr>
          <w:rFonts w:ascii="Book Antiqua" w:hAnsi="Book Antiqua"/>
          <w:lang w:val="es-ES_tradnl"/>
        </w:rPr>
        <w:t>(</w:t>
      </w:r>
      <w:r w:rsidRPr="00BC7C3C">
        <w:rPr>
          <w:rFonts w:ascii="Book Antiqua" w:hAnsi="Book Antiqua"/>
          <w:lang w:val="es-ES_tradnl"/>
        </w:rPr>
        <w:t>incluso por años</w:t>
      </w:r>
      <w:r w:rsidR="000A7D27">
        <w:rPr>
          <w:rFonts w:ascii="Book Antiqua" w:hAnsi="Book Antiqua"/>
          <w:lang w:val="es-ES_tradnl"/>
        </w:rPr>
        <w:t>)</w:t>
      </w:r>
      <w:r w:rsidRPr="00BC7C3C">
        <w:rPr>
          <w:rFonts w:ascii="Book Antiqua" w:hAnsi="Book Antiqua"/>
          <w:lang w:val="es-ES_tradnl"/>
        </w:rPr>
        <w:t xml:space="preserve"> representa una transgresión al derecho al debido proceso de ley y genera consecuencias adversas tanto en el plano profesional como personal.</w:t>
      </w:r>
    </w:p>
    <w:p w14:paraId="3B448701" w14:textId="77777777" w:rsidR="00BC7C3C" w:rsidRPr="00BC7C3C" w:rsidRDefault="00BC7C3C" w:rsidP="00BC7C3C">
      <w:pPr>
        <w:jc w:val="both"/>
        <w:rPr>
          <w:rFonts w:ascii="Book Antiqua" w:hAnsi="Book Antiqua"/>
          <w:lang w:val="es-ES_tradnl"/>
        </w:rPr>
      </w:pPr>
    </w:p>
    <w:p w14:paraId="1A4C903C" w14:textId="105446CA" w:rsidR="00BC7C3C" w:rsidRPr="00E7400D" w:rsidRDefault="00BC7C3C" w:rsidP="000A7D27">
      <w:pPr>
        <w:ind w:firstLine="720"/>
        <w:jc w:val="both"/>
        <w:rPr>
          <w:rFonts w:ascii="Book Antiqua" w:hAnsi="Book Antiqua"/>
          <w:lang w:val="es-ES_tradnl"/>
        </w:rPr>
      </w:pPr>
      <w:r w:rsidRPr="00BC7C3C">
        <w:rPr>
          <w:rFonts w:ascii="Book Antiqua" w:hAnsi="Book Antiqua"/>
          <w:lang w:val="es-ES_tradnl"/>
        </w:rPr>
        <w:t xml:space="preserve">Desde una perspectiva jurídica y educativa, la universidad destacó que el proyecto no solo atiende una deficiencia normativa, sino que también introduce un mecanismo de fiscalización judicial mediante el recurso de </w:t>
      </w:r>
      <w:r w:rsidR="00375856">
        <w:rPr>
          <w:rFonts w:ascii="Book Antiqua" w:hAnsi="Book Antiqua"/>
          <w:lang w:val="es-ES_tradnl"/>
        </w:rPr>
        <w:t>“</w:t>
      </w:r>
      <w:proofErr w:type="spellStart"/>
      <w:r w:rsidR="00375856">
        <w:rPr>
          <w:rFonts w:ascii="Book Antiqua" w:hAnsi="Book Antiqua"/>
          <w:i/>
          <w:iCs/>
          <w:lang w:val="es-ES_tradnl"/>
        </w:rPr>
        <w:t>M</w:t>
      </w:r>
      <w:r w:rsidRPr="00375856">
        <w:rPr>
          <w:rFonts w:ascii="Book Antiqua" w:hAnsi="Book Antiqua"/>
          <w:i/>
          <w:iCs/>
          <w:lang w:val="es-ES_tradnl"/>
        </w:rPr>
        <w:t>andamus</w:t>
      </w:r>
      <w:proofErr w:type="spellEnd"/>
      <w:r w:rsidR="00375856">
        <w:rPr>
          <w:rFonts w:ascii="Book Antiqua" w:hAnsi="Book Antiqua"/>
          <w:i/>
          <w:iCs/>
          <w:lang w:val="es-ES_tradnl"/>
        </w:rPr>
        <w:t>”</w:t>
      </w:r>
      <w:r w:rsidRPr="00BC7C3C">
        <w:rPr>
          <w:rFonts w:ascii="Book Antiqua" w:hAnsi="Book Antiqua"/>
          <w:lang w:val="es-ES_tradnl"/>
        </w:rPr>
        <w:t>, lo cual permite que el docente pueda activar al tribunal si la agencia no cumple con su deber ministerial. Esta disposición fue considerada por la UPR como un importante disuasivo frente a la inacción administrativa y una garantía adicional de acceso a la justicia.</w:t>
      </w:r>
    </w:p>
    <w:p w14:paraId="382C65B5" w14:textId="77777777" w:rsidR="00BC7C3C" w:rsidRPr="00BC7C3C" w:rsidRDefault="00BC7C3C" w:rsidP="00BC7C3C">
      <w:pPr>
        <w:jc w:val="both"/>
        <w:rPr>
          <w:rFonts w:ascii="Book Antiqua" w:hAnsi="Book Antiqua"/>
          <w:lang w:val="es-ES_tradnl"/>
        </w:rPr>
      </w:pPr>
    </w:p>
    <w:p w14:paraId="47696391" w14:textId="2469675F" w:rsidR="00BC7C3C" w:rsidRPr="00E7400D" w:rsidRDefault="00BC7C3C" w:rsidP="000A7D27">
      <w:pPr>
        <w:ind w:firstLine="720"/>
        <w:jc w:val="both"/>
        <w:rPr>
          <w:rFonts w:ascii="Book Antiqua" w:hAnsi="Book Antiqua"/>
          <w:lang w:val="es-ES_tradnl"/>
        </w:rPr>
      </w:pPr>
      <w:r w:rsidRPr="00BC7C3C">
        <w:rPr>
          <w:rFonts w:ascii="Book Antiqua" w:hAnsi="Book Antiqua"/>
          <w:lang w:val="es-ES_tradnl"/>
        </w:rPr>
        <w:t>Además, la U</w:t>
      </w:r>
      <w:r w:rsidR="00375856">
        <w:rPr>
          <w:rFonts w:ascii="Book Antiqua" w:hAnsi="Book Antiqua"/>
          <w:lang w:val="es-ES_tradnl"/>
        </w:rPr>
        <w:t>PR</w:t>
      </w:r>
      <w:r w:rsidRPr="00BC7C3C">
        <w:rPr>
          <w:rFonts w:ascii="Book Antiqua" w:hAnsi="Book Antiqua"/>
          <w:lang w:val="es-ES_tradnl"/>
        </w:rPr>
        <w:t xml:space="preserve"> señaló que el marco propuesto es coherente con los principios democráticos y constitucionales que deben regir las actuaciones del Estado, en especial en contextos laborales dentro del servicio público. Subrayó que el derecho al trabajo, la dignidad humana y la presunción de inocencia deben permanecer vigentes durante cualquier etapa del proceso investigativo o disciplinario.</w:t>
      </w:r>
      <w:r w:rsidR="00375856">
        <w:rPr>
          <w:rFonts w:ascii="Book Antiqua" w:hAnsi="Book Antiqua"/>
          <w:lang w:val="es-ES_tradnl"/>
        </w:rPr>
        <w:t xml:space="preserve"> </w:t>
      </w:r>
      <w:r w:rsidRPr="00BC7C3C">
        <w:rPr>
          <w:rFonts w:ascii="Book Antiqua" w:hAnsi="Book Antiqua"/>
          <w:lang w:val="es-ES_tradnl"/>
        </w:rPr>
        <w:t>En su análisis, la UPR también exhortó a que las agencias cuenten con los recursos administrativos y legales adecuados para cumplir efectivamente con el término de un (1) año establecido por la medida, de modo que la celeridad no comprometa la rigurosidad y calidad del proceso investigativo.</w:t>
      </w:r>
    </w:p>
    <w:p w14:paraId="31C6AF56" w14:textId="77777777" w:rsidR="00BC7C3C" w:rsidRPr="00BC7C3C" w:rsidRDefault="00BC7C3C" w:rsidP="00BC7C3C">
      <w:pPr>
        <w:jc w:val="both"/>
        <w:rPr>
          <w:rFonts w:ascii="Book Antiqua" w:hAnsi="Book Antiqua"/>
          <w:lang w:val="es-ES_tradnl"/>
        </w:rPr>
      </w:pPr>
    </w:p>
    <w:p w14:paraId="311D879F" w14:textId="77777777" w:rsidR="00BC7C3C" w:rsidRPr="00BC7C3C" w:rsidRDefault="00BC7C3C" w:rsidP="000A7D27">
      <w:pPr>
        <w:ind w:firstLine="720"/>
        <w:jc w:val="both"/>
        <w:rPr>
          <w:rFonts w:ascii="Book Antiqua" w:hAnsi="Book Antiqua"/>
          <w:lang w:val="es-ES_tradnl"/>
        </w:rPr>
      </w:pPr>
      <w:r w:rsidRPr="00BC7C3C">
        <w:rPr>
          <w:rFonts w:ascii="Book Antiqua" w:hAnsi="Book Antiqua"/>
          <w:lang w:val="es-ES_tradnl"/>
        </w:rPr>
        <w:t xml:space="preserve">En conclusión, la Universidad de Puerto Rico manifestó que el Proyecto del Senado 224 representa un avance significativo hacia la equidad laboral, el fortalecimiento institucional y la protección de los derechos fundamentales del personal docente del sistema público. La institución reiteró su apoyo al proyecto y su disposición a continuar </w:t>
      </w:r>
      <w:r w:rsidRPr="00BC7C3C">
        <w:rPr>
          <w:rFonts w:ascii="Book Antiqua" w:hAnsi="Book Antiqua"/>
          <w:lang w:val="es-ES_tradnl"/>
        </w:rPr>
        <w:lastRenderedPageBreak/>
        <w:t>colaborando con la Asamblea Legislativa en la elaboración de políticas públicas que promuevan la justicia, la transparencia y la integridad en la gestión educativa del país.</w:t>
      </w:r>
    </w:p>
    <w:p w14:paraId="3743D24E" w14:textId="77777777" w:rsidR="008B279A" w:rsidRDefault="008B279A" w:rsidP="00A56440">
      <w:pPr>
        <w:jc w:val="both"/>
        <w:rPr>
          <w:rFonts w:ascii="Book Antiqua" w:hAnsi="Book Antiqua"/>
          <w:b/>
          <w:bCs/>
          <w:lang w:val="es-ES_tradnl"/>
        </w:rPr>
      </w:pPr>
    </w:p>
    <w:p w14:paraId="402F98D6" w14:textId="58769CF2" w:rsidR="00004DA7" w:rsidRPr="00A56440" w:rsidRDefault="00004DA7" w:rsidP="00004DA7">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 xml:space="preserve">ASOCIACIÓN DE </w:t>
      </w:r>
      <w:r w:rsidR="006E2E91">
        <w:rPr>
          <w:rFonts w:ascii="Book Antiqua" w:hAnsi="Book Antiqua"/>
          <w:b/>
          <w:bCs/>
          <w:u w:val="single"/>
          <w:lang w:val="es-PR"/>
        </w:rPr>
        <w:t>MAESTROS</w:t>
      </w:r>
    </w:p>
    <w:p w14:paraId="3E04C7ED" w14:textId="77777777" w:rsidR="001F435C" w:rsidRDefault="001F435C" w:rsidP="000A7D27">
      <w:pPr>
        <w:ind w:firstLine="720"/>
        <w:jc w:val="both"/>
        <w:rPr>
          <w:rFonts w:ascii="Book Antiqua" w:hAnsi="Book Antiqua"/>
          <w:lang w:val="es-ES_tradnl"/>
        </w:rPr>
      </w:pPr>
    </w:p>
    <w:p w14:paraId="60B8D598" w14:textId="61CAD972" w:rsidR="00BE398D" w:rsidRDefault="00BE398D" w:rsidP="000A7D27">
      <w:pPr>
        <w:ind w:firstLine="720"/>
        <w:jc w:val="both"/>
        <w:rPr>
          <w:rFonts w:ascii="Book Antiqua" w:hAnsi="Book Antiqua"/>
          <w:lang w:val="es-ES_tradnl"/>
        </w:rPr>
      </w:pPr>
      <w:r w:rsidRPr="00BE398D">
        <w:rPr>
          <w:rFonts w:ascii="Book Antiqua" w:hAnsi="Book Antiqua"/>
          <w:lang w:val="es-ES_tradnl"/>
        </w:rPr>
        <w:t>La Asociación de Maestros de Puerto Rico (</w:t>
      </w:r>
      <w:r w:rsidR="001A7738">
        <w:rPr>
          <w:rFonts w:ascii="Book Antiqua" w:hAnsi="Book Antiqua"/>
          <w:lang w:val="es-ES_tradnl"/>
        </w:rPr>
        <w:t xml:space="preserve">en adelante </w:t>
      </w:r>
      <w:r w:rsidRPr="00BE398D">
        <w:rPr>
          <w:rFonts w:ascii="Book Antiqua" w:hAnsi="Book Antiqua"/>
          <w:lang w:val="es-ES_tradnl"/>
        </w:rPr>
        <w:t>AMPR), expres</w:t>
      </w:r>
      <w:r w:rsidR="001A7738">
        <w:rPr>
          <w:rFonts w:ascii="Book Antiqua" w:hAnsi="Book Antiqua"/>
          <w:lang w:val="es-ES_tradnl"/>
        </w:rPr>
        <w:t>ó</w:t>
      </w:r>
      <w:r w:rsidRPr="00BE398D">
        <w:rPr>
          <w:rFonts w:ascii="Book Antiqua" w:hAnsi="Book Antiqua"/>
          <w:lang w:val="es-ES_tradnl"/>
        </w:rPr>
        <w:t xml:space="preserve"> su posición favorable, aunque con reservas, respecto al Proyecto del Senado 224. La Asociación, con más de un siglo de trayectoria en defensa de los derechos del magisterio y la educación pública, reconoció que la medida representa un paso importante para atender una problemática persistente: la reubicación prolongada de maestros como medida cautelar sin adjudicación final por parte del Departamento de Educación.</w:t>
      </w:r>
    </w:p>
    <w:p w14:paraId="4228179E" w14:textId="77777777" w:rsidR="00D777B2" w:rsidRPr="00BE398D" w:rsidRDefault="00D777B2" w:rsidP="00BE398D">
      <w:pPr>
        <w:jc w:val="both"/>
        <w:rPr>
          <w:rFonts w:ascii="Book Antiqua" w:hAnsi="Book Antiqua"/>
          <w:lang w:val="es-ES_tradnl"/>
        </w:rPr>
      </w:pPr>
    </w:p>
    <w:p w14:paraId="16AD986E" w14:textId="2B5C0F8D" w:rsidR="00BE398D" w:rsidRDefault="00BE398D" w:rsidP="000A7D27">
      <w:pPr>
        <w:ind w:firstLine="720"/>
        <w:jc w:val="both"/>
        <w:rPr>
          <w:rFonts w:ascii="Book Antiqua" w:hAnsi="Book Antiqua"/>
          <w:lang w:val="es-ES_tradnl"/>
        </w:rPr>
      </w:pPr>
      <w:r w:rsidRPr="00BE398D">
        <w:rPr>
          <w:rFonts w:ascii="Book Antiqua" w:hAnsi="Book Antiqua"/>
          <w:lang w:val="es-ES_tradnl"/>
        </w:rPr>
        <w:t xml:space="preserve">La AMPR explicó que esta medida, tal como dispone el Reglamento Núm. </w:t>
      </w:r>
      <w:r w:rsidR="001A7738">
        <w:rPr>
          <w:rFonts w:ascii="Book Antiqua" w:hAnsi="Book Antiqua"/>
          <w:lang w:val="es-ES_tradnl"/>
        </w:rPr>
        <w:t>9416</w:t>
      </w:r>
      <w:r w:rsidRPr="00BE398D">
        <w:rPr>
          <w:rFonts w:ascii="Book Antiqua" w:hAnsi="Book Antiqua"/>
          <w:lang w:val="es-ES_tradnl"/>
        </w:rPr>
        <w:t>, permite al Departamento tomar acción inmediata para salvaguardar la integridad del entorno escolar, y que usualmente implican la reubicación del docente a una oficina regional mientras se mantiene su salario intacto.</w:t>
      </w:r>
      <w:r w:rsidR="001A7738">
        <w:rPr>
          <w:rFonts w:ascii="Book Antiqua" w:hAnsi="Book Antiqua"/>
          <w:lang w:val="es-ES_tradnl"/>
        </w:rPr>
        <w:t xml:space="preserve"> </w:t>
      </w:r>
      <w:r w:rsidRPr="00BE398D">
        <w:rPr>
          <w:rFonts w:ascii="Book Antiqua" w:hAnsi="Book Antiqua"/>
          <w:lang w:val="es-ES_tradnl"/>
        </w:rPr>
        <w:t>No obstante, la Asociación alertó que existen casos en los que los docentes han permanecido por años bajo este tipo de medida</w:t>
      </w:r>
      <w:r w:rsidR="001A7738">
        <w:rPr>
          <w:rFonts w:ascii="Book Antiqua" w:hAnsi="Book Antiqua"/>
          <w:lang w:val="es-ES_tradnl"/>
        </w:rPr>
        <w:t xml:space="preserve"> cautelar,</w:t>
      </w:r>
      <w:r w:rsidRPr="00BE398D">
        <w:rPr>
          <w:rFonts w:ascii="Book Antiqua" w:hAnsi="Book Antiqua"/>
          <w:lang w:val="es-ES_tradnl"/>
        </w:rPr>
        <w:t xml:space="preserve"> sin recibir una resolución o notificación de cierre o continuación del proceso. En ese sentido, valoran que el Proyecto del Senado 224 busca corregir esta deficiencia administrativa y brindar mayor certeza a los empleados afectados, reconociéndoles además el derecho a recurrir al tribunal mediante </w:t>
      </w:r>
      <w:r w:rsidR="001A7738" w:rsidRPr="001A7738">
        <w:rPr>
          <w:rFonts w:ascii="Book Antiqua" w:hAnsi="Book Antiqua"/>
          <w:i/>
          <w:iCs/>
          <w:lang w:val="es-ES_tradnl"/>
        </w:rPr>
        <w:t>“</w:t>
      </w:r>
      <w:proofErr w:type="spellStart"/>
      <w:r w:rsidR="001A7738" w:rsidRPr="001A7738">
        <w:rPr>
          <w:rFonts w:ascii="Book Antiqua" w:hAnsi="Book Antiqua"/>
          <w:i/>
          <w:iCs/>
          <w:lang w:val="es-ES_tradnl"/>
        </w:rPr>
        <w:t>M</w:t>
      </w:r>
      <w:r w:rsidRPr="001A7738">
        <w:rPr>
          <w:rFonts w:ascii="Book Antiqua" w:hAnsi="Book Antiqua"/>
          <w:i/>
          <w:iCs/>
          <w:lang w:val="es-ES_tradnl"/>
        </w:rPr>
        <w:t>andamus</w:t>
      </w:r>
      <w:proofErr w:type="spellEnd"/>
      <w:r w:rsidR="001A7738" w:rsidRPr="001A7738">
        <w:rPr>
          <w:rFonts w:ascii="Book Antiqua" w:hAnsi="Book Antiqua"/>
          <w:i/>
          <w:iCs/>
          <w:lang w:val="es-ES_tradnl"/>
        </w:rPr>
        <w:t>”</w:t>
      </w:r>
      <w:r w:rsidRPr="00BE398D">
        <w:rPr>
          <w:rFonts w:ascii="Book Antiqua" w:hAnsi="Book Antiqua"/>
          <w:lang w:val="es-ES_tradnl"/>
        </w:rPr>
        <w:t xml:space="preserve"> si el término de un año expira sin adjudicación.</w:t>
      </w:r>
    </w:p>
    <w:p w14:paraId="14CC0780" w14:textId="77777777" w:rsidR="00D777B2" w:rsidRPr="00BE398D" w:rsidRDefault="00D777B2" w:rsidP="00BE398D">
      <w:pPr>
        <w:jc w:val="both"/>
        <w:rPr>
          <w:rFonts w:ascii="Book Antiqua" w:hAnsi="Book Antiqua"/>
          <w:lang w:val="es-ES_tradnl"/>
        </w:rPr>
      </w:pPr>
    </w:p>
    <w:p w14:paraId="1CBD62CB" w14:textId="77777777" w:rsidR="00BE398D" w:rsidRDefault="00BE398D" w:rsidP="000A7D27">
      <w:pPr>
        <w:ind w:firstLine="720"/>
        <w:jc w:val="both"/>
        <w:rPr>
          <w:rFonts w:ascii="Book Antiqua" w:hAnsi="Book Antiqua"/>
          <w:lang w:val="es-ES_tradnl"/>
        </w:rPr>
      </w:pPr>
      <w:r w:rsidRPr="00BE398D">
        <w:rPr>
          <w:rFonts w:ascii="Book Antiqua" w:hAnsi="Book Antiqua"/>
          <w:lang w:val="es-ES_tradnl"/>
        </w:rPr>
        <w:t>Pese a este respaldo general, la AMPR también expresó preocupación sobre la capacidad real del Departamento de Educación para cumplir con ese término de un año, señalando que la División Legal enfrenta una alta carga de trabajo y limitaciones de personal. Advirtieron que un término rígido podría propiciar investigaciones superficiales o decisiones apresuradas que afecten injustamente al docente involucrado.</w:t>
      </w:r>
    </w:p>
    <w:p w14:paraId="6340F9AF" w14:textId="77777777" w:rsidR="00D777B2" w:rsidRPr="00BE398D" w:rsidRDefault="00D777B2" w:rsidP="00BE398D">
      <w:pPr>
        <w:jc w:val="both"/>
        <w:rPr>
          <w:rFonts w:ascii="Book Antiqua" w:hAnsi="Book Antiqua"/>
          <w:lang w:val="es-ES_tradnl"/>
        </w:rPr>
      </w:pPr>
    </w:p>
    <w:p w14:paraId="636ACE97" w14:textId="7E79A455" w:rsidR="00BE398D" w:rsidRDefault="00BE398D" w:rsidP="000A7D27">
      <w:pPr>
        <w:ind w:firstLine="720"/>
        <w:jc w:val="both"/>
        <w:rPr>
          <w:rFonts w:ascii="Book Antiqua" w:hAnsi="Book Antiqua"/>
          <w:lang w:val="es-ES_tradnl"/>
        </w:rPr>
      </w:pPr>
      <w:r w:rsidRPr="00BE398D">
        <w:rPr>
          <w:rFonts w:ascii="Book Antiqua" w:hAnsi="Book Antiqua"/>
          <w:lang w:val="es-ES_tradnl"/>
        </w:rPr>
        <w:t>En vista de lo anterior, la Asociación recomendó que, previo a la aprobación del proyecto, se evalúe la viabilidad operativa de imponer este límite de tiempo, de forma que se logre un balance entre proteger al empleado de procesos indefinidos y asegurar una investigación justa, completa y rigurosa.</w:t>
      </w:r>
      <w:r w:rsidR="001A7738">
        <w:rPr>
          <w:rFonts w:ascii="Book Antiqua" w:hAnsi="Book Antiqua"/>
          <w:lang w:val="es-ES_tradnl"/>
        </w:rPr>
        <w:t xml:space="preserve"> L</w:t>
      </w:r>
      <w:r w:rsidRPr="00BE398D">
        <w:rPr>
          <w:rFonts w:ascii="Book Antiqua" w:hAnsi="Book Antiqua"/>
          <w:lang w:val="es-ES_tradnl"/>
        </w:rPr>
        <w:t xml:space="preserve">a Asociación de Maestros </w:t>
      </w:r>
      <w:r w:rsidR="001A7738">
        <w:rPr>
          <w:rFonts w:ascii="Book Antiqua" w:hAnsi="Book Antiqua"/>
          <w:lang w:val="es-ES_tradnl"/>
        </w:rPr>
        <w:t xml:space="preserve">concluyó </w:t>
      </w:r>
      <w:r w:rsidRPr="00BE398D">
        <w:rPr>
          <w:rFonts w:ascii="Book Antiqua" w:hAnsi="Book Antiqua"/>
          <w:lang w:val="es-ES_tradnl"/>
        </w:rPr>
        <w:t>reiter</w:t>
      </w:r>
      <w:r w:rsidR="001A7738">
        <w:rPr>
          <w:rFonts w:ascii="Book Antiqua" w:hAnsi="Book Antiqua"/>
          <w:lang w:val="es-ES_tradnl"/>
        </w:rPr>
        <w:t>ando</w:t>
      </w:r>
      <w:r w:rsidRPr="00BE398D">
        <w:rPr>
          <w:rFonts w:ascii="Book Antiqua" w:hAnsi="Book Antiqua"/>
          <w:lang w:val="es-ES_tradnl"/>
        </w:rPr>
        <w:t xml:space="preserve"> su compromiso con la defensa de los derechos del magisterio y su disposición a continuar colaborando en la búsqueda de soluciones que dignifiquen la profesión docente y fortalezcan el sistema de educación pública del país.</w:t>
      </w:r>
    </w:p>
    <w:p w14:paraId="17C6843A" w14:textId="77777777" w:rsidR="00095FBF" w:rsidRDefault="00095FBF" w:rsidP="00BE398D">
      <w:pPr>
        <w:jc w:val="both"/>
        <w:rPr>
          <w:rFonts w:ascii="Book Antiqua" w:hAnsi="Book Antiqua"/>
          <w:lang w:val="es-ES_tradnl"/>
        </w:rPr>
      </w:pPr>
    </w:p>
    <w:p w14:paraId="5FCA27CF" w14:textId="1BA246BE" w:rsidR="00095FBF" w:rsidRPr="00A56440" w:rsidRDefault="00E246EC" w:rsidP="001A7738">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 xml:space="preserve">UNIÓN </w:t>
      </w:r>
      <w:r w:rsidR="00A64155">
        <w:rPr>
          <w:rFonts w:ascii="Book Antiqua" w:hAnsi="Book Antiqua"/>
          <w:b/>
          <w:bCs/>
          <w:u w:val="single"/>
          <w:lang w:val="es-PR"/>
        </w:rPr>
        <w:t>AMERICANA DE LIBERTADES CIVILES</w:t>
      </w:r>
    </w:p>
    <w:p w14:paraId="3B40CD9C" w14:textId="77777777" w:rsidR="001A7738" w:rsidRDefault="001A7738" w:rsidP="000A7D27">
      <w:pPr>
        <w:ind w:firstLine="720"/>
        <w:jc w:val="both"/>
        <w:rPr>
          <w:rFonts w:ascii="Book Antiqua" w:hAnsi="Book Antiqua"/>
          <w:lang w:val="es-ES_tradnl"/>
        </w:rPr>
      </w:pPr>
    </w:p>
    <w:p w14:paraId="481192F0" w14:textId="2B7409A1" w:rsidR="00557ED2" w:rsidRDefault="00557ED2" w:rsidP="000A7D27">
      <w:pPr>
        <w:ind w:firstLine="720"/>
        <w:jc w:val="both"/>
        <w:rPr>
          <w:rFonts w:ascii="Book Antiqua" w:hAnsi="Book Antiqua"/>
          <w:lang w:val="es-ES_tradnl"/>
        </w:rPr>
      </w:pPr>
      <w:r w:rsidRPr="00557ED2">
        <w:rPr>
          <w:rFonts w:ascii="Book Antiqua" w:hAnsi="Book Antiqua"/>
          <w:lang w:val="es-ES_tradnl"/>
        </w:rPr>
        <w:t>La Unión Americana de Libertades Civiles, Capítulo de Puerto Rico (</w:t>
      </w:r>
      <w:r w:rsidR="001A7738">
        <w:rPr>
          <w:rFonts w:ascii="Book Antiqua" w:hAnsi="Book Antiqua"/>
          <w:lang w:val="es-ES_tradnl"/>
        </w:rPr>
        <w:t xml:space="preserve">En adelante </w:t>
      </w:r>
      <w:r w:rsidRPr="00557ED2">
        <w:rPr>
          <w:rFonts w:ascii="Book Antiqua" w:hAnsi="Book Antiqua"/>
          <w:lang w:val="es-ES_tradnl"/>
        </w:rPr>
        <w:t xml:space="preserve">ACLU-PR), presentó </w:t>
      </w:r>
      <w:r w:rsidR="001A7738">
        <w:rPr>
          <w:rFonts w:ascii="Book Antiqua" w:hAnsi="Book Antiqua"/>
          <w:lang w:val="es-ES_tradnl"/>
        </w:rPr>
        <w:t xml:space="preserve">a nuestra Comisión </w:t>
      </w:r>
      <w:r w:rsidRPr="00557ED2">
        <w:rPr>
          <w:rFonts w:ascii="Book Antiqua" w:hAnsi="Book Antiqua"/>
          <w:lang w:val="es-ES_tradnl"/>
        </w:rPr>
        <w:t xml:space="preserve">su memorial explicativo </w:t>
      </w:r>
      <w:r w:rsidRPr="001A7738">
        <w:rPr>
          <w:rFonts w:ascii="Book Antiqua" w:hAnsi="Book Antiqua"/>
          <w:lang w:val="es-ES_tradnl"/>
        </w:rPr>
        <w:t xml:space="preserve">respaldando </w:t>
      </w:r>
      <w:r w:rsidRPr="001A7738">
        <w:rPr>
          <w:rFonts w:ascii="Book Antiqua" w:hAnsi="Book Antiqua"/>
          <w:lang w:val="es-ES_tradnl"/>
        </w:rPr>
        <w:lastRenderedPageBreak/>
        <w:t>firmemente</w:t>
      </w:r>
      <w:r w:rsidRPr="00557ED2">
        <w:rPr>
          <w:rFonts w:ascii="Book Antiqua" w:hAnsi="Book Antiqua"/>
          <w:lang w:val="es-ES_tradnl"/>
        </w:rPr>
        <w:t xml:space="preserve"> el Proyecto del Senado 224, por considerar que la medida representa un paso esencial en la defensa de los derechos fundamentales de los empleados públicos, particularmente del magisterio.</w:t>
      </w:r>
    </w:p>
    <w:p w14:paraId="18112ADF" w14:textId="77777777" w:rsidR="00557ED2" w:rsidRPr="00557ED2" w:rsidRDefault="00557ED2" w:rsidP="00557ED2">
      <w:pPr>
        <w:jc w:val="both"/>
        <w:rPr>
          <w:rFonts w:ascii="Book Antiqua" w:hAnsi="Book Antiqua"/>
          <w:lang w:val="es-ES_tradnl"/>
        </w:rPr>
      </w:pPr>
    </w:p>
    <w:p w14:paraId="653EE896" w14:textId="77777777" w:rsidR="00557ED2" w:rsidRDefault="00557ED2" w:rsidP="000A7D27">
      <w:pPr>
        <w:ind w:firstLine="720"/>
        <w:jc w:val="both"/>
        <w:rPr>
          <w:rFonts w:ascii="Book Antiqua" w:hAnsi="Book Antiqua"/>
          <w:lang w:val="es-ES_tradnl"/>
        </w:rPr>
      </w:pPr>
      <w:r w:rsidRPr="00557ED2">
        <w:rPr>
          <w:rFonts w:ascii="Book Antiqua" w:hAnsi="Book Antiqua"/>
          <w:lang w:val="es-ES_tradnl"/>
        </w:rPr>
        <w:t>En su exposición, la ACLU-PR enfatizó que el derecho al debido proceso de ley, consagrado en la Constitución de Puerto Rico y en la Constitución de los Estados Unidos, es aplicable a toda persona que ostente un interés propietario en su empleo. Sostuvo que las prácticas del Departamento de Educación que permiten mantener a maestros bajo medidas cautelares por años sin adjudicación final constituyen una clara violación a ese derecho. Por tanto, el establecimiento de un límite de un (1) año para tomar una determinación sobre la validez de dichas medidas resulta no solo razonable, sino necesario.</w:t>
      </w:r>
    </w:p>
    <w:p w14:paraId="3CE9F4E6" w14:textId="77777777" w:rsidR="00557ED2" w:rsidRPr="00557ED2" w:rsidRDefault="00557ED2" w:rsidP="00557ED2">
      <w:pPr>
        <w:jc w:val="both"/>
        <w:rPr>
          <w:rFonts w:ascii="Book Antiqua" w:hAnsi="Book Antiqua"/>
          <w:lang w:val="es-ES_tradnl"/>
        </w:rPr>
      </w:pPr>
    </w:p>
    <w:p w14:paraId="396DB5CF" w14:textId="252A4F72" w:rsidR="00557ED2" w:rsidRDefault="00557ED2" w:rsidP="000A7D27">
      <w:pPr>
        <w:ind w:firstLine="720"/>
        <w:jc w:val="both"/>
        <w:rPr>
          <w:rFonts w:ascii="Book Antiqua" w:hAnsi="Book Antiqua"/>
          <w:lang w:val="es-ES_tradnl"/>
        </w:rPr>
      </w:pPr>
      <w:r w:rsidRPr="00557ED2">
        <w:rPr>
          <w:rFonts w:ascii="Book Antiqua" w:hAnsi="Book Antiqua"/>
          <w:lang w:val="es-ES_tradnl"/>
        </w:rPr>
        <w:t>La organización de derechos civiles reconoció que, si bien las medidas cautelares pueden ser necesarias para proteger la seguridad y el funcionamiento adecuado de los espacios escolares, estas deben estar sujetas a límites claros y mecanismos de supervisión que impidan su uso abusivo o punitivo. La falta de término definido ha perpetuado una situación de incertidumbre laboral, emocional y profesional para los empleados afectados, sin que exista una justificación legítima desde el punto de vista legal o administrativo.</w:t>
      </w:r>
    </w:p>
    <w:p w14:paraId="19945BF6" w14:textId="77777777" w:rsidR="00557ED2" w:rsidRPr="00557ED2" w:rsidRDefault="00557ED2" w:rsidP="00557ED2">
      <w:pPr>
        <w:jc w:val="both"/>
        <w:rPr>
          <w:rFonts w:ascii="Book Antiqua" w:hAnsi="Book Antiqua"/>
          <w:lang w:val="es-ES_tradnl"/>
        </w:rPr>
      </w:pPr>
    </w:p>
    <w:p w14:paraId="40E48E95" w14:textId="0D8685B4" w:rsidR="00557ED2" w:rsidRDefault="00557ED2" w:rsidP="000A7D27">
      <w:pPr>
        <w:ind w:firstLine="720"/>
        <w:jc w:val="both"/>
        <w:rPr>
          <w:rFonts w:ascii="Book Antiqua" w:hAnsi="Book Antiqua"/>
          <w:lang w:val="es-ES_tradnl"/>
        </w:rPr>
      </w:pPr>
      <w:r w:rsidRPr="00557ED2">
        <w:rPr>
          <w:rFonts w:ascii="Book Antiqua" w:hAnsi="Book Antiqua"/>
          <w:lang w:val="es-ES_tradnl"/>
        </w:rPr>
        <w:t xml:space="preserve">Además, la ACLU-PR respaldó la inclusión del mecanismo de </w:t>
      </w:r>
      <w:r w:rsidR="005A021E" w:rsidRPr="005A021E">
        <w:rPr>
          <w:rFonts w:ascii="Book Antiqua" w:hAnsi="Book Antiqua"/>
          <w:i/>
          <w:iCs/>
          <w:lang w:val="es-ES_tradnl"/>
        </w:rPr>
        <w:t>“</w:t>
      </w:r>
      <w:proofErr w:type="spellStart"/>
      <w:r w:rsidR="005A021E" w:rsidRPr="005A021E">
        <w:rPr>
          <w:rFonts w:ascii="Book Antiqua" w:hAnsi="Book Antiqua"/>
          <w:i/>
          <w:iCs/>
          <w:lang w:val="es-ES_tradnl"/>
        </w:rPr>
        <w:t>M</w:t>
      </w:r>
      <w:r w:rsidRPr="005A021E">
        <w:rPr>
          <w:rFonts w:ascii="Book Antiqua" w:hAnsi="Book Antiqua"/>
          <w:i/>
          <w:iCs/>
          <w:lang w:val="es-ES_tradnl"/>
        </w:rPr>
        <w:t>andamus</w:t>
      </w:r>
      <w:proofErr w:type="spellEnd"/>
      <w:r w:rsidR="005A021E" w:rsidRPr="005A021E">
        <w:rPr>
          <w:rFonts w:ascii="Book Antiqua" w:hAnsi="Book Antiqua"/>
          <w:i/>
          <w:iCs/>
          <w:lang w:val="es-ES_tradnl"/>
        </w:rPr>
        <w:t>”</w:t>
      </w:r>
      <w:r w:rsidRPr="00557ED2">
        <w:rPr>
          <w:rFonts w:ascii="Book Antiqua" w:hAnsi="Book Antiqua"/>
          <w:lang w:val="es-ES_tradnl"/>
        </w:rPr>
        <w:t xml:space="preserve"> en el proyecto, permitiendo que un empleado afectado por una medida cautelar prolongada tenga acceso al foro judicial para hacer valer su derecho. Enfatizaron que este tipo de recurso fortalece el principio de rendición de cuentas gubernamental, obligando a las agencias a actuar conforme al debido proceso y a evitar retrasos administrativos injustificados.</w:t>
      </w:r>
    </w:p>
    <w:p w14:paraId="5BEAD41A" w14:textId="77777777" w:rsidR="00557ED2" w:rsidRPr="00557ED2" w:rsidRDefault="00557ED2" w:rsidP="00557ED2">
      <w:pPr>
        <w:jc w:val="both"/>
        <w:rPr>
          <w:rFonts w:ascii="Book Antiqua" w:hAnsi="Book Antiqua"/>
          <w:lang w:val="es-ES_tradnl"/>
        </w:rPr>
      </w:pPr>
    </w:p>
    <w:p w14:paraId="1B3EAF71" w14:textId="77777777" w:rsidR="00557ED2" w:rsidRPr="00557ED2" w:rsidRDefault="00557ED2" w:rsidP="000A7D27">
      <w:pPr>
        <w:ind w:firstLine="720"/>
        <w:jc w:val="both"/>
        <w:rPr>
          <w:rFonts w:ascii="Book Antiqua" w:hAnsi="Book Antiqua"/>
          <w:lang w:val="es-ES_tradnl"/>
        </w:rPr>
      </w:pPr>
      <w:r w:rsidRPr="00557ED2">
        <w:rPr>
          <w:rFonts w:ascii="Book Antiqua" w:hAnsi="Book Antiqua"/>
          <w:lang w:val="es-ES_tradnl"/>
        </w:rPr>
        <w:t>En conclusión, la ACLU de Puerto Rico expresó que el Proyecto del Senado 224 armoniza con los principios constitucionales que rigen un gobierno democrático y protector de los derechos civiles. Reiteró su apoyo incondicional a la medida y su disponibilidad para continuar colaborando con la Asamblea Legislativa en iniciativas que promuevan la justicia, la equidad y el respeto a los derechos humanos en el ámbito del servicio público.</w:t>
      </w:r>
    </w:p>
    <w:p w14:paraId="783C665B" w14:textId="77777777" w:rsidR="00004DA7" w:rsidRDefault="00004DA7"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0F1C8005" w:rsidR="007F30C2" w:rsidRDefault="00286C08" w:rsidP="001F1CD6">
      <w:pPr>
        <w:tabs>
          <w:tab w:val="left" w:pos="-720"/>
        </w:tabs>
        <w:suppressAutoHyphens/>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574409">
        <w:rPr>
          <w:rFonts w:ascii="Book Antiqua" w:hAnsi="Book Antiqua"/>
          <w:szCs w:val="24"/>
          <w:lang w:val="es-PR"/>
        </w:rPr>
        <w:t>224</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16059F8A" w14:textId="77777777" w:rsidR="001F1CD6" w:rsidRDefault="001F1CD6" w:rsidP="001F1CD6">
      <w:pPr>
        <w:tabs>
          <w:tab w:val="left" w:pos="-720"/>
        </w:tabs>
        <w:suppressAutoHyphens/>
        <w:jc w:val="both"/>
        <w:rPr>
          <w:rFonts w:ascii="Book Antiqua" w:hAnsi="Book Antiqua"/>
          <w:szCs w:val="24"/>
          <w:lang w:val="es-PR"/>
        </w:rPr>
      </w:pPr>
    </w:p>
    <w:p w14:paraId="1DBFA409" w14:textId="77777777" w:rsidR="001F1CD6" w:rsidRDefault="001F1CD6" w:rsidP="001F1CD6">
      <w:pPr>
        <w:tabs>
          <w:tab w:val="left" w:pos="-720"/>
        </w:tabs>
        <w:suppressAutoHyphens/>
        <w:jc w:val="both"/>
        <w:rPr>
          <w:rFonts w:ascii="Book Antiqua" w:hAnsi="Book Antiqua"/>
          <w:szCs w:val="24"/>
          <w:lang w:val="es-PR"/>
        </w:rPr>
      </w:pPr>
    </w:p>
    <w:p w14:paraId="07CF09BA" w14:textId="77777777" w:rsidR="005A021E" w:rsidRDefault="005A021E" w:rsidP="001F1CD6">
      <w:pPr>
        <w:tabs>
          <w:tab w:val="left" w:pos="-720"/>
        </w:tabs>
        <w:suppressAutoHyphens/>
        <w:jc w:val="center"/>
        <w:rPr>
          <w:rFonts w:ascii="Book Antiqua" w:hAnsi="Book Antiqua"/>
          <w:b/>
          <w:bCs/>
          <w:szCs w:val="24"/>
          <w:lang w:val="es-PR"/>
        </w:rPr>
      </w:pPr>
    </w:p>
    <w:p w14:paraId="455408F3" w14:textId="77777777" w:rsidR="005A021E" w:rsidRDefault="005A021E" w:rsidP="001F1CD6">
      <w:pPr>
        <w:tabs>
          <w:tab w:val="left" w:pos="-720"/>
        </w:tabs>
        <w:suppressAutoHyphens/>
        <w:jc w:val="center"/>
        <w:rPr>
          <w:rFonts w:ascii="Book Antiqua" w:hAnsi="Book Antiqua"/>
          <w:b/>
          <w:bCs/>
          <w:szCs w:val="24"/>
          <w:lang w:val="es-PR"/>
        </w:rPr>
      </w:pPr>
    </w:p>
    <w:p w14:paraId="4B6F204C" w14:textId="4E9F0372" w:rsidR="001F1CD6" w:rsidRDefault="0028497D" w:rsidP="001F1CD6">
      <w:pPr>
        <w:tabs>
          <w:tab w:val="left" w:pos="-720"/>
        </w:tabs>
        <w:suppressAutoHyphens/>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311BD2AC" w14:textId="77777777" w:rsidR="005A021E" w:rsidRDefault="001F1CD6" w:rsidP="001F1CD6">
      <w:pPr>
        <w:tabs>
          <w:tab w:val="left" w:pos="-720"/>
        </w:tabs>
        <w:suppressAutoHyphens/>
        <w:jc w:val="both"/>
        <w:rPr>
          <w:rFonts w:ascii="Book Antiqua" w:hAnsi="Book Antiqua"/>
          <w:lang w:val="es-ES_tradnl"/>
        </w:rPr>
      </w:pPr>
      <w:r>
        <w:rPr>
          <w:rFonts w:ascii="Book Antiqua" w:hAnsi="Book Antiqua"/>
          <w:lang w:val="es-ES_tradnl"/>
        </w:rPr>
        <w:tab/>
      </w:r>
    </w:p>
    <w:p w14:paraId="6E98A2E4" w14:textId="77777777" w:rsidR="005A021E" w:rsidRPr="005A021E" w:rsidRDefault="005A021E" w:rsidP="005A021E">
      <w:pPr>
        <w:tabs>
          <w:tab w:val="left" w:pos="-720"/>
        </w:tabs>
        <w:suppressAutoHyphens/>
        <w:jc w:val="both"/>
        <w:rPr>
          <w:rFonts w:ascii="Book Antiqua" w:hAnsi="Book Antiqua"/>
          <w:lang w:val="es-PR"/>
        </w:rPr>
      </w:pPr>
      <w:r>
        <w:rPr>
          <w:rFonts w:ascii="Book Antiqua" w:hAnsi="Book Antiqua"/>
          <w:lang w:val="es-ES_tradnl"/>
        </w:rPr>
        <w:tab/>
      </w:r>
      <w:r w:rsidRPr="005A021E">
        <w:rPr>
          <w:rFonts w:ascii="Book Antiqua" w:hAnsi="Book Antiqua"/>
          <w:lang w:val="es-PR"/>
        </w:rPr>
        <w:t>El Proyecto del Senado 224 constituye una medida legislativa necesaria y cónsona con los principios constitucionales que rigen la administración pública y los derechos fundamentales del magisterio. La pieza legislativa atiende una omisión sustancial en el marco normativo vigente, al establecer un límite razonable de un (1) año para que el Departamento de Educación adjudique si una medida cautelar aplicada a un empleado docente se justifica, sin que ello implique una determinación disciplinaria final.</w:t>
      </w:r>
    </w:p>
    <w:p w14:paraId="4C216A68" w14:textId="77777777" w:rsidR="005A021E" w:rsidRPr="005A021E" w:rsidRDefault="005A021E" w:rsidP="005A021E">
      <w:pPr>
        <w:tabs>
          <w:tab w:val="left" w:pos="-720"/>
        </w:tabs>
        <w:suppressAutoHyphens/>
        <w:jc w:val="both"/>
        <w:rPr>
          <w:rFonts w:ascii="Book Antiqua" w:hAnsi="Book Antiqua"/>
          <w:lang w:val="es-PR"/>
        </w:rPr>
      </w:pPr>
    </w:p>
    <w:p w14:paraId="70ADF1EC" w14:textId="36E81107" w:rsidR="005A021E" w:rsidRPr="005A021E" w:rsidRDefault="005A021E" w:rsidP="005A021E">
      <w:pPr>
        <w:tabs>
          <w:tab w:val="left" w:pos="-720"/>
        </w:tabs>
        <w:suppressAutoHyphens/>
        <w:jc w:val="both"/>
        <w:rPr>
          <w:rFonts w:ascii="Book Antiqua" w:hAnsi="Book Antiqua"/>
          <w:lang w:val="es-PR"/>
        </w:rPr>
      </w:pPr>
      <w:r>
        <w:rPr>
          <w:rFonts w:ascii="Book Antiqua" w:hAnsi="Book Antiqua"/>
          <w:lang w:val="es-PR"/>
        </w:rPr>
        <w:tab/>
      </w:r>
      <w:r w:rsidRPr="005A021E">
        <w:rPr>
          <w:rFonts w:ascii="Book Antiqua" w:hAnsi="Book Antiqua"/>
          <w:lang w:val="es-PR"/>
        </w:rPr>
        <w:t xml:space="preserve">La medida reconoce el derecho al debido proceso de ley del personal docente, promueve la transparencia administrativa y establece un mecanismo efectivo para garantizar la rendición de cuentas mediante el recurso judicial de </w:t>
      </w:r>
      <w:r>
        <w:rPr>
          <w:rFonts w:ascii="Book Antiqua" w:hAnsi="Book Antiqua"/>
          <w:lang w:val="es-PR"/>
        </w:rPr>
        <w:t>“</w:t>
      </w:r>
      <w:proofErr w:type="spellStart"/>
      <w:r w:rsidRPr="005A021E">
        <w:rPr>
          <w:rFonts w:ascii="Book Antiqua" w:hAnsi="Book Antiqua"/>
          <w:i/>
          <w:iCs/>
          <w:lang w:val="es-PR"/>
        </w:rPr>
        <w:t>Mandamus</w:t>
      </w:r>
      <w:proofErr w:type="spellEnd"/>
      <w:r>
        <w:rPr>
          <w:rFonts w:ascii="Book Antiqua" w:hAnsi="Book Antiqua"/>
          <w:lang w:val="es-PR"/>
        </w:rPr>
        <w:t>”</w:t>
      </w:r>
      <w:r w:rsidRPr="005A021E">
        <w:rPr>
          <w:rFonts w:ascii="Book Antiqua" w:hAnsi="Book Antiqua"/>
          <w:lang w:val="es-PR"/>
        </w:rPr>
        <w:t>. Asimismo, evita la perpetuación de medidas cautelares indefinidas que afectan la estabilidad profesional, emocional y económica del magisterio.</w:t>
      </w:r>
    </w:p>
    <w:p w14:paraId="1A864192" w14:textId="77777777" w:rsidR="005A021E" w:rsidRDefault="005A021E" w:rsidP="005A021E">
      <w:pPr>
        <w:tabs>
          <w:tab w:val="left" w:pos="-720"/>
        </w:tabs>
        <w:suppressAutoHyphens/>
        <w:jc w:val="both"/>
        <w:rPr>
          <w:rFonts w:ascii="Book Antiqua" w:hAnsi="Book Antiqua"/>
          <w:lang w:val="es-PR"/>
        </w:rPr>
      </w:pPr>
    </w:p>
    <w:p w14:paraId="5C26D68E" w14:textId="3230D418" w:rsidR="005A021E" w:rsidRPr="005A021E" w:rsidRDefault="005A021E" w:rsidP="005A021E">
      <w:pPr>
        <w:tabs>
          <w:tab w:val="left" w:pos="-720"/>
        </w:tabs>
        <w:suppressAutoHyphens/>
        <w:jc w:val="both"/>
        <w:rPr>
          <w:rFonts w:ascii="Book Antiqua" w:hAnsi="Book Antiqua"/>
          <w:lang w:val="es-PR"/>
        </w:rPr>
      </w:pPr>
      <w:r>
        <w:rPr>
          <w:rFonts w:ascii="Book Antiqua" w:hAnsi="Book Antiqua"/>
          <w:lang w:val="es-PR"/>
        </w:rPr>
        <w:tab/>
        <w:t>E</w:t>
      </w:r>
      <w:r w:rsidRPr="005A021E">
        <w:rPr>
          <w:rFonts w:ascii="Book Antiqua" w:hAnsi="Book Antiqua"/>
          <w:lang w:val="es-PR"/>
        </w:rPr>
        <w:t xml:space="preserve">l Departamento de Justicia, el Departamento de Educación, la Universidad de Puerto Rico, la Asociación de Maestros y la Unión Americana de Libertades Civiles, han respaldado el proyecto, reconociendo su validez constitucional y su impacto positivo en la protección de derechos laborales. Si bien </w:t>
      </w:r>
      <w:r>
        <w:rPr>
          <w:rFonts w:ascii="Book Antiqua" w:hAnsi="Book Antiqua"/>
          <w:lang w:val="es-PR"/>
        </w:rPr>
        <w:t>la Asociación de Maestros planteó</w:t>
      </w:r>
      <w:r w:rsidRPr="005A021E">
        <w:rPr>
          <w:rFonts w:ascii="Book Antiqua" w:hAnsi="Book Antiqua"/>
          <w:lang w:val="es-PR"/>
        </w:rPr>
        <w:t xml:space="preserve"> preocupación sobre la capacidad operativa del Departamento para cumplir con el término establecido, esta no constituye impedimento legal</w:t>
      </w:r>
      <w:r>
        <w:rPr>
          <w:rFonts w:ascii="Book Antiqua" w:hAnsi="Book Antiqua"/>
          <w:lang w:val="es-PR"/>
        </w:rPr>
        <w:t>,</w:t>
      </w:r>
      <w:r w:rsidRPr="005A021E">
        <w:rPr>
          <w:rFonts w:ascii="Book Antiqua" w:hAnsi="Book Antiqua"/>
          <w:lang w:val="es-PR"/>
        </w:rPr>
        <w:t xml:space="preserve"> ni fiscal para la aprobación de la medida.</w:t>
      </w:r>
    </w:p>
    <w:p w14:paraId="628E3FB2" w14:textId="77777777" w:rsidR="005A021E" w:rsidRDefault="005A021E" w:rsidP="005A021E">
      <w:pPr>
        <w:tabs>
          <w:tab w:val="left" w:pos="-720"/>
        </w:tabs>
        <w:suppressAutoHyphens/>
        <w:jc w:val="both"/>
        <w:rPr>
          <w:rFonts w:ascii="Book Antiqua" w:hAnsi="Book Antiqua"/>
          <w:lang w:val="es-PR"/>
        </w:rPr>
      </w:pPr>
    </w:p>
    <w:p w14:paraId="76A528B6" w14:textId="7F7535D4" w:rsidR="005A021E" w:rsidRDefault="005A021E" w:rsidP="005A021E">
      <w:pPr>
        <w:tabs>
          <w:tab w:val="left" w:pos="-720"/>
        </w:tabs>
        <w:suppressAutoHyphens/>
        <w:jc w:val="both"/>
        <w:rPr>
          <w:rFonts w:ascii="Book Antiqua" w:hAnsi="Book Antiqua"/>
          <w:szCs w:val="24"/>
          <w:lang w:val="es-PR"/>
        </w:rPr>
      </w:pPr>
      <w:r>
        <w:rPr>
          <w:rFonts w:ascii="Book Antiqua" w:hAnsi="Book Antiqua"/>
          <w:lang w:val="es-PR"/>
        </w:rPr>
        <w:tab/>
      </w:r>
      <w:r w:rsidRPr="00170254">
        <w:rPr>
          <w:rFonts w:ascii="Book Antiqua" w:hAnsi="Book Antiqua"/>
          <w:szCs w:val="24"/>
          <w:lang w:val="es-PR"/>
        </w:rPr>
        <w:t xml:space="preserve">A TENOR CON LO ANTES EXPUESTO, la Comisión de Educación, Arte y Cultura del Senado de Puerto Rico previo al estudio y consideración del </w:t>
      </w:r>
      <w:r w:rsidRPr="00170254">
        <w:rPr>
          <w:rFonts w:ascii="Book Antiqua" w:hAnsi="Book Antiqua"/>
          <w:b/>
          <w:bCs/>
          <w:szCs w:val="24"/>
          <w:lang w:val="es-PR"/>
        </w:rPr>
        <w:t xml:space="preserve">Proyecto del Senado </w:t>
      </w:r>
      <w:r>
        <w:rPr>
          <w:rFonts w:ascii="Book Antiqua" w:hAnsi="Book Antiqua"/>
          <w:b/>
          <w:bCs/>
          <w:szCs w:val="24"/>
          <w:lang w:val="es-PR"/>
        </w:rPr>
        <w:t>224</w:t>
      </w:r>
      <w:r w:rsidRPr="00170254">
        <w:rPr>
          <w:rFonts w:ascii="Book Antiqua" w:hAnsi="Book Antiqua"/>
          <w:szCs w:val="24"/>
          <w:lang w:val="es-PR"/>
        </w:rPr>
        <w:t>, recomienda la aprobación de la medida,</w:t>
      </w:r>
      <w:r>
        <w:rPr>
          <w:rFonts w:ascii="Book Antiqua" w:hAnsi="Book Antiqua"/>
          <w:szCs w:val="24"/>
          <w:lang w:val="es-PR"/>
        </w:rPr>
        <w:t xml:space="preserve"> con las enmiendas contenidas en el Entirillado Electrónico que se acompaña.</w:t>
      </w: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8C866" w14:textId="77777777" w:rsidR="0095514C" w:rsidRDefault="0095514C">
      <w:r>
        <w:separator/>
      </w:r>
    </w:p>
  </w:endnote>
  <w:endnote w:type="continuationSeparator" w:id="0">
    <w:p w14:paraId="65EA4EE4" w14:textId="77777777" w:rsidR="0095514C" w:rsidRDefault="0095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2C44B" w14:textId="77777777" w:rsidR="0095514C" w:rsidRDefault="0095514C">
      <w:r>
        <w:separator/>
      </w:r>
    </w:p>
  </w:footnote>
  <w:footnote w:type="continuationSeparator" w:id="0">
    <w:p w14:paraId="7F4BD7F3" w14:textId="77777777" w:rsidR="0095514C" w:rsidRDefault="00955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6161F0AE"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2E73048"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28304E">
      <w:rPr>
        <w:rStyle w:val="PageNumber"/>
        <w:rFonts w:ascii="Book Antiqua" w:hAnsi="Book Antiqua"/>
        <w:b/>
        <w:bCs/>
        <w:lang w:val="es-PR"/>
      </w:rPr>
      <w:t>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4DA7"/>
    <w:rsid w:val="000216BB"/>
    <w:rsid w:val="00023454"/>
    <w:rsid w:val="0002471D"/>
    <w:rsid w:val="0002603A"/>
    <w:rsid w:val="00034E11"/>
    <w:rsid w:val="0004088C"/>
    <w:rsid w:val="0004421B"/>
    <w:rsid w:val="000518A3"/>
    <w:rsid w:val="000560CB"/>
    <w:rsid w:val="000667AB"/>
    <w:rsid w:val="0007423E"/>
    <w:rsid w:val="00077A24"/>
    <w:rsid w:val="00080E3B"/>
    <w:rsid w:val="00084122"/>
    <w:rsid w:val="0008569E"/>
    <w:rsid w:val="0009448A"/>
    <w:rsid w:val="00095FBF"/>
    <w:rsid w:val="000A06C9"/>
    <w:rsid w:val="000A3EB9"/>
    <w:rsid w:val="000A7D27"/>
    <w:rsid w:val="000B081B"/>
    <w:rsid w:val="000B3575"/>
    <w:rsid w:val="000B53BD"/>
    <w:rsid w:val="000B75FB"/>
    <w:rsid w:val="000C20D3"/>
    <w:rsid w:val="000C415C"/>
    <w:rsid w:val="000C7CB0"/>
    <w:rsid w:val="000D3AA4"/>
    <w:rsid w:val="000E06B7"/>
    <w:rsid w:val="000E5747"/>
    <w:rsid w:val="000E6911"/>
    <w:rsid w:val="000F6729"/>
    <w:rsid w:val="000F7675"/>
    <w:rsid w:val="00104137"/>
    <w:rsid w:val="001119D3"/>
    <w:rsid w:val="00112D46"/>
    <w:rsid w:val="00126D61"/>
    <w:rsid w:val="00137678"/>
    <w:rsid w:val="00140F42"/>
    <w:rsid w:val="00145929"/>
    <w:rsid w:val="00156AA0"/>
    <w:rsid w:val="00162460"/>
    <w:rsid w:val="00163BA1"/>
    <w:rsid w:val="00170254"/>
    <w:rsid w:val="00173F53"/>
    <w:rsid w:val="00191FA4"/>
    <w:rsid w:val="00192FFC"/>
    <w:rsid w:val="00196FA9"/>
    <w:rsid w:val="00197C46"/>
    <w:rsid w:val="001A32E4"/>
    <w:rsid w:val="001A7738"/>
    <w:rsid w:val="001B20CB"/>
    <w:rsid w:val="001C4866"/>
    <w:rsid w:val="001C4B24"/>
    <w:rsid w:val="001C6503"/>
    <w:rsid w:val="001D1DC4"/>
    <w:rsid w:val="001D3A06"/>
    <w:rsid w:val="001D401B"/>
    <w:rsid w:val="001D7277"/>
    <w:rsid w:val="001E364D"/>
    <w:rsid w:val="001E3726"/>
    <w:rsid w:val="001F1CD6"/>
    <w:rsid w:val="001F435C"/>
    <w:rsid w:val="00201DF5"/>
    <w:rsid w:val="00207735"/>
    <w:rsid w:val="0021453D"/>
    <w:rsid w:val="00230152"/>
    <w:rsid w:val="00231017"/>
    <w:rsid w:val="00232427"/>
    <w:rsid w:val="0023567C"/>
    <w:rsid w:val="002370F8"/>
    <w:rsid w:val="00242D7A"/>
    <w:rsid w:val="00243F0D"/>
    <w:rsid w:val="00253FDF"/>
    <w:rsid w:val="0025406F"/>
    <w:rsid w:val="00262BF9"/>
    <w:rsid w:val="00263E28"/>
    <w:rsid w:val="00263F1B"/>
    <w:rsid w:val="00281D1D"/>
    <w:rsid w:val="0028304E"/>
    <w:rsid w:val="00283054"/>
    <w:rsid w:val="0028497D"/>
    <w:rsid w:val="00286C08"/>
    <w:rsid w:val="002A0893"/>
    <w:rsid w:val="002A14BD"/>
    <w:rsid w:val="002A60B4"/>
    <w:rsid w:val="002B05B3"/>
    <w:rsid w:val="002B1E82"/>
    <w:rsid w:val="002B58A3"/>
    <w:rsid w:val="002C3E4A"/>
    <w:rsid w:val="002D0E98"/>
    <w:rsid w:val="002E0ED6"/>
    <w:rsid w:val="002E1104"/>
    <w:rsid w:val="002E437D"/>
    <w:rsid w:val="00303731"/>
    <w:rsid w:val="0031084D"/>
    <w:rsid w:val="00315B3A"/>
    <w:rsid w:val="00332883"/>
    <w:rsid w:val="00340519"/>
    <w:rsid w:val="00341BB6"/>
    <w:rsid w:val="00366311"/>
    <w:rsid w:val="00371871"/>
    <w:rsid w:val="00375856"/>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321E3"/>
    <w:rsid w:val="004568CF"/>
    <w:rsid w:val="004578FF"/>
    <w:rsid w:val="00466547"/>
    <w:rsid w:val="00473E56"/>
    <w:rsid w:val="00477789"/>
    <w:rsid w:val="00484E71"/>
    <w:rsid w:val="0048620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352FA"/>
    <w:rsid w:val="00557ED2"/>
    <w:rsid w:val="00567513"/>
    <w:rsid w:val="00574409"/>
    <w:rsid w:val="00574692"/>
    <w:rsid w:val="00575139"/>
    <w:rsid w:val="00586B5C"/>
    <w:rsid w:val="005A021E"/>
    <w:rsid w:val="005A265A"/>
    <w:rsid w:val="005A27A8"/>
    <w:rsid w:val="005B1459"/>
    <w:rsid w:val="005C03C9"/>
    <w:rsid w:val="005C2E80"/>
    <w:rsid w:val="005C3438"/>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45367"/>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6D6"/>
    <w:rsid w:val="006E27EE"/>
    <w:rsid w:val="006E2E91"/>
    <w:rsid w:val="006E789B"/>
    <w:rsid w:val="006F309A"/>
    <w:rsid w:val="006F4E24"/>
    <w:rsid w:val="0072499D"/>
    <w:rsid w:val="0074063E"/>
    <w:rsid w:val="00751EFA"/>
    <w:rsid w:val="00783405"/>
    <w:rsid w:val="00787B94"/>
    <w:rsid w:val="007972A2"/>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009D5"/>
    <w:rsid w:val="00811335"/>
    <w:rsid w:val="00814F2E"/>
    <w:rsid w:val="00816D27"/>
    <w:rsid w:val="008251B3"/>
    <w:rsid w:val="00826864"/>
    <w:rsid w:val="00827BDF"/>
    <w:rsid w:val="00830F1A"/>
    <w:rsid w:val="008325EC"/>
    <w:rsid w:val="00834C51"/>
    <w:rsid w:val="008444B1"/>
    <w:rsid w:val="008452CC"/>
    <w:rsid w:val="0085534D"/>
    <w:rsid w:val="00877BBD"/>
    <w:rsid w:val="008938FB"/>
    <w:rsid w:val="00896132"/>
    <w:rsid w:val="00896242"/>
    <w:rsid w:val="008A2520"/>
    <w:rsid w:val="008A438F"/>
    <w:rsid w:val="008B0792"/>
    <w:rsid w:val="008B279A"/>
    <w:rsid w:val="008B4C54"/>
    <w:rsid w:val="008D0714"/>
    <w:rsid w:val="008D1849"/>
    <w:rsid w:val="008D3D76"/>
    <w:rsid w:val="008E4DAB"/>
    <w:rsid w:val="008F3049"/>
    <w:rsid w:val="008F4B5E"/>
    <w:rsid w:val="008F540A"/>
    <w:rsid w:val="0091367E"/>
    <w:rsid w:val="0091791A"/>
    <w:rsid w:val="00922EEE"/>
    <w:rsid w:val="009242F0"/>
    <w:rsid w:val="00924C41"/>
    <w:rsid w:val="00931B3C"/>
    <w:rsid w:val="00935B73"/>
    <w:rsid w:val="00936C8E"/>
    <w:rsid w:val="00951D5A"/>
    <w:rsid w:val="00952AEC"/>
    <w:rsid w:val="00953076"/>
    <w:rsid w:val="0095514C"/>
    <w:rsid w:val="0095526D"/>
    <w:rsid w:val="00963AA0"/>
    <w:rsid w:val="00967178"/>
    <w:rsid w:val="00972F33"/>
    <w:rsid w:val="00987449"/>
    <w:rsid w:val="00991236"/>
    <w:rsid w:val="00992673"/>
    <w:rsid w:val="009B5C77"/>
    <w:rsid w:val="009F4930"/>
    <w:rsid w:val="00A03A6E"/>
    <w:rsid w:val="00A11F03"/>
    <w:rsid w:val="00A128EA"/>
    <w:rsid w:val="00A210E0"/>
    <w:rsid w:val="00A26EFF"/>
    <w:rsid w:val="00A340C6"/>
    <w:rsid w:val="00A50F87"/>
    <w:rsid w:val="00A56440"/>
    <w:rsid w:val="00A62F10"/>
    <w:rsid w:val="00A64155"/>
    <w:rsid w:val="00A671E0"/>
    <w:rsid w:val="00A67ED9"/>
    <w:rsid w:val="00A739A7"/>
    <w:rsid w:val="00A753F4"/>
    <w:rsid w:val="00A765BC"/>
    <w:rsid w:val="00A77A85"/>
    <w:rsid w:val="00A77D6F"/>
    <w:rsid w:val="00A82206"/>
    <w:rsid w:val="00A841D5"/>
    <w:rsid w:val="00A847D1"/>
    <w:rsid w:val="00A85389"/>
    <w:rsid w:val="00AA219B"/>
    <w:rsid w:val="00AA7B63"/>
    <w:rsid w:val="00AE404B"/>
    <w:rsid w:val="00AE4B90"/>
    <w:rsid w:val="00AE5CBC"/>
    <w:rsid w:val="00AF1F99"/>
    <w:rsid w:val="00B01F61"/>
    <w:rsid w:val="00B120AF"/>
    <w:rsid w:val="00B12DF3"/>
    <w:rsid w:val="00B14F15"/>
    <w:rsid w:val="00B2217C"/>
    <w:rsid w:val="00B226CE"/>
    <w:rsid w:val="00B31419"/>
    <w:rsid w:val="00B510E1"/>
    <w:rsid w:val="00B5351A"/>
    <w:rsid w:val="00B62DBD"/>
    <w:rsid w:val="00B726DF"/>
    <w:rsid w:val="00B73062"/>
    <w:rsid w:val="00B86A17"/>
    <w:rsid w:val="00B91F6C"/>
    <w:rsid w:val="00B9437F"/>
    <w:rsid w:val="00BB0BA5"/>
    <w:rsid w:val="00BB2EDB"/>
    <w:rsid w:val="00BB301A"/>
    <w:rsid w:val="00BB6571"/>
    <w:rsid w:val="00BB7ABB"/>
    <w:rsid w:val="00BC74F8"/>
    <w:rsid w:val="00BC7C3C"/>
    <w:rsid w:val="00BD331F"/>
    <w:rsid w:val="00BD33A0"/>
    <w:rsid w:val="00BE398D"/>
    <w:rsid w:val="00BE468C"/>
    <w:rsid w:val="00C12094"/>
    <w:rsid w:val="00C23687"/>
    <w:rsid w:val="00C36FF0"/>
    <w:rsid w:val="00C515E3"/>
    <w:rsid w:val="00C52893"/>
    <w:rsid w:val="00C52E71"/>
    <w:rsid w:val="00C60646"/>
    <w:rsid w:val="00C60C5E"/>
    <w:rsid w:val="00C63F6D"/>
    <w:rsid w:val="00C66897"/>
    <w:rsid w:val="00C76FA2"/>
    <w:rsid w:val="00C8079A"/>
    <w:rsid w:val="00C84BA8"/>
    <w:rsid w:val="00C94CE2"/>
    <w:rsid w:val="00CA6E80"/>
    <w:rsid w:val="00CA79C3"/>
    <w:rsid w:val="00CB43BF"/>
    <w:rsid w:val="00CD7FE1"/>
    <w:rsid w:val="00CE2C01"/>
    <w:rsid w:val="00CE3B80"/>
    <w:rsid w:val="00D13F13"/>
    <w:rsid w:val="00D332DE"/>
    <w:rsid w:val="00D43527"/>
    <w:rsid w:val="00D50266"/>
    <w:rsid w:val="00D53F1B"/>
    <w:rsid w:val="00D541C2"/>
    <w:rsid w:val="00D65F72"/>
    <w:rsid w:val="00D67278"/>
    <w:rsid w:val="00D777B2"/>
    <w:rsid w:val="00D777DA"/>
    <w:rsid w:val="00DC065F"/>
    <w:rsid w:val="00DC32CC"/>
    <w:rsid w:val="00DE09A9"/>
    <w:rsid w:val="00DE2902"/>
    <w:rsid w:val="00DE65DE"/>
    <w:rsid w:val="00E00274"/>
    <w:rsid w:val="00E1390D"/>
    <w:rsid w:val="00E16425"/>
    <w:rsid w:val="00E231A4"/>
    <w:rsid w:val="00E246EC"/>
    <w:rsid w:val="00E26E4F"/>
    <w:rsid w:val="00E341F9"/>
    <w:rsid w:val="00E436F2"/>
    <w:rsid w:val="00E43801"/>
    <w:rsid w:val="00E450F4"/>
    <w:rsid w:val="00E466DE"/>
    <w:rsid w:val="00E531E9"/>
    <w:rsid w:val="00E53CC2"/>
    <w:rsid w:val="00E65D3F"/>
    <w:rsid w:val="00E72311"/>
    <w:rsid w:val="00E7350A"/>
    <w:rsid w:val="00E7400D"/>
    <w:rsid w:val="00E87E99"/>
    <w:rsid w:val="00E92F3A"/>
    <w:rsid w:val="00E9477C"/>
    <w:rsid w:val="00EA4F74"/>
    <w:rsid w:val="00EA67A4"/>
    <w:rsid w:val="00EB6EB3"/>
    <w:rsid w:val="00EB7919"/>
    <w:rsid w:val="00ED3D5A"/>
    <w:rsid w:val="00ED552B"/>
    <w:rsid w:val="00EE189D"/>
    <w:rsid w:val="00EF5E84"/>
    <w:rsid w:val="00EF75F1"/>
    <w:rsid w:val="00EF7B8E"/>
    <w:rsid w:val="00F037F9"/>
    <w:rsid w:val="00F1366C"/>
    <w:rsid w:val="00F14C0B"/>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B2E20"/>
    <w:rsid w:val="00FB5CA8"/>
    <w:rsid w:val="00FC21C3"/>
    <w:rsid w:val="00FC575F"/>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16421">
      <w:bodyDiv w:val="1"/>
      <w:marLeft w:val="0"/>
      <w:marRight w:val="0"/>
      <w:marTop w:val="0"/>
      <w:marBottom w:val="0"/>
      <w:divBdr>
        <w:top w:val="none" w:sz="0" w:space="0" w:color="auto"/>
        <w:left w:val="none" w:sz="0" w:space="0" w:color="auto"/>
        <w:bottom w:val="none" w:sz="0" w:space="0" w:color="auto"/>
        <w:right w:val="none" w:sz="0" w:space="0" w:color="auto"/>
      </w:divBdr>
    </w:div>
    <w:div w:id="5112422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67139290">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0981224">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097467">
      <w:bodyDiv w:val="1"/>
      <w:marLeft w:val="0"/>
      <w:marRight w:val="0"/>
      <w:marTop w:val="0"/>
      <w:marBottom w:val="0"/>
      <w:divBdr>
        <w:top w:val="none" w:sz="0" w:space="0" w:color="auto"/>
        <w:left w:val="none" w:sz="0" w:space="0" w:color="auto"/>
        <w:bottom w:val="none" w:sz="0" w:space="0" w:color="auto"/>
        <w:right w:val="none" w:sz="0" w:space="0" w:color="auto"/>
      </w:divBdr>
    </w:div>
    <w:div w:id="461076288">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16434096">
      <w:bodyDiv w:val="1"/>
      <w:marLeft w:val="0"/>
      <w:marRight w:val="0"/>
      <w:marTop w:val="0"/>
      <w:marBottom w:val="0"/>
      <w:divBdr>
        <w:top w:val="none" w:sz="0" w:space="0" w:color="auto"/>
        <w:left w:val="none" w:sz="0" w:space="0" w:color="auto"/>
        <w:bottom w:val="none" w:sz="0" w:space="0" w:color="auto"/>
        <w:right w:val="none" w:sz="0" w:space="0" w:color="auto"/>
      </w:divBdr>
    </w:div>
    <w:div w:id="58368853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441531">
      <w:bodyDiv w:val="1"/>
      <w:marLeft w:val="0"/>
      <w:marRight w:val="0"/>
      <w:marTop w:val="0"/>
      <w:marBottom w:val="0"/>
      <w:divBdr>
        <w:top w:val="none" w:sz="0" w:space="0" w:color="auto"/>
        <w:left w:val="none" w:sz="0" w:space="0" w:color="auto"/>
        <w:bottom w:val="none" w:sz="0" w:space="0" w:color="auto"/>
        <w:right w:val="none" w:sz="0" w:space="0" w:color="auto"/>
      </w:divBdr>
    </w:div>
    <w:div w:id="766926347">
      <w:bodyDiv w:val="1"/>
      <w:marLeft w:val="0"/>
      <w:marRight w:val="0"/>
      <w:marTop w:val="0"/>
      <w:marBottom w:val="0"/>
      <w:divBdr>
        <w:top w:val="none" w:sz="0" w:space="0" w:color="auto"/>
        <w:left w:val="none" w:sz="0" w:space="0" w:color="auto"/>
        <w:bottom w:val="none" w:sz="0" w:space="0" w:color="auto"/>
        <w:right w:val="none" w:sz="0" w:space="0" w:color="auto"/>
      </w:divBdr>
    </w:div>
    <w:div w:id="804200496">
      <w:bodyDiv w:val="1"/>
      <w:marLeft w:val="0"/>
      <w:marRight w:val="0"/>
      <w:marTop w:val="0"/>
      <w:marBottom w:val="0"/>
      <w:divBdr>
        <w:top w:val="none" w:sz="0" w:space="0" w:color="auto"/>
        <w:left w:val="none" w:sz="0" w:space="0" w:color="auto"/>
        <w:bottom w:val="none" w:sz="0" w:space="0" w:color="auto"/>
        <w:right w:val="none" w:sz="0" w:space="0" w:color="auto"/>
      </w:divBdr>
    </w:div>
    <w:div w:id="80524546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19266">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95571551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21726978">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11963167">
      <w:bodyDiv w:val="1"/>
      <w:marLeft w:val="0"/>
      <w:marRight w:val="0"/>
      <w:marTop w:val="0"/>
      <w:marBottom w:val="0"/>
      <w:divBdr>
        <w:top w:val="none" w:sz="0" w:space="0" w:color="auto"/>
        <w:left w:val="none" w:sz="0" w:space="0" w:color="auto"/>
        <w:bottom w:val="none" w:sz="0" w:space="0" w:color="auto"/>
        <w:right w:val="none" w:sz="0" w:space="0" w:color="auto"/>
      </w:divBdr>
    </w:div>
    <w:div w:id="1216044966">
      <w:bodyDiv w:val="1"/>
      <w:marLeft w:val="0"/>
      <w:marRight w:val="0"/>
      <w:marTop w:val="0"/>
      <w:marBottom w:val="0"/>
      <w:divBdr>
        <w:top w:val="none" w:sz="0" w:space="0" w:color="auto"/>
        <w:left w:val="none" w:sz="0" w:space="0" w:color="auto"/>
        <w:bottom w:val="none" w:sz="0" w:space="0" w:color="auto"/>
        <w:right w:val="none" w:sz="0" w:space="0" w:color="auto"/>
      </w:divBdr>
    </w:div>
    <w:div w:id="1285383565">
      <w:bodyDiv w:val="1"/>
      <w:marLeft w:val="0"/>
      <w:marRight w:val="0"/>
      <w:marTop w:val="0"/>
      <w:marBottom w:val="0"/>
      <w:divBdr>
        <w:top w:val="none" w:sz="0" w:space="0" w:color="auto"/>
        <w:left w:val="none" w:sz="0" w:space="0" w:color="auto"/>
        <w:bottom w:val="none" w:sz="0" w:space="0" w:color="auto"/>
        <w:right w:val="none" w:sz="0" w:space="0" w:color="auto"/>
      </w:divBdr>
    </w:div>
    <w:div w:id="1303727325">
      <w:bodyDiv w:val="1"/>
      <w:marLeft w:val="0"/>
      <w:marRight w:val="0"/>
      <w:marTop w:val="0"/>
      <w:marBottom w:val="0"/>
      <w:divBdr>
        <w:top w:val="none" w:sz="0" w:space="0" w:color="auto"/>
        <w:left w:val="none" w:sz="0" w:space="0" w:color="auto"/>
        <w:bottom w:val="none" w:sz="0" w:space="0" w:color="auto"/>
        <w:right w:val="none" w:sz="0" w:space="0" w:color="auto"/>
      </w:divBdr>
    </w:div>
    <w:div w:id="1309482346">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0762099">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50723060">
      <w:bodyDiv w:val="1"/>
      <w:marLeft w:val="0"/>
      <w:marRight w:val="0"/>
      <w:marTop w:val="0"/>
      <w:marBottom w:val="0"/>
      <w:divBdr>
        <w:top w:val="none" w:sz="0" w:space="0" w:color="auto"/>
        <w:left w:val="none" w:sz="0" w:space="0" w:color="auto"/>
        <w:bottom w:val="none" w:sz="0" w:space="0" w:color="auto"/>
        <w:right w:val="none" w:sz="0" w:space="0" w:color="auto"/>
      </w:divBdr>
    </w:div>
    <w:div w:id="1601638887">
      <w:bodyDiv w:val="1"/>
      <w:marLeft w:val="0"/>
      <w:marRight w:val="0"/>
      <w:marTop w:val="0"/>
      <w:marBottom w:val="0"/>
      <w:divBdr>
        <w:top w:val="none" w:sz="0" w:space="0" w:color="auto"/>
        <w:left w:val="none" w:sz="0" w:space="0" w:color="auto"/>
        <w:bottom w:val="none" w:sz="0" w:space="0" w:color="auto"/>
        <w:right w:val="none" w:sz="0" w:space="0" w:color="auto"/>
      </w:divBdr>
    </w:div>
    <w:div w:id="162916705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2930413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2402566">
      <w:bodyDiv w:val="1"/>
      <w:marLeft w:val="0"/>
      <w:marRight w:val="0"/>
      <w:marTop w:val="0"/>
      <w:marBottom w:val="0"/>
      <w:divBdr>
        <w:top w:val="none" w:sz="0" w:space="0" w:color="auto"/>
        <w:left w:val="none" w:sz="0" w:space="0" w:color="auto"/>
        <w:bottom w:val="none" w:sz="0" w:space="0" w:color="auto"/>
        <w:right w:val="none" w:sz="0" w:space="0" w:color="auto"/>
      </w:divBdr>
    </w:div>
    <w:div w:id="1893348475">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389590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52851">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4SQX5P7U7WPY-958212181-816642</_dlc_DocId>
    <_ip_UnifiedCompliancePolicyUIAction xmlns="http://schemas.microsoft.com/sharepoint/v3" xsi:nil="true"/>
    <_dlc_DocIdUrl xmlns="c890fddd-4e87-4e08-8b51-545f2a3f7b06">
      <Url>https://senpr.sharepoint.com/sites/obralegislativa/_layouts/15/DocIdRedir.aspx?ID=4SQX5P7U7WPY-958212181-816642</Url>
      <Description>4SQX5P7U7WPY-958212181-816642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6A295861-D080-4256-98D7-B34A9225BF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5</TotalTime>
  <Pages>8</Pages>
  <Words>2996</Words>
  <Characters>16809</Characters>
  <Application>Microsoft Office Word</Application>
  <DocSecurity>0</DocSecurity>
  <Lines>140</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2025-04-10T14:30:00Z</cp:lastPrinted>
  <dcterms:created xsi:type="dcterms:W3CDTF">2025-06-26T16:15:00Z</dcterms:created>
  <dcterms:modified xsi:type="dcterms:W3CDTF">2025-06-26T16:15:00Z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942ef69d-10cb-48c0-8dc4-86ef11159e6c</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