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AADE2" w14:textId="77777777" w:rsidR="000A5E62" w:rsidRPr="000A5E62" w:rsidRDefault="000A5E62" w:rsidP="000A5E62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4"/>
          <w:szCs w:val="24"/>
          <w:lang w:val="es-PR" w:eastAsia="es-PR"/>
        </w:rPr>
      </w:pPr>
      <w:bookmarkStart w:id="0" w:name="_Hlk138253982"/>
      <w:r w:rsidRPr="000A5E62">
        <w:rPr>
          <w:rFonts w:ascii="Book Antiqua" w:eastAsia="Times New Roman" w:hAnsi="Book Antiqua" w:cs="Times New Roman"/>
          <w:b/>
          <w:bCs/>
          <w:sz w:val="24"/>
          <w:szCs w:val="24"/>
          <w:lang w:val="es-PR" w:eastAsia="es-PR"/>
        </w:rPr>
        <w:t>(TEXTO DE APROBACIÓN FINAL POR LA CÁMARA)</w:t>
      </w:r>
      <w:r w:rsidRPr="000A5E62">
        <w:rPr>
          <w:rFonts w:ascii="Times New Roman" w:eastAsia="Times New Roman" w:hAnsi="Times New Roman" w:cs="Times New Roman"/>
          <w:sz w:val="24"/>
          <w:szCs w:val="24"/>
          <w:lang w:val="es-ES" w:eastAsia="es-PR"/>
        </w:rPr>
        <w:fldChar w:fldCharType="begin"/>
      </w:r>
      <w:r w:rsidRPr="000A5E62">
        <w:rPr>
          <w:rFonts w:ascii="Book Antiqua" w:eastAsia="Times New Roman" w:hAnsi="Book Antiqua" w:cs="Times New Roman"/>
          <w:b/>
          <w:bCs/>
          <w:sz w:val="24"/>
          <w:szCs w:val="24"/>
          <w:lang w:val="es-PR" w:eastAsia="es-PR"/>
        </w:rPr>
        <w:instrText xml:space="preserve">PRIVATE </w:instrText>
      </w:r>
      <w:r w:rsidRPr="000A5E62">
        <w:rPr>
          <w:rFonts w:ascii="Times New Roman" w:eastAsia="Times New Roman" w:hAnsi="Times New Roman" w:cs="Times New Roman"/>
          <w:sz w:val="24"/>
          <w:szCs w:val="24"/>
          <w:lang w:val="es-ES" w:eastAsia="es-PR"/>
        </w:rPr>
        <w:fldChar w:fldCharType="end"/>
      </w:r>
    </w:p>
    <w:p w14:paraId="086D620A" w14:textId="77777777" w:rsidR="000A5E62" w:rsidRPr="000A5E62" w:rsidRDefault="000A5E62" w:rsidP="000A5E62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8"/>
          <w:szCs w:val="28"/>
          <w:lang w:val="es-PR" w:eastAsia="es-PR"/>
        </w:rPr>
      </w:pPr>
      <w:r w:rsidRPr="000A5E62">
        <w:rPr>
          <w:rFonts w:ascii="Book Antiqua" w:eastAsia="Times New Roman" w:hAnsi="Book Antiqua" w:cs="Times New Roman"/>
          <w:b/>
          <w:bCs/>
          <w:sz w:val="24"/>
          <w:szCs w:val="24"/>
          <w:lang w:val="es-PR" w:eastAsia="es-PR"/>
        </w:rPr>
        <w:t>(3 DE FEBRERO DE 2025)</w:t>
      </w:r>
    </w:p>
    <w:p w14:paraId="6756DE8E" w14:textId="77777777" w:rsidR="000A5E62" w:rsidRPr="000A5E62" w:rsidRDefault="000A5E62" w:rsidP="000A5E62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sz w:val="28"/>
          <w:szCs w:val="28"/>
          <w:lang w:val="es-ES_tradnl" w:eastAsia="es-PR"/>
        </w:rPr>
      </w:pPr>
      <w:r w:rsidRPr="000A5E62">
        <w:rPr>
          <w:rFonts w:ascii="Times New Roman" w:eastAsia="Times New Roman" w:hAnsi="Times New Roman" w:cs="Times New Roman"/>
          <w:noProof/>
          <w:sz w:val="24"/>
          <w:szCs w:val="24"/>
          <w:lang w:val="es-ES" w:eastAsia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AA4E2BB" wp14:editId="729AD72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1323104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5EA56D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71AA1FAD" w14:textId="5D6F99D8" w:rsidR="001E06C6" w:rsidRPr="008F3D2A" w:rsidRDefault="00080447" w:rsidP="001610A4">
      <w:pPr>
        <w:spacing w:after="0" w:line="240" w:lineRule="auto"/>
        <w:jc w:val="center"/>
        <w:rPr>
          <w:rFonts w:ascii="Book Antiqua" w:eastAsia="MS Mincho" w:hAnsi="Book Antiqua"/>
          <w:sz w:val="28"/>
          <w:szCs w:val="28"/>
          <w:lang w:val="es-ES_tradnl"/>
        </w:rPr>
      </w:pPr>
      <w:r w:rsidRPr="008F3D2A">
        <w:rPr>
          <w:rFonts w:ascii="Book Antiqua" w:eastAsia="MS Mincho" w:hAnsi="Book Antiqua" w:cs="Arial"/>
          <w:sz w:val="28"/>
          <w:szCs w:val="28"/>
          <w:lang w:val="es-ES_tradnl"/>
        </w:rPr>
        <w:t>GOBIERNO</w:t>
      </w:r>
      <w:r w:rsidRPr="008F3D2A">
        <w:rPr>
          <w:rFonts w:ascii="Book Antiqua" w:eastAsia="MS Mincho" w:hAnsi="Book Antiqua" w:cs="Arial"/>
          <w:b/>
          <w:bCs/>
          <w:sz w:val="28"/>
          <w:szCs w:val="28"/>
          <w:lang w:val="es-ES_tradnl"/>
        </w:rPr>
        <w:t xml:space="preserve"> </w:t>
      </w:r>
      <w:r w:rsidR="001E06C6" w:rsidRPr="008F3D2A">
        <w:rPr>
          <w:rFonts w:ascii="Book Antiqua" w:eastAsia="MS Mincho" w:hAnsi="Book Antiqua"/>
          <w:sz w:val="28"/>
          <w:szCs w:val="28"/>
          <w:lang w:val="es-ES_tradnl"/>
        </w:rPr>
        <w:t>DE PUERTO RICO</w:t>
      </w:r>
    </w:p>
    <w:p w14:paraId="268E26B0" w14:textId="664216C5" w:rsidR="001E06C6" w:rsidRPr="001E06C6" w:rsidRDefault="001E06C6" w:rsidP="001E06C6">
      <w:pPr>
        <w:spacing w:after="0" w:line="240" w:lineRule="auto"/>
        <w:rPr>
          <w:sz w:val="24"/>
          <w:szCs w:val="24"/>
          <w:lang w:val="es-PR"/>
        </w:rPr>
      </w:pPr>
    </w:p>
    <w:p w14:paraId="6CA48719" w14:textId="4E7B59F6" w:rsidR="00E057F4" w:rsidRPr="0086134A" w:rsidRDefault="00147F54" w:rsidP="00E057F4">
      <w:pPr>
        <w:tabs>
          <w:tab w:val="left" w:pos="648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20ma.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Asamblea                                                                                               </w:t>
      </w:r>
      <w:r>
        <w:rPr>
          <w:rFonts w:ascii="Book Antiqua" w:eastAsia="Times New Roman" w:hAnsi="Book Antiqua" w:cs="Times New Roman"/>
          <w:sz w:val="24"/>
          <w:szCs w:val="20"/>
          <w:lang w:val="es-PR"/>
        </w:rPr>
        <w:t>1ra.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vertAlign w:val="superscript"/>
          <w:lang w:val="es-PR"/>
        </w:rPr>
        <w:t xml:space="preserve"> 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Sesión</w:t>
      </w:r>
    </w:p>
    <w:p w14:paraId="7EDFC350" w14:textId="778534C3" w:rsidR="00E057F4" w:rsidRPr="0086134A" w:rsidRDefault="00E057F4" w:rsidP="00E057F4">
      <w:pPr>
        <w:tabs>
          <w:tab w:val="left" w:pos="648"/>
          <w:tab w:val="left" w:pos="7290"/>
        </w:tabs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Legislativa                                       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ab/>
        <w:t xml:space="preserve">        </w:t>
      </w:r>
      <w:r w:rsidR="00147F54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 </w:t>
      </w: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>Ordinaria</w:t>
      </w:r>
    </w:p>
    <w:p w14:paraId="6954D05E" w14:textId="77777777" w:rsidR="00E057F4" w:rsidRPr="0086134A" w:rsidRDefault="00E057F4" w:rsidP="00E057F4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es-PR"/>
        </w:rPr>
      </w:pPr>
    </w:p>
    <w:p w14:paraId="75CA8D2C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36"/>
          <w:szCs w:val="20"/>
          <w:lang w:val="es-PR"/>
        </w:rPr>
        <w:t>CÁMARA DE REPRESENTANTES</w:t>
      </w:r>
    </w:p>
    <w:p w14:paraId="7696C7D1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117CA06E" w14:textId="52ABC8CB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R. de la C.</w:t>
      </w:r>
      <w:r w:rsidR="000123D0">
        <w:rPr>
          <w:rFonts w:ascii="Book Antiqua" w:eastAsia="Times New Roman" w:hAnsi="Book Antiqua" w:cs="Times New Roman"/>
          <w:b/>
          <w:sz w:val="52"/>
          <w:szCs w:val="20"/>
          <w:lang w:val="es-PR"/>
        </w:rPr>
        <w:t xml:space="preserve"> </w:t>
      </w:r>
      <w:r w:rsidR="00A961E8">
        <w:rPr>
          <w:rFonts w:ascii="Book Antiqua" w:eastAsia="Times New Roman" w:hAnsi="Book Antiqua" w:cs="Times New Roman"/>
          <w:b/>
          <w:sz w:val="52"/>
          <w:szCs w:val="20"/>
          <w:lang w:val="es-PR"/>
        </w:rPr>
        <w:t>45</w:t>
      </w:r>
    </w:p>
    <w:p w14:paraId="7523470B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PR"/>
        </w:rPr>
      </w:pPr>
    </w:p>
    <w:p w14:paraId="65695BD8" w14:textId="74C4397E" w:rsidR="00E057F4" w:rsidRPr="0086134A" w:rsidRDefault="00C34940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>
        <w:rPr>
          <w:rFonts w:ascii="Book Antiqua" w:eastAsia="Times New Roman" w:hAnsi="Book Antiqua" w:cs="Times New Roman"/>
          <w:sz w:val="24"/>
          <w:szCs w:val="20"/>
          <w:lang w:val="es-PR"/>
        </w:rPr>
        <w:t>1</w:t>
      </w:r>
      <w:r w:rsidR="007E00D9">
        <w:rPr>
          <w:rFonts w:ascii="Book Antiqua" w:eastAsia="Times New Roman" w:hAnsi="Book Antiqua" w:cs="Times New Roman"/>
          <w:sz w:val="24"/>
          <w:szCs w:val="20"/>
          <w:lang w:val="es-PR"/>
        </w:rPr>
        <w:t>3</w:t>
      </w:r>
      <w:r w:rsidR="00E057F4"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ENERO DE 202</w:t>
      </w:r>
      <w:r w:rsidR="00605E12">
        <w:rPr>
          <w:rFonts w:ascii="Book Antiqua" w:eastAsia="Times New Roman" w:hAnsi="Book Antiqua" w:cs="Times New Roman"/>
          <w:sz w:val="24"/>
          <w:szCs w:val="20"/>
          <w:lang w:val="es-PR"/>
        </w:rPr>
        <w:t>5</w:t>
      </w:r>
    </w:p>
    <w:p w14:paraId="15F54836" w14:textId="77777777" w:rsidR="00E057F4" w:rsidRPr="0086134A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7A0B9CA5" w14:textId="0FD93258" w:rsidR="003D2728" w:rsidRPr="001E06C6" w:rsidRDefault="003D2728" w:rsidP="009743BA">
      <w:pPr>
        <w:pStyle w:val="NoSpacing"/>
        <w:ind w:left="720" w:hanging="720"/>
        <w:jc w:val="center"/>
        <w:rPr>
          <w:rFonts w:ascii="Book Antiqua" w:hAnsi="Book Antiqua"/>
          <w:i/>
          <w:sz w:val="24"/>
          <w:szCs w:val="24"/>
        </w:rPr>
      </w:pPr>
      <w:r w:rsidRPr="001E06C6">
        <w:rPr>
          <w:rFonts w:ascii="Book Antiqua" w:hAnsi="Book Antiqua"/>
          <w:sz w:val="24"/>
        </w:rPr>
        <w:t>Presentada por la representante</w:t>
      </w:r>
      <w:r w:rsidRPr="001E06C6">
        <w:rPr>
          <w:rFonts w:ascii="Book Antiqua" w:hAnsi="Book Antiqua"/>
          <w:i/>
          <w:sz w:val="24"/>
        </w:rPr>
        <w:t xml:space="preserve"> </w:t>
      </w:r>
      <w:r w:rsidR="00C34940">
        <w:rPr>
          <w:rFonts w:ascii="Book Antiqua" w:hAnsi="Book Antiqua"/>
          <w:i/>
          <w:sz w:val="24"/>
          <w:szCs w:val="24"/>
        </w:rPr>
        <w:t>Martínez Vázquez</w:t>
      </w:r>
    </w:p>
    <w:p w14:paraId="7E3BC9AC" w14:textId="77777777" w:rsidR="003D2728" w:rsidRDefault="003D2728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0631477F" w14:textId="17A4D391" w:rsidR="00E057F4" w:rsidRPr="00D16DB4" w:rsidRDefault="00D16DB4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0"/>
          <w:lang w:val="es-PR"/>
        </w:rPr>
      </w:pPr>
      <w:r w:rsidRPr="00D16DB4">
        <w:rPr>
          <w:rFonts w:ascii="Book Antiqua" w:hAnsi="Book Antiqua"/>
          <w:sz w:val="24"/>
          <w:lang w:val="es-ES_tradnl"/>
        </w:rPr>
        <w:t>Referida a la Comisión de</w:t>
      </w:r>
      <w:r w:rsidR="009743BA">
        <w:rPr>
          <w:rFonts w:ascii="Book Antiqua" w:hAnsi="Book Antiqua"/>
          <w:sz w:val="24"/>
          <w:lang w:val="es-ES_tradnl"/>
        </w:rPr>
        <w:t xml:space="preserve"> </w:t>
      </w:r>
      <w:r w:rsidR="00147F54">
        <w:rPr>
          <w:rFonts w:ascii="Book Antiqua" w:hAnsi="Book Antiqua"/>
          <w:sz w:val="24"/>
          <w:lang w:val="es-ES_tradnl"/>
        </w:rPr>
        <w:t>Asuntos Internos</w:t>
      </w:r>
    </w:p>
    <w:p w14:paraId="670994BF" w14:textId="77777777" w:rsidR="003D2728" w:rsidRPr="0086134A" w:rsidRDefault="003D2728" w:rsidP="003D2728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2B9089E9" w14:textId="77777777" w:rsidR="00E057F4" w:rsidRPr="00D16DB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18"/>
          <w:lang w:val="es-PR"/>
        </w:rPr>
      </w:pPr>
      <w:r w:rsidRPr="00D16DB4">
        <w:rPr>
          <w:rFonts w:ascii="Book Antiqua" w:eastAsia="Times New Roman" w:hAnsi="Book Antiqua" w:cs="Times New Roman"/>
          <w:b/>
          <w:sz w:val="28"/>
          <w:szCs w:val="18"/>
          <w:lang w:val="es-PR"/>
        </w:rPr>
        <w:t xml:space="preserve">RESOLUCIÓN </w:t>
      </w:r>
    </w:p>
    <w:p w14:paraId="63078104" w14:textId="77777777" w:rsidR="00E057F4" w:rsidRPr="0086134A" w:rsidRDefault="00E057F4" w:rsidP="00E057F4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132DA920" w14:textId="437EAABA" w:rsidR="00E5621A" w:rsidRPr="00896105" w:rsidRDefault="00E057F4" w:rsidP="00147F54">
      <w:pPr>
        <w:spacing w:after="0" w:line="240" w:lineRule="auto"/>
        <w:ind w:left="567" w:hanging="567"/>
        <w:jc w:val="both"/>
        <w:rPr>
          <w:rFonts w:ascii="Book Antiqua" w:hAnsi="Book Antiqua"/>
          <w:sz w:val="24"/>
          <w:szCs w:val="24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Para ordenar a la </w:t>
      </w:r>
      <w:r w:rsidR="00F11B70" w:rsidRPr="00896105">
        <w:rPr>
          <w:rFonts w:ascii="Book Antiqua" w:hAnsi="Book Antiqua"/>
          <w:bCs/>
          <w:sz w:val="24"/>
          <w:szCs w:val="24"/>
          <w:lang w:val="es-MX"/>
        </w:rPr>
        <w:t xml:space="preserve">Comisión de </w:t>
      </w:r>
      <w:r w:rsidR="00CC03FD">
        <w:rPr>
          <w:rFonts w:ascii="Book Antiqua" w:hAnsi="Book Antiqua"/>
          <w:bCs/>
          <w:sz w:val="24"/>
          <w:szCs w:val="24"/>
          <w:lang w:val="es-MX"/>
        </w:rPr>
        <w:t>Vivienda y Desarrollo Urbano</w:t>
      </w:r>
      <w:r w:rsidR="00F11B70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de la Cámara de Representantes</w:t>
      </w:r>
      <w:r w:rsidR="005F2776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del </w:t>
      </w:r>
      <w:r w:rsidR="00080447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Gobierno</w:t>
      </w:r>
      <w:r w:rsidR="005F2776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Puerto Rico</w:t>
      </w:r>
      <w:r w:rsidR="00A65065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775E87" w:rsidRPr="00896105">
        <w:rPr>
          <w:rFonts w:ascii="Book Antiqua" w:hAnsi="Book Antiqua"/>
          <w:sz w:val="24"/>
          <w:szCs w:val="24"/>
          <w:lang w:val="es-PR"/>
        </w:rPr>
        <w:t>realizar una investigación</w:t>
      </w:r>
      <w:r w:rsidR="002F0D95" w:rsidRPr="00896105">
        <w:rPr>
          <w:rFonts w:ascii="Book Antiqua" w:hAnsi="Book Antiqua"/>
          <w:sz w:val="24"/>
          <w:szCs w:val="24"/>
          <w:lang w:val="es-PR"/>
        </w:rPr>
        <w:t xml:space="preserve"> exhaustiva </w:t>
      </w:r>
      <w:r w:rsidR="00775E87" w:rsidRPr="00896105">
        <w:rPr>
          <w:rFonts w:ascii="Book Antiqua" w:hAnsi="Book Antiqua"/>
          <w:sz w:val="24"/>
          <w:szCs w:val="24"/>
          <w:lang w:val="es-PR"/>
        </w:rPr>
        <w:t>sobre</w:t>
      </w:r>
      <w:r w:rsidRPr="00896105">
        <w:rPr>
          <w:rFonts w:ascii="Book Antiqua" w:hAnsi="Book Antiqua"/>
          <w:lang w:val="es-PR"/>
        </w:rPr>
        <w:t xml:space="preserve"> </w:t>
      </w:r>
      <w:r w:rsidRPr="00896105">
        <w:rPr>
          <w:rFonts w:ascii="Book Antiqua" w:hAnsi="Book Antiqua"/>
          <w:sz w:val="24"/>
          <w:szCs w:val="24"/>
          <w:lang w:val="es-PR"/>
        </w:rPr>
        <w:t>los</w:t>
      </w:r>
      <w:r w:rsidR="00521AE2" w:rsidRPr="00896105">
        <w:rPr>
          <w:rFonts w:ascii="Book Antiqua" w:hAnsi="Book Antiqua"/>
          <w:sz w:val="24"/>
          <w:szCs w:val="24"/>
          <w:lang w:val="es-PR"/>
        </w:rPr>
        <w:t xml:space="preserve"> reglamentos internos </w:t>
      </w:r>
      <w:r w:rsidR="00284C52" w:rsidRPr="00896105">
        <w:rPr>
          <w:rFonts w:ascii="Book Antiqua" w:hAnsi="Book Antiqua"/>
          <w:sz w:val="24"/>
          <w:szCs w:val="24"/>
          <w:lang w:val="es-PR"/>
        </w:rPr>
        <w:t>municipales</w:t>
      </w:r>
      <w:r w:rsidR="008D306C" w:rsidRPr="00896105">
        <w:rPr>
          <w:rFonts w:ascii="Book Antiqua" w:hAnsi="Book Antiqua"/>
          <w:sz w:val="24"/>
          <w:szCs w:val="24"/>
          <w:lang w:val="es-PR"/>
        </w:rPr>
        <w:t xml:space="preserve"> creados mediante ordenanza</w:t>
      </w:r>
      <w:r w:rsidR="00284C52" w:rsidRPr="00896105">
        <w:rPr>
          <w:rFonts w:ascii="Book Antiqua" w:hAnsi="Book Antiqua"/>
          <w:sz w:val="24"/>
          <w:szCs w:val="24"/>
          <w:lang w:val="es-PR"/>
        </w:rPr>
        <w:t xml:space="preserve"> sobre el </w:t>
      </w:r>
      <w:r w:rsidR="007E7A15" w:rsidRPr="00896105">
        <w:rPr>
          <w:rFonts w:ascii="Book Antiqua" w:hAnsi="Book Antiqua"/>
          <w:sz w:val="24"/>
          <w:szCs w:val="24"/>
          <w:lang w:val="es-PR"/>
        </w:rPr>
        <w:t>m</w:t>
      </w:r>
      <w:r w:rsidR="00284C52" w:rsidRPr="00896105">
        <w:rPr>
          <w:rFonts w:ascii="Book Antiqua" w:hAnsi="Book Antiqua"/>
          <w:sz w:val="24"/>
          <w:szCs w:val="24"/>
          <w:lang w:val="es-PR"/>
        </w:rPr>
        <w:t xml:space="preserve">anejo de </w:t>
      </w:r>
      <w:r w:rsidR="007E7A15" w:rsidRPr="00896105">
        <w:rPr>
          <w:rFonts w:ascii="Book Antiqua" w:hAnsi="Book Antiqua"/>
          <w:sz w:val="24"/>
          <w:szCs w:val="24"/>
          <w:lang w:val="es-PR"/>
        </w:rPr>
        <w:t>e</w:t>
      </w:r>
      <w:r w:rsidR="00284C52" w:rsidRPr="00896105">
        <w:rPr>
          <w:rFonts w:ascii="Book Antiqua" w:hAnsi="Book Antiqua"/>
          <w:sz w:val="24"/>
          <w:szCs w:val="24"/>
          <w:lang w:val="es-PR"/>
        </w:rPr>
        <w:t xml:space="preserve">storbos </w:t>
      </w:r>
      <w:r w:rsidR="007E7A15" w:rsidRPr="00896105">
        <w:rPr>
          <w:rFonts w:ascii="Book Antiqua" w:hAnsi="Book Antiqua"/>
          <w:sz w:val="24"/>
          <w:szCs w:val="24"/>
          <w:lang w:val="es-PR"/>
        </w:rPr>
        <w:t>p</w:t>
      </w:r>
      <w:r w:rsidR="00284C52" w:rsidRPr="00896105">
        <w:rPr>
          <w:rFonts w:ascii="Book Antiqua" w:hAnsi="Book Antiqua"/>
          <w:sz w:val="24"/>
          <w:szCs w:val="24"/>
          <w:lang w:val="es-PR"/>
        </w:rPr>
        <w:t xml:space="preserve">úblicos, </w:t>
      </w:r>
      <w:r w:rsidR="00521AE2" w:rsidRPr="00896105">
        <w:rPr>
          <w:rFonts w:ascii="Book Antiqua" w:hAnsi="Book Antiqua"/>
          <w:sz w:val="24"/>
          <w:szCs w:val="24"/>
          <w:lang w:val="es-PR"/>
        </w:rPr>
        <w:t>requeridos por la Ley 107-2020,</w:t>
      </w:r>
      <w:r w:rsidR="00284C52" w:rsidRPr="00896105">
        <w:rPr>
          <w:rFonts w:ascii="Book Antiqua" w:hAnsi="Book Antiqua"/>
          <w:sz w:val="24"/>
          <w:szCs w:val="24"/>
          <w:lang w:val="es-PR"/>
        </w:rPr>
        <w:t xml:space="preserve"> según enmendada,</w:t>
      </w:r>
      <w:r w:rsidR="00521AE2" w:rsidRPr="00896105">
        <w:rPr>
          <w:rFonts w:ascii="Book Antiqua" w:hAnsi="Book Antiqua"/>
          <w:sz w:val="24"/>
          <w:szCs w:val="24"/>
          <w:lang w:val="es-PR"/>
        </w:rPr>
        <w:t xml:space="preserve"> mejor conocida como el </w:t>
      </w:r>
      <w:r w:rsidR="00284C52" w:rsidRPr="00896105">
        <w:rPr>
          <w:rFonts w:ascii="Book Antiqua" w:hAnsi="Book Antiqua"/>
          <w:sz w:val="24"/>
          <w:szCs w:val="24"/>
          <w:lang w:val="es-PR"/>
        </w:rPr>
        <w:t>Código</w:t>
      </w:r>
      <w:r w:rsidR="00521AE2" w:rsidRPr="00896105">
        <w:rPr>
          <w:rFonts w:ascii="Book Antiqua" w:hAnsi="Book Antiqua"/>
          <w:sz w:val="24"/>
          <w:szCs w:val="24"/>
          <w:lang w:val="es-PR"/>
        </w:rPr>
        <w:t xml:space="preserve"> Municipal de Puerto Rico</w:t>
      </w:r>
      <w:r w:rsidR="00284C52" w:rsidRPr="00896105">
        <w:rPr>
          <w:rFonts w:ascii="Book Antiqua" w:hAnsi="Book Antiqua"/>
          <w:sz w:val="24"/>
          <w:szCs w:val="24"/>
          <w:lang w:val="es-PR"/>
        </w:rPr>
        <w:t xml:space="preserve"> </w:t>
      </w:r>
      <w:r w:rsidR="00CD4A7A" w:rsidRPr="00896105">
        <w:rPr>
          <w:rFonts w:ascii="Book Antiqua" w:hAnsi="Book Antiqua"/>
          <w:sz w:val="24"/>
          <w:szCs w:val="24"/>
          <w:lang w:val="es-PR"/>
        </w:rPr>
        <w:t>en el Distrito Representativo 21</w:t>
      </w:r>
      <w:r w:rsidR="001E1651" w:rsidRPr="00896105">
        <w:rPr>
          <w:rFonts w:ascii="Book Antiqua" w:hAnsi="Book Antiqua"/>
          <w:sz w:val="24"/>
          <w:szCs w:val="24"/>
          <w:lang w:val="es-PR"/>
        </w:rPr>
        <w:t>,</w:t>
      </w:r>
      <w:r w:rsidR="00CD4A7A" w:rsidRPr="00896105">
        <w:rPr>
          <w:rFonts w:ascii="Book Antiqua" w:hAnsi="Book Antiqua"/>
          <w:sz w:val="24"/>
          <w:szCs w:val="24"/>
          <w:lang w:val="es-PR"/>
        </w:rPr>
        <w:t xml:space="preserve"> </w:t>
      </w:r>
      <w:bookmarkStart w:id="1" w:name="_Hlk187243410"/>
      <w:r w:rsidR="00CD4A7A" w:rsidRPr="00896105">
        <w:rPr>
          <w:rFonts w:ascii="Book Antiqua" w:hAnsi="Book Antiqua"/>
          <w:sz w:val="24"/>
          <w:szCs w:val="24"/>
          <w:lang w:val="es-PR"/>
        </w:rPr>
        <w:t>que comp</w:t>
      </w:r>
      <w:r w:rsidR="00830A55" w:rsidRPr="00896105">
        <w:rPr>
          <w:rFonts w:ascii="Book Antiqua" w:hAnsi="Book Antiqua"/>
          <w:sz w:val="24"/>
          <w:szCs w:val="24"/>
          <w:lang w:val="es-PR"/>
        </w:rPr>
        <w:t>rende</w:t>
      </w:r>
      <w:r w:rsidR="00CD4A7A" w:rsidRPr="00896105">
        <w:rPr>
          <w:rFonts w:ascii="Book Antiqua" w:hAnsi="Book Antiqua"/>
          <w:sz w:val="24"/>
          <w:szCs w:val="24"/>
          <w:lang w:val="es-PR"/>
        </w:rPr>
        <w:t xml:space="preserve"> los municipios de </w:t>
      </w:r>
      <w:r w:rsidR="00C15853" w:rsidRPr="00896105">
        <w:rPr>
          <w:rFonts w:ascii="Book Antiqua" w:hAnsi="Book Antiqua"/>
          <w:sz w:val="24"/>
          <w:szCs w:val="24"/>
          <w:lang w:val="es-PR"/>
        </w:rPr>
        <w:t>Guánica, Lajas, Las Marías, Maricao, Sabana Grande y Yauco,</w:t>
      </w:r>
      <w:r w:rsidR="006E78C7" w:rsidRPr="00896105">
        <w:rPr>
          <w:rFonts w:ascii="Book Antiqua" w:hAnsi="Book Antiqua"/>
          <w:sz w:val="24"/>
          <w:szCs w:val="24"/>
          <w:lang w:val="es-PR"/>
        </w:rPr>
        <w:t xml:space="preserve"> </w:t>
      </w:r>
      <w:r w:rsidRPr="00896105">
        <w:rPr>
          <w:rFonts w:ascii="Book Antiqua" w:hAnsi="Book Antiqua"/>
          <w:sz w:val="24"/>
          <w:szCs w:val="24"/>
          <w:lang w:val="es-PR"/>
        </w:rPr>
        <w:t xml:space="preserve"> </w:t>
      </w:r>
      <w:r w:rsidR="00752D07" w:rsidRPr="00896105">
        <w:rPr>
          <w:rFonts w:ascii="Book Antiqua" w:hAnsi="Book Antiqua"/>
          <w:sz w:val="24"/>
          <w:szCs w:val="24"/>
          <w:lang w:val="es-PR"/>
        </w:rPr>
        <w:t xml:space="preserve">con el </w:t>
      </w:r>
      <w:r w:rsidR="00F41F36" w:rsidRPr="00896105">
        <w:rPr>
          <w:rFonts w:ascii="Book Antiqua" w:hAnsi="Book Antiqua"/>
          <w:sz w:val="24"/>
          <w:szCs w:val="24"/>
          <w:lang w:val="es-PR"/>
        </w:rPr>
        <w:t>fin</w:t>
      </w:r>
      <w:r w:rsidR="00752D07" w:rsidRPr="00896105">
        <w:rPr>
          <w:rFonts w:ascii="Book Antiqua" w:hAnsi="Book Antiqua"/>
          <w:sz w:val="24"/>
          <w:szCs w:val="24"/>
          <w:lang w:val="es-PR"/>
        </w:rPr>
        <w:t xml:space="preserve"> de</w:t>
      </w:r>
      <w:r w:rsidR="006E78C7" w:rsidRPr="00896105">
        <w:rPr>
          <w:rFonts w:ascii="Book Antiqua" w:hAnsi="Book Antiqua"/>
          <w:sz w:val="24"/>
          <w:szCs w:val="24"/>
          <w:lang w:val="es-PR"/>
        </w:rPr>
        <w:t xml:space="preserve"> auscultar </w:t>
      </w:r>
      <w:r w:rsidR="00CC03FD">
        <w:rPr>
          <w:rFonts w:ascii="Book Antiqua" w:hAnsi="Book Antiqua"/>
          <w:sz w:val="24"/>
          <w:szCs w:val="24"/>
          <w:lang w:val="es-PR"/>
        </w:rPr>
        <w:t>cuáles</w:t>
      </w:r>
      <w:r w:rsidR="006E78C7" w:rsidRPr="00896105">
        <w:rPr>
          <w:rFonts w:ascii="Book Antiqua" w:hAnsi="Book Antiqua"/>
          <w:sz w:val="24"/>
          <w:szCs w:val="24"/>
          <w:lang w:val="es-PR"/>
        </w:rPr>
        <w:t xml:space="preserve"> municipios ya tienen sus reglamentos establecidos</w:t>
      </w:r>
      <w:r w:rsidR="00F73EFB" w:rsidRPr="00896105">
        <w:rPr>
          <w:rFonts w:ascii="Book Antiqua" w:hAnsi="Book Antiqua"/>
          <w:sz w:val="24"/>
          <w:szCs w:val="24"/>
          <w:lang w:val="es-PR"/>
        </w:rPr>
        <w:t xml:space="preserve"> y su puesta en vigor, analizar áreas de fortalezas y debilidades</w:t>
      </w:r>
      <w:r w:rsidR="00284C52" w:rsidRPr="00896105">
        <w:rPr>
          <w:rFonts w:ascii="Book Antiqua" w:hAnsi="Book Antiqua"/>
          <w:sz w:val="24"/>
          <w:szCs w:val="24"/>
          <w:lang w:val="es-PR"/>
        </w:rPr>
        <w:t>;</w:t>
      </w:r>
      <w:r w:rsidR="00041E11" w:rsidRPr="00896105">
        <w:rPr>
          <w:rFonts w:ascii="Book Antiqua" w:hAnsi="Book Antiqua"/>
          <w:sz w:val="24"/>
          <w:szCs w:val="24"/>
          <w:lang w:val="es-PR"/>
        </w:rPr>
        <w:t xml:space="preserve"> y para otros fines relacionados</w:t>
      </w:r>
      <w:bookmarkEnd w:id="1"/>
      <w:r w:rsidR="00880507" w:rsidRPr="00896105">
        <w:rPr>
          <w:rFonts w:ascii="Book Antiqua" w:hAnsi="Book Antiqua"/>
          <w:sz w:val="24"/>
          <w:szCs w:val="24"/>
          <w:lang w:val="es-PR"/>
        </w:rPr>
        <w:t xml:space="preserve">. </w:t>
      </w:r>
    </w:p>
    <w:p w14:paraId="79AF4D96" w14:textId="77777777" w:rsidR="00E057F4" w:rsidRPr="0086134A" w:rsidRDefault="00E057F4" w:rsidP="00B72D87">
      <w:pPr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</w:p>
    <w:p w14:paraId="5540641C" w14:textId="77777777" w:rsidR="00E057F4" w:rsidRDefault="00E057F4" w:rsidP="00E057F4">
      <w:pPr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6134A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EXPOSICIÓN DE MOTIVOS </w:t>
      </w:r>
    </w:p>
    <w:p w14:paraId="70A28403" w14:textId="77777777" w:rsidR="003D4001" w:rsidRDefault="003D4001" w:rsidP="00B34C6D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B04DAC2" w14:textId="081D9512" w:rsidR="00526EFA" w:rsidRPr="00896105" w:rsidRDefault="00CF30A9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La Ley 107-2020, según enmendada, mejor conocida como el Código Municipal de Puerto Rico, contiene entre sus disposiciones en el Libro IV sobre Procesos Municipales y Gestión Comunitaria, el </w:t>
      </w:r>
      <w:r w:rsidR="0049713B" w:rsidRPr="00896105">
        <w:rPr>
          <w:rFonts w:ascii="Book Antiqua" w:eastAsia="Times New Roman" w:hAnsi="Book Antiqua" w:cs="Arial"/>
          <w:sz w:val="24"/>
          <w:szCs w:val="20"/>
          <w:lang w:val="es-PR"/>
        </w:rPr>
        <w:t>Capítulo</w:t>
      </w:r>
      <w:r w:rsidRPr="0049713B">
        <w:rPr>
          <w:rFonts w:ascii="Book Antiqua" w:eastAsia="Times New Roman" w:hAnsi="Book Antiqua" w:cs="Arial"/>
          <w:sz w:val="24"/>
          <w:szCs w:val="20"/>
          <w:lang w:val="es-PR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II acerca de la Restauración de las Comunidades y el </w:t>
      </w:r>
      <w:r w:rsidR="0049713B" w:rsidRPr="00896105">
        <w:rPr>
          <w:rFonts w:ascii="Book Antiqua" w:eastAsia="Times New Roman" w:hAnsi="Book Antiqua" w:cs="Arial"/>
          <w:sz w:val="24"/>
          <w:szCs w:val="20"/>
          <w:lang w:val="es-PR"/>
        </w:rPr>
        <w:t>Capítulo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III </w:t>
      </w:r>
      <w:r w:rsidR="00CC03FD">
        <w:rPr>
          <w:rFonts w:ascii="Book Antiqua" w:eastAsia="Times New Roman" w:hAnsi="Book Antiqua" w:cs="Arial"/>
          <w:sz w:val="24"/>
          <w:szCs w:val="20"/>
          <w:lang w:val="es-PR"/>
        </w:rPr>
        <w:t>sobre los</w:t>
      </w:r>
      <w:r>
        <w:rPr>
          <w:rFonts w:ascii="Book Antiqua" w:eastAsia="Times New Roman" w:hAnsi="Book Antiqua" w:cs="Arial"/>
          <w:sz w:val="24"/>
          <w:szCs w:val="20"/>
          <w:lang w:val="es-PR"/>
        </w:rPr>
        <w:t xml:space="preserve"> Procesos para la Reparación y Eliminación de Viviendas Inadecuadas. Ambos capítulos abundan sobre el tema del manejo de los estorbos públicos en los municipios. No obstante, ambos </w:t>
      </w:r>
      <w:r w:rsidR="00990707">
        <w:rPr>
          <w:rFonts w:ascii="Book Antiqua" w:eastAsia="Times New Roman" w:hAnsi="Book Antiqua" w:cs="Arial"/>
          <w:sz w:val="24"/>
          <w:szCs w:val="20"/>
          <w:lang w:val="es-PR"/>
        </w:rPr>
        <w:t>capítulos,</w:t>
      </w:r>
      <w:r w:rsidR="00526EFA">
        <w:rPr>
          <w:rFonts w:ascii="Book Antiqua" w:eastAsia="Times New Roman" w:hAnsi="Book Antiqua" w:cs="Arial"/>
          <w:sz w:val="24"/>
          <w:szCs w:val="20"/>
          <w:lang w:val="es-PR"/>
        </w:rPr>
        <w:t xml:space="preserve"> aunque contienen una guía de </w:t>
      </w:r>
      <w:r w:rsidR="00990707">
        <w:rPr>
          <w:rFonts w:ascii="Book Antiqua" w:eastAsia="Times New Roman" w:hAnsi="Book Antiqua" w:cs="Arial"/>
          <w:sz w:val="24"/>
          <w:szCs w:val="20"/>
          <w:lang w:val="es-PR"/>
        </w:rPr>
        <w:t>cómo</w:t>
      </w:r>
      <w:r w:rsidR="00526EFA">
        <w:rPr>
          <w:rFonts w:ascii="Book Antiqua" w:eastAsia="Times New Roman" w:hAnsi="Book Antiqua" w:cs="Arial"/>
          <w:sz w:val="24"/>
          <w:szCs w:val="20"/>
          <w:lang w:val="es-PR"/>
        </w:rPr>
        <w:t xml:space="preserve"> manejar las viviendas inadecuadas o inhabitables d</w:t>
      </w:r>
      <w:r w:rsidR="003D7B86">
        <w:rPr>
          <w:rFonts w:ascii="Book Antiqua" w:eastAsia="Times New Roman" w:hAnsi="Book Antiqua" w:cs="Arial"/>
          <w:sz w:val="24"/>
          <w:szCs w:val="20"/>
          <w:lang w:val="es-PR"/>
        </w:rPr>
        <w:t xml:space="preserve">entro de las demarcaciones territoriales de los municipios, la Ley 107-2020, otorga discreción a que sean los </w:t>
      </w:r>
      <w:r w:rsidR="003D7B86" w:rsidRPr="00896105">
        <w:rPr>
          <w:rFonts w:ascii="Book Antiqua" w:eastAsia="Times New Roman" w:hAnsi="Book Antiqua" w:cs="Arial"/>
          <w:sz w:val="24"/>
          <w:szCs w:val="20"/>
          <w:lang w:val="es-PR"/>
        </w:rPr>
        <w:lastRenderedPageBreak/>
        <w:t xml:space="preserve">municipios quienes establezcan sus propios mecanismos procesales y administrativos para atender este asunto tan imperativo en sus comunidades. </w:t>
      </w:r>
    </w:p>
    <w:p w14:paraId="63F7D6CC" w14:textId="77777777" w:rsidR="003D7B86" w:rsidRPr="00896105" w:rsidRDefault="003D7B86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105F138F" w14:textId="5B02F00A" w:rsidR="003D7B86" w:rsidRPr="00896105" w:rsidRDefault="003D7B86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  <w:r w:rsidRPr="00896105">
        <w:rPr>
          <w:rFonts w:ascii="Book Antiqua" w:eastAsia="Times New Roman" w:hAnsi="Book Antiqua" w:cs="Arial"/>
          <w:sz w:val="24"/>
          <w:szCs w:val="20"/>
          <w:lang w:val="es-PR"/>
        </w:rPr>
        <w:t>En espec</w:t>
      </w:r>
      <w:r w:rsidR="00A30284" w:rsidRPr="00896105">
        <w:rPr>
          <w:rFonts w:ascii="Book Antiqua" w:eastAsia="Times New Roman" w:hAnsi="Book Antiqua" w:cs="Arial"/>
          <w:sz w:val="24"/>
          <w:szCs w:val="20"/>
          <w:lang w:val="es-PR"/>
        </w:rPr>
        <w:t>í</w:t>
      </w:r>
      <w:r w:rsidRPr="00896105">
        <w:rPr>
          <w:rFonts w:ascii="Book Antiqua" w:eastAsia="Times New Roman" w:hAnsi="Book Antiqua" w:cs="Arial"/>
          <w:sz w:val="24"/>
          <w:szCs w:val="20"/>
          <w:lang w:val="es-PR"/>
        </w:rPr>
        <w:t>fico</w:t>
      </w:r>
      <w:r w:rsidR="00A30284" w:rsidRPr="00896105">
        <w:rPr>
          <w:rFonts w:ascii="Book Antiqua" w:eastAsia="Times New Roman" w:hAnsi="Book Antiqua" w:cs="Arial"/>
          <w:sz w:val="24"/>
          <w:szCs w:val="20"/>
          <w:lang w:val="es-PR"/>
        </w:rPr>
        <w:t>, en el Capítulo II,</w:t>
      </w:r>
      <w:r w:rsidRPr="00896105">
        <w:rPr>
          <w:rFonts w:ascii="Book Antiqua" w:eastAsia="Times New Roman" w:hAnsi="Book Antiqua" w:cs="Arial"/>
          <w:sz w:val="24"/>
          <w:szCs w:val="20"/>
          <w:lang w:val="es-PR"/>
        </w:rPr>
        <w:t xml:space="preserve"> los Arts. 4.008 al 4.012 de la Ley enmarcan el procedimiento de c</w:t>
      </w:r>
      <w:r w:rsidR="00CC03FD">
        <w:rPr>
          <w:rFonts w:ascii="Book Antiqua" w:eastAsia="Times New Roman" w:hAnsi="Book Antiqua" w:cs="Arial"/>
          <w:sz w:val="24"/>
          <w:szCs w:val="20"/>
          <w:lang w:val="es-PR"/>
        </w:rPr>
        <w:t>ó</w:t>
      </w:r>
      <w:r w:rsidRPr="00896105">
        <w:rPr>
          <w:rFonts w:ascii="Book Antiqua" w:eastAsia="Times New Roman" w:hAnsi="Book Antiqua" w:cs="Arial"/>
          <w:sz w:val="24"/>
          <w:szCs w:val="20"/>
          <w:lang w:val="es-PR"/>
        </w:rPr>
        <w:t xml:space="preserve">mo </w:t>
      </w:r>
      <w:r w:rsidRPr="00896105">
        <w:rPr>
          <w:rFonts w:ascii="Book Antiqua" w:eastAsia="Times New Roman" w:hAnsi="Book Antiqua" w:cs="Arial"/>
          <w:sz w:val="24"/>
          <w:szCs w:val="20"/>
          <w:lang w:val="es-ES"/>
        </w:rPr>
        <w:t xml:space="preserve">identificar las propiedades inmuebles deshabitadas y abandonadas que por sus condiciones deban ser calificadas como estorbos públicos, para su posterior adquisición y transferencia de título a un adquiriente. </w:t>
      </w:r>
      <w:r w:rsidR="00A30284" w:rsidRPr="00896105">
        <w:rPr>
          <w:rFonts w:ascii="Book Antiqua" w:eastAsia="Times New Roman" w:hAnsi="Book Antiqua" w:cs="Arial"/>
          <w:sz w:val="24"/>
          <w:szCs w:val="20"/>
          <w:lang w:val="es-ES"/>
        </w:rPr>
        <w:t>Asimismo</w:t>
      </w:r>
      <w:r w:rsidRPr="00896105">
        <w:rPr>
          <w:rFonts w:ascii="Book Antiqua" w:eastAsia="Times New Roman" w:hAnsi="Book Antiqua" w:cs="Arial"/>
          <w:sz w:val="24"/>
          <w:szCs w:val="20"/>
          <w:lang w:val="es-ES"/>
        </w:rPr>
        <w:t xml:space="preserve">, en el Art. 4.012A se establece un procedimiento de expropiación sumario. </w:t>
      </w:r>
    </w:p>
    <w:p w14:paraId="309D079F" w14:textId="77777777" w:rsidR="00A30284" w:rsidRPr="00896105" w:rsidRDefault="00A3028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p w14:paraId="4A65A7AF" w14:textId="12AA514E" w:rsidR="00B8776A" w:rsidRPr="00896105" w:rsidRDefault="00A30284" w:rsidP="00B8776A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iCs/>
          <w:sz w:val="24"/>
          <w:szCs w:val="20"/>
          <w:lang w:val="es-ES"/>
        </w:rPr>
      </w:pPr>
      <w:r>
        <w:rPr>
          <w:rFonts w:ascii="Book Antiqua" w:eastAsia="Times New Roman" w:hAnsi="Book Antiqua" w:cs="Arial"/>
          <w:sz w:val="24"/>
          <w:szCs w:val="20"/>
          <w:lang w:val="es-ES"/>
        </w:rPr>
        <w:t>M</w:t>
      </w:r>
      <w:r w:rsidR="002854AE" w:rsidRPr="002854AE">
        <w:rPr>
          <w:rFonts w:ascii="Book Antiqua" w:eastAsia="Times New Roman" w:hAnsi="Book Antiqua" w:cs="Arial"/>
          <w:sz w:val="24"/>
          <w:szCs w:val="20"/>
          <w:lang w:val="es-ES"/>
        </w:rPr>
        <w:t>á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s adelante, en el Capítulo III, los Arts. 4.015 al 4.020, imponen responsabilidad para que los municipios actúen activamente y promuevan que las viviendas sean adecuadas y seguras para sus habitantes. </w:t>
      </w:r>
      <w:r w:rsidR="00990707">
        <w:rPr>
          <w:rFonts w:ascii="Book Antiqua" w:eastAsia="Times New Roman" w:hAnsi="Book Antiqua" w:cs="Arial"/>
          <w:sz w:val="24"/>
          <w:szCs w:val="20"/>
          <w:lang w:val="es-ES"/>
        </w:rPr>
        <w:t>Ambos capítulos anteriormente mencionados, proveen para que los municipios creen sus propias ordenanzas a los efectos.</w:t>
      </w:r>
      <w:r w:rsidR="00990707">
        <w:rPr>
          <w:rStyle w:val="FootnoteReference"/>
          <w:rFonts w:ascii="Book Antiqua" w:eastAsia="Times New Roman" w:hAnsi="Book Antiqua" w:cs="Arial"/>
          <w:sz w:val="24"/>
          <w:szCs w:val="20"/>
          <w:lang w:val="es-ES"/>
        </w:rPr>
        <w:footnoteReference w:id="1"/>
      </w:r>
      <w:r w:rsidR="00B8776A" w:rsidRPr="00896105">
        <w:rPr>
          <w:rFonts w:ascii="Book Antiqua" w:eastAsia="Times New Roman" w:hAnsi="Book Antiqua" w:cs="Arial"/>
          <w:bCs/>
          <w:iCs/>
          <w:sz w:val="24"/>
          <w:szCs w:val="20"/>
          <w:lang w:val="es-MX"/>
        </w:rPr>
        <w:t>No obstante, la implementación adecuada de estas ordenanzas puede tener beneficios tangibles como la reducción de riesgos para la salud pública, el aumento del valor de las propiedades y la promoción de comunidades más habitables.</w:t>
      </w:r>
    </w:p>
    <w:p w14:paraId="116C966A" w14:textId="77777777" w:rsidR="00990707" w:rsidRDefault="00990707" w:rsidP="00B8776A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p w14:paraId="797E5488" w14:textId="4C090472" w:rsidR="00F11B70" w:rsidRPr="00896105" w:rsidRDefault="00B8776A" w:rsidP="00F11B70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iCs/>
          <w:sz w:val="24"/>
          <w:szCs w:val="20"/>
          <w:lang w:val="es-ES"/>
        </w:rPr>
      </w:pPr>
      <w:r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 xml:space="preserve">La </w:t>
      </w:r>
      <w:r w:rsidR="00C925D4"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 xml:space="preserve">creación de ordenanzas y medidas municipales son procedimientos internos, </w:t>
      </w:r>
      <w:r w:rsidR="00CC03FD">
        <w:rPr>
          <w:rFonts w:ascii="Book Antiqua" w:eastAsia="Times New Roman" w:hAnsi="Book Antiqua" w:cs="Arial"/>
          <w:iCs/>
          <w:sz w:val="24"/>
          <w:szCs w:val="20"/>
          <w:lang w:val="es-ES"/>
        </w:rPr>
        <w:t>sin embargo, resulta</w:t>
      </w:r>
      <w:r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 xml:space="preserve"> imperativo conocer a nivel estatal cuáles municipios han adoptado estas medidas, y evaluar sus resultados para identificar prácticas exitosas que puedan replicarse. </w:t>
      </w:r>
      <w:r w:rsidR="00CC03FD">
        <w:rPr>
          <w:rFonts w:ascii="Book Antiqua" w:eastAsia="Times New Roman" w:hAnsi="Book Antiqua" w:cs="Arial"/>
          <w:iCs/>
          <w:sz w:val="24"/>
          <w:szCs w:val="20"/>
          <w:lang w:val="es-ES"/>
        </w:rPr>
        <w:t>El</w:t>
      </w:r>
      <w:r w:rsidR="00C925D4"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 xml:space="preserve"> tema del manejo de los estorbos públicos y la promoción de viviendas accesibles y asequibles a los </w:t>
      </w:r>
      <w:r w:rsidR="00952D56"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>ciudadanos</w:t>
      </w:r>
      <w:r w:rsidR="00C925D4"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 xml:space="preserve"> es un tema imperativo de alto interés </w:t>
      </w:r>
      <w:r w:rsidR="00E3665C"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>público</w:t>
      </w:r>
      <w:r w:rsidR="00C925D4" w:rsidRPr="00896105">
        <w:rPr>
          <w:rFonts w:ascii="Book Antiqua" w:eastAsia="Times New Roman" w:hAnsi="Book Antiqua" w:cs="Arial"/>
          <w:iCs/>
          <w:sz w:val="24"/>
          <w:szCs w:val="20"/>
          <w:lang w:val="es-ES"/>
        </w:rPr>
        <w:t xml:space="preserve"> pues va arraigado a la calidad de vida y derechos básicos de los ciudadanos. </w:t>
      </w:r>
      <w:r w:rsidR="00F11B70" w:rsidRPr="00896105">
        <w:rPr>
          <w:rFonts w:ascii="Book Antiqua" w:eastAsia="Times New Roman" w:hAnsi="Book Antiqua" w:cs="Arial"/>
          <w:iCs/>
          <w:sz w:val="24"/>
          <w:szCs w:val="20"/>
          <w:lang w:val="es-MX"/>
        </w:rPr>
        <w:t>Conocer si los municipios han creado e implementado ordenanzas relacionadas con el manejo de estorbos públicos permitirá identificar fortalezas y áreas de mejora en estas iniciativas. Este análisis proporcionará una visión clara para promover viviendas habitables y facilitar su adquisición por ciudadanos interesados, fortaleciendo así la calidad de vida y el desarrollo comunitario.</w:t>
      </w:r>
    </w:p>
    <w:p w14:paraId="1DCAFE24" w14:textId="77777777" w:rsidR="00C925D4" w:rsidRDefault="00C925D4" w:rsidP="00F11B70">
      <w:pPr>
        <w:spacing w:after="0" w:line="240" w:lineRule="auto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p w14:paraId="67317C78" w14:textId="5CF17463" w:rsidR="00C925D4" w:rsidRDefault="00C925D4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Por lo anterior, 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la Cámara de Representantes del </w:t>
      </w:r>
      <w:r w:rsidR="00080447">
        <w:rPr>
          <w:rFonts w:ascii="Book Antiqua" w:eastAsia="Times New Roman" w:hAnsi="Book Antiqua" w:cs="Arial"/>
          <w:sz w:val="24"/>
          <w:szCs w:val="20"/>
          <w:lang w:val="es-PR"/>
        </w:rPr>
        <w:t>Gobierno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 de Puerto Rico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ES"/>
        </w:rPr>
        <w:t xml:space="preserve"> </w:t>
      </w:r>
      <w:r>
        <w:rPr>
          <w:rFonts w:ascii="Book Antiqua" w:eastAsia="Times New Roman" w:hAnsi="Book Antiqua" w:cs="Arial"/>
          <w:sz w:val="24"/>
          <w:szCs w:val="20"/>
          <w:lang w:val="es-ES"/>
        </w:rPr>
        <w:t xml:space="preserve">considera pertinente, </w:t>
      </w:r>
      <w:r w:rsidRPr="00F11B70">
        <w:rPr>
          <w:rFonts w:ascii="Book Antiqua" w:eastAsia="Times New Roman" w:hAnsi="Book Antiqua" w:cs="Arial"/>
          <w:strike/>
          <w:sz w:val="24"/>
          <w:szCs w:val="20"/>
          <w:lang w:val="es-ES"/>
        </w:rPr>
        <w:t>el</w:t>
      </w:r>
      <w:r w:rsidRPr="008E0155">
        <w:rPr>
          <w:rFonts w:ascii="Book Antiqua" w:eastAsia="Times New Roman" w:hAnsi="Book Antiqua" w:cs="Arial"/>
          <w:sz w:val="24"/>
          <w:szCs w:val="20"/>
          <w:lang w:val="es-ES"/>
        </w:rPr>
        <w:t xml:space="preserve"> </w:t>
      </w:r>
      <w:r w:rsidR="00952D56" w:rsidRPr="008E0155">
        <w:rPr>
          <w:rFonts w:ascii="Book Antiqua" w:eastAsia="Times New Roman" w:hAnsi="Book Antiqua" w:cs="Arial"/>
          <w:sz w:val="24"/>
          <w:szCs w:val="20"/>
          <w:lang w:val="es-PR"/>
        </w:rPr>
        <w:t>realizar</w:t>
      </w:r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 una investigación </w:t>
      </w:r>
      <w:bookmarkStart w:id="2" w:name="_Hlk187242696"/>
      <w:r w:rsidR="00952D56" w:rsidRPr="00952D56">
        <w:rPr>
          <w:rFonts w:ascii="Book Antiqua" w:eastAsia="Times New Roman" w:hAnsi="Book Antiqua" w:cs="Arial"/>
          <w:sz w:val="24"/>
          <w:szCs w:val="20"/>
          <w:lang w:val="es-PR"/>
        </w:rPr>
        <w:t xml:space="preserve">exhaustiva sobre los reglamentos internos municipales </w:t>
      </w:r>
      <w:r w:rsidR="003A3C21" w:rsidRPr="003A3C21">
        <w:rPr>
          <w:rFonts w:ascii="Book Antiqua" w:eastAsia="Times New Roman" w:hAnsi="Book Antiqua" w:cs="Arial"/>
          <w:sz w:val="24"/>
          <w:szCs w:val="20"/>
          <w:lang w:val="es-PR"/>
        </w:rPr>
        <w:t>creados mediante ordenanza sobre el manejo de estorbos públicos, requeridos por la Ley 107-2020, según enmendada, mejor conocida como el Código Municipal de Puerto Rico en el Distrito Representativo 21, que comprende los municipios de Guánica, Lajas, Las Marías, Maricao, Sabana Grande y Yauco,  con el fin de auscultar que municipios ya tienen sus reglamentos establecidos y su puesta en vigor, analizar áreas de fortalezas y debilidades</w:t>
      </w:r>
      <w:r w:rsidR="003A3C21">
        <w:rPr>
          <w:rFonts w:ascii="Book Antiqua" w:eastAsia="Times New Roman" w:hAnsi="Book Antiqua" w:cs="Arial"/>
          <w:sz w:val="24"/>
          <w:szCs w:val="20"/>
          <w:lang w:val="es-PR"/>
        </w:rPr>
        <w:t>.</w:t>
      </w:r>
    </w:p>
    <w:p w14:paraId="4E35C708" w14:textId="77777777" w:rsidR="00714F2A" w:rsidRDefault="00714F2A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PR"/>
        </w:rPr>
      </w:pPr>
    </w:p>
    <w:p w14:paraId="45F1A693" w14:textId="77777777" w:rsidR="00714F2A" w:rsidRPr="00A30284" w:rsidRDefault="00714F2A" w:rsidP="00147F54">
      <w:pPr>
        <w:spacing w:after="0" w:line="240" w:lineRule="auto"/>
        <w:ind w:firstLine="567"/>
        <w:jc w:val="both"/>
        <w:rPr>
          <w:rFonts w:ascii="Book Antiqua" w:eastAsia="Times New Roman" w:hAnsi="Book Antiqua" w:cs="Arial"/>
          <w:sz w:val="24"/>
          <w:szCs w:val="20"/>
          <w:lang w:val="es-ES"/>
        </w:rPr>
      </w:pPr>
    </w:p>
    <w:bookmarkEnd w:id="2"/>
    <w:p w14:paraId="69354580" w14:textId="77777777" w:rsidR="00E057F4" w:rsidRPr="0086134A" w:rsidRDefault="00E057F4" w:rsidP="00E3665C">
      <w:pPr>
        <w:shd w:val="clear" w:color="auto" w:fill="FFFFFF"/>
        <w:spacing w:after="0" w:line="240" w:lineRule="auto"/>
        <w:jc w:val="both"/>
        <w:rPr>
          <w:rFonts w:ascii="Book Antiqua" w:eastAsia="Times New Roman" w:hAnsi="Book Antiqua" w:cs="Arial"/>
          <w:sz w:val="24"/>
          <w:szCs w:val="24"/>
          <w:lang w:val="es-PR"/>
        </w:rPr>
      </w:pPr>
    </w:p>
    <w:p w14:paraId="3BB8300B" w14:textId="585EE9DB" w:rsidR="00E057F4" w:rsidRPr="0086134A" w:rsidRDefault="002F0D95" w:rsidP="00E057F4">
      <w:pPr>
        <w:spacing w:after="0" w:line="480" w:lineRule="auto"/>
        <w:rPr>
          <w:rFonts w:ascii="Book Antiqua" w:eastAsia="Times New Roman" w:hAnsi="Book Antiqua" w:cs="Times New Roman"/>
          <w:i/>
          <w:sz w:val="24"/>
          <w:szCs w:val="20"/>
          <w:lang w:val="es-PR"/>
        </w:rPr>
      </w:pPr>
      <w:r w:rsidRPr="001E06C6">
        <w:rPr>
          <w:rFonts w:ascii="Book Antiqua" w:eastAsia="Times New Roman" w:hAnsi="Book Antiqua" w:cs="Times New Roman"/>
          <w:i/>
          <w:sz w:val="24"/>
          <w:szCs w:val="20"/>
          <w:lang w:val="es-PR"/>
        </w:rPr>
        <w:lastRenderedPageBreak/>
        <w:t>RESUÉLVESE</w:t>
      </w:r>
      <w:r w:rsidR="00E057F4" w:rsidRPr="0086134A">
        <w:rPr>
          <w:rFonts w:ascii="Book Antiqua" w:eastAsia="Times New Roman" w:hAnsi="Book Antiqua" w:cs="Times New Roman"/>
          <w:i/>
          <w:sz w:val="24"/>
          <w:szCs w:val="20"/>
          <w:lang w:val="es-PR"/>
        </w:rPr>
        <w:t xml:space="preserve"> POR LA CÁMARA DE REPRESENTANTES DE PUERTO RICO:</w:t>
      </w:r>
    </w:p>
    <w:p w14:paraId="2417E918" w14:textId="77777777" w:rsidR="00E057F4" w:rsidRPr="0086134A" w:rsidRDefault="00E057F4" w:rsidP="00E057F4">
      <w:pPr>
        <w:spacing w:after="0" w:line="480" w:lineRule="auto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  <w:sectPr w:rsidR="00E057F4" w:rsidRPr="0086134A" w:rsidSect="002E4F88">
          <w:headerReference w:type="default" r:id="rId10"/>
          <w:headerReference w:type="first" r:id="rId11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A1BCDED" w14:textId="63D3B293" w:rsidR="00714F2A" w:rsidRPr="00896105" w:rsidRDefault="00E057F4" w:rsidP="00880507">
      <w:pPr>
        <w:spacing w:after="0" w:line="480" w:lineRule="auto"/>
        <w:ind w:firstLine="567"/>
        <w:jc w:val="both"/>
        <w:rPr>
          <w:rFonts w:ascii="Book Antiqua" w:hAnsi="Book Antiqua"/>
          <w:sz w:val="24"/>
          <w:szCs w:val="24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</w:t>
      </w:r>
      <w:r w:rsidR="00F11B70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n 1.-Se ordena a la </w:t>
      </w:r>
      <w:r w:rsidR="00F11B70" w:rsidRPr="00896105">
        <w:rPr>
          <w:rFonts w:ascii="Book Antiqua" w:hAnsi="Book Antiqua"/>
          <w:bCs/>
          <w:sz w:val="24"/>
          <w:szCs w:val="24"/>
          <w:lang w:val="es-MX"/>
        </w:rPr>
        <w:t>Comisión de</w:t>
      </w:r>
      <w:r w:rsidR="00CC03FD">
        <w:rPr>
          <w:rFonts w:ascii="Book Antiqua" w:hAnsi="Book Antiqua"/>
          <w:bCs/>
          <w:sz w:val="24"/>
          <w:szCs w:val="24"/>
          <w:lang w:val="es-MX"/>
        </w:rPr>
        <w:t xml:space="preserve"> Vivienda y Desarrollo Urbano</w:t>
      </w:r>
      <w:r w:rsidR="00F11B70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de la Cámara de Representantes del Gobierno de Puerto Rico, </w:t>
      </w:r>
      <w:r w:rsidR="00F11B70" w:rsidRPr="00896105">
        <w:rPr>
          <w:rFonts w:ascii="Book Antiqua" w:hAnsi="Book Antiqua"/>
          <w:sz w:val="24"/>
          <w:szCs w:val="24"/>
          <w:lang w:val="es-PR"/>
        </w:rPr>
        <w:t>realizar una investigación exhaustiva sobre</w:t>
      </w:r>
      <w:r w:rsidR="00F11B70" w:rsidRPr="00896105">
        <w:rPr>
          <w:rFonts w:ascii="Book Antiqua" w:hAnsi="Book Antiqua"/>
          <w:lang w:val="es-PR"/>
        </w:rPr>
        <w:t xml:space="preserve"> </w:t>
      </w:r>
      <w:r w:rsidR="00F11B70" w:rsidRPr="00896105">
        <w:rPr>
          <w:rFonts w:ascii="Book Antiqua" w:hAnsi="Book Antiqua"/>
          <w:sz w:val="24"/>
          <w:szCs w:val="24"/>
          <w:lang w:val="es-PR"/>
        </w:rPr>
        <w:t xml:space="preserve">los reglamentos internos municipales creados mediante ordenanza sobre el manejo de estorbos públicos, requeridos por la Ley 107-2020, según enmendada, mejor conocida como el Código Municipal de Puerto Rico en el Distrito Representativo 21, que comprende los municipios de Guánica, Lajas, Las Marías, Maricao, Sabana Grande y Yauco,  con el fin de auscultar </w:t>
      </w:r>
      <w:r w:rsidR="00CC03FD">
        <w:rPr>
          <w:rFonts w:ascii="Book Antiqua" w:hAnsi="Book Antiqua"/>
          <w:sz w:val="24"/>
          <w:szCs w:val="24"/>
          <w:lang w:val="es-PR"/>
        </w:rPr>
        <w:t>cuáles</w:t>
      </w:r>
      <w:r w:rsidR="00F11B70" w:rsidRPr="00896105">
        <w:rPr>
          <w:rFonts w:ascii="Book Antiqua" w:hAnsi="Book Antiqua"/>
          <w:sz w:val="24"/>
          <w:szCs w:val="24"/>
          <w:lang w:val="es-PR"/>
        </w:rPr>
        <w:t xml:space="preserve"> municipios ya tienen sus reglamentos establecidos y su puesta en vigor, analizar áreas de fortalezas y debilidades</w:t>
      </w:r>
      <w:r w:rsidR="00880507" w:rsidRPr="00896105">
        <w:rPr>
          <w:rFonts w:ascii="Book Antiqua" w:hAnsi="Book Antiqua"/>
          <w:sz w:val="24"/>
          <w:szCs w:val="24"/>
          <w:lang w:val="es-PR"/>
        </w:rPr>
        <w:t>.</w:t>
      </w:r>
      <w:r w:rsidR="00F11B70" w:rsidRPr="00896105">
        <w:rPr>
          <w:rFonts w:ascii="Book Antiqua" w:hAnsi="Book Antiqua"/>
          <w:sz w:val="24"/>
          <w:szCs w:val="24"/>
          <w:lang w:val="es-PR"/>
        </w:rPr>
        <w:t xml:space="preserve"> </w:t>
      </w:r>
    </w:p>
    <w:p w14:paraId="67564E7E" w14:textId="3209EF90" w:rsidR="00C36427" w:rsidRPr="00896105" w:rsidRDefault="00C36427" w:rsidP="00C36427">
      <w:pPr>
        <w:spacing w:after="0" w:line="480" w:lineRule="auto"/>
        <w:ind w:firstLine="567"/>
        <w:jc w:val="both"/>
        <w:rPr>
          <w:rFonts w:ascii="Book Antiqua" w:hAnsi="Book Antiqua"/>
          <w:bCs/>
          <w:sz w:val="24"/>
          <w:szCs w:val="24"/>
          <w:lang w:val="es-MX"/>
        </w:rPr>
      </w:pPr>
      <w:r w:rsidRPr="00896105">
        <w:rPr>
          <w:rFonts w:ascii="Book Antiqua" w:hAnsi="Book Antiqua"/>
          <w:sz w:val="24"/>
          <w:szCs w:val="24"/>
          <w:lang w:val="es-PR"/>
        </w:rPr>
        <w:t>Sección 2.-</w:t>
      </w:r>
      <w:r w:rsidRPr="00896105">
        <w:rPr>
          <w:rFonts w:ascii="Book Antiqua" w:hAnsi="Book Antiqua"/>
          <w:bCs/>
          <w:sz w:val="24"/>
          <w:szCs w:val="24"/>
          <w:lang w:val="es-MX"/>
        </w:rPr>
        <w:t>La Comisión para cumplir con los objetivos de esta investigación, convocará vistas públicas, realizará citaciones, requerirá documentos, llevará a cabo vistas oculares y celebrará reuniones con funcionarios municipales y estatales pertinentes.</w:t>
      </w:r>
    </w:p>
    <w:p w14:paraId="1DBE792D" w14:textId="06525879" w:rsidR="00880507" w:rsidRPr="00896105" w:rsidRDefault="009F31B7" w:rsidP="00896105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Sección 3.-La</w:t>
      </w:r>
      <w:r w:rsidR="00C61EF6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Comisión tendrá la responsabilidad de someter informes parciales y aquellos necesarios, con los hallazgos y recomendaciones a medida que se desarrollen los trabajos, investigaciones y análisis pertinentes relacionados.</w:t>
      </w:r>
      <w:r w:rsidR="00880507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</w:t>
      </w:r>
      <w:r w:rsidR="00457A32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De igual manera</w:t>
      </w:r>
      <w:r w:rsidR="00FB6AC5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,</w:t>
      </w:r>
      <w:r w:rsidR="008F2C5A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 xml:space="preserve"> s</w:t>
      </w:r>
      <w:r w:rsidR="00E22FBB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ometerá</w:t>
      </w:r>
      <w:r w:rsidR="008F2C5A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un </w:t>
      </w:r>
      <w:r w:rsidR="00880507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informe final </w:t>
      </w:r>
      <w:r w:rsidR="002F20CC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d</w:t>
      </w:r>
      <w:r w:rsidR="00953866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urante</w:t>
      </w:r>
      <w:r w:rsidR="00CB4E72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la </w:t>
      </w:r>
      <w:r w:rsidR="00E22FBB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V</w:t>
      </w:r>
      <w:r w:rsidR="00CB4E72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igésima Asamblea Legislativa,</w:t>
      </w:r>
      <w:r w:rsidR="00C53FE6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 </w:t>
      </w:r>
      <w:r w:rsidR="002F20CC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 xml:space="preserve">que </w:t>
      </w:r>
      <w:r w:rsidR="00880507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incluirá recomendaciones legislativas o administrativas específicas que puedan implementarse para mejorar los reglamentos municipales y su puesta en práctica</w:t>
      </w:r>
      <w:r w:rsidR="00B70E28" w:rsidRPr="00896105">
        <w:rPr>
          <w:rFonts w:ascii="Book Antiqua" w:eastAsia="Times New Roman" w:hAnsi="Book Antiqua" w:cs="Times New Roman"/>
          <w:bCs/>
          <w:sz w:val="24"/>
          <w:szCs w:val="20"/>
          <w:lang w:val="es-MX"/>
        </w:rPr>
        <w:t>.</w:t>
      </w:r>
    </w:p>
    <w:p w14:paraId="0A6A86E2" w14:textId="260FEC34" w:rsidR="00FE47EF" w:rsidRPr="00896105" w:rsidRDefault="001645DF" w:rsidP="00147F54">
      <w:pPr>
        <w:spacing w:after="0" w:line="480" w:lineRule="auto"/>
        <w:ind w:firstLine="567"/>
        <w:jc w:val="both"/>
        <w:rPr>
          <w:rFonts w:ascii="Book Antiqua" w:eastAsia="Times New Roman" w:hAnsi="Book Antiqua" w:cs="Times New Roman"/>
          <w:sz w:val="24"/>
          <w:szCs w:val="20"/>
          <w:lang w:val="es-PR"/>
        </w:rPr>
      </w:pPr>
      <w:r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Sección 4.-</w:t>
      </w:r>
      <w:r w:rsidR="00E057F4" w:rsidRPr="00896105">
        <w:rPr>
          <w:rFonts w:ascii="Book Antiqua" w:eastAsia="Times New Roman" w:hAnsi="Book Antiqua" w:cs="Times New Roman"/>
          <w:sz w:val="24"/>
          <w:szCs w:val="20"/>
          <w:lang w:val="es-PR"/>
        </w:rPr>
        <w:t>Esta Resolución comenzará a regir inmediatamente después de su aprobación.</w:t>
      </w:r>
    </w:p>
    <w:sectPr w:rsidR="00FE47EF" w:rsidRPr="00896105" w:rsidSect="00883104">
      <w:headerReference w:type="default" r:id="rId12"/>
      <w:type w:val="continuous"/>
      <w:pgSz w:w="12240" w:h="15840" w:code="1"/>
      <w:pgMar w:top="1440" w:right="1440" w:bottom="1440" w:left="1440" w:header="720" w:footer="720" w:gutter="0"/>
      <w:lnNumType w:countBy="1"/>
      <w:pgNumType w:start="2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21C9D" w14:textId="77777777" w:rsidR="002B59C7" w:rsidRDefault="002B59C7">
      <w:pPr>
        <w:spacing w:after="0" w:line="240" w:lineRule="auto"/>
      </w:pPr>
      <w:r>
        <w:separator/>
      </w:r>
    </w:p>
  </w:endnote>
  <w:endnote w:type="continuationSeparator" w:id="0">
    <w:p w14:paraId="4DDF3907" w14:textId="77777777" w:rsidR="002B59C7" w:rsidRDefault="002B5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9A992" w14:textId="77777777" w:rsidR="002B59C7" w:rsidRDefault="002B59C7">
      <w:pPr>
        <w:spacing w:after="0" w:line="240" w:lineRule="auto"/>
      </w:pPr>
      <w:r>
        <w:separator/>
      </w:r>
    </w:p>
  </w:footnote>
  <w:footnote w:type="continuationSeparator" w:id="0">
    <w:p w14:paraId="38195340" w14:textId="77777777" w:rsidR="002B59C7" w:rsidRDefault="002B59C7">
      <w:pPr>
        <w:spacing w:after="0" w:line="240" w:lineRule="auto"/>
      </w:pPr>
      <w:r>
        <w:continuationSeparator/>
      </w:r>
    </w:p>
  </w:footnote>
  <w:footnote w:id="1">
    <w:p w14:paraId="795E71ED" w14:textId="3DEFE2E2" w:rsidR="00F11B70" w:rsidRPr="00990707" w:rsidRDefault="00F11B70">
      <w:pPr>
        <w:pStyle w:val="FootnoteText"/>
        <w:rPr>
          <w:lang w:val="es-ES"/>
        </w:rPr>
      </w:pPr>
      <w:r>
        <w:rPr>
          <w:rStyle w:val="FootnoteReference"/>
        </w:rPr>
        <w:footnoteRef/>
      </w:r>
      <w:r w:rsidRPr="00990707">
        <w:rPr>
          <w:lang w:val="es-ES"/>
        </w:rPr>
        <w:t xml:space="preserve"> </w:t>
      </w:r>
      <w:r>
        <w:rPr>
          <w:lang w:val="es-ES"/>
        </w:rPr>
        <w:t>Véase, Arts. 4.012A, 4.015, 4.020.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63962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A9B8B7" w14:textId="52101A4A" w:rsidR="00F11B70" w:rsidRDefault="00F11B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5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B408FF" w14:textId="77777777" w:rsidR="00F11B70" w:rsidRDefault="00F11B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C655E" w14:textId="54DADF02" w:rsidR="00F11B70" w:rsidRPr="002E4F88" w:rsidRDefault="00F11B70" w:rsidP="002E4F88">
    <w:pPr>
      <w:pStyle w:val="Header"/>
      <w:jc w:val="center"/>
      <w:rPr>
        <w:rFonts w:ascii="Book Antiqua" w:hAnsi="Book Antiqu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85677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B1C2CD" w14:textId="112E66BF" w:rsidR="00F11B70" w:rsidRDefault="00F11B7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8050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BACE310" w14:textId="27ADF233" w:rsidR="00F11B70" w:rsidRPr="00883104" w:rsidRDefault="00F11B70" w:rsidP="0088310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54"/>
    <w:rsid w:val="000123D0"/>
    <w:rsid w:val="0001587C"/>
    <w:rsid w:val="000240E7"/>
    <w:rsid w:val="00041E11"/>
    <w:rsid w:val="00050FF9"/>
    <w:rsid w:val="00052199"/>
    <w:rsid w:val="000548C6"/>
    <w:rsid w:val="00080447"/>
    <w:rsid w:val="000A5E62"/>
    <w:rsid w:val="000C3F6F"/>
    <w:rsid w:val="000E7AD8"/>
    <w:rsid w:val="00103509"/>
    <w:rsid w:val="00136E01"/>
    <w:rsid w:val="00147F54"/>
    <w:rsid w:val="001610A4"/>
    <w:rsid w:val="001645DF"/>
    <w:rsid w:val="0018051D"/>
    <w:rsid w:val="00183958"/>
    <w:rsid w:val="001A74DA"/>
    <w:rsid w:val="001B0554"/>
    <w:rsid w:val="001C232B"/>
    <w:rsid w:val="001E06C6"/>
    <w:rsid w:val="001E1651"/>
    <w:rsid w:val="001E6A27"/>
    <w:rsid w:val="00203817"/>
    <w:rsid w:val="0022176C"/>
    <w:rsid w:val="00230A23"/>
    <w:rsid w:val="00231CFA"/>
    <w:rsid w:val="00233D15"/>
    <w:rsid w:val="002423D8"/>
    <w:rsid w:val="002506BA"/>
    <w:rsid w:val="00277123"/>
    <w:rsid w:val="00284C52"/>
    <w:rsid w:val="002854AE"/>
    <w:rsid w:val="00290A23"/>
    <w:rsid w:val="002A11B2"/>
    <w:rsid w:val="002B5606"/>
    <w:rsid w:val="002B59C7"/>
    <w:rsid w:val="002C0704"/>
    <w:rsid w:val="002D3F33"/>
    <w:rsid w:val="002D795B"/>
    <w:rsid w:val="002E4F88"/>
    <w:rsid w:val="002F0D95"/>
    <w:rsid w:val="002F20CC"/>
    <w:rsid w:val="002F6EA8"/>
    <w:rsid w:val="00310041"/>
    <w:rsid w:val="00321CAA"/>
    <w:rsid w:val="00345C7D"/>
    <w:rsid w:val="00384AF7"/>
    <w:rsid w:val="00387AC3"/>
    <w:rsid w:val="00394AA7"/>
    <w:rsid w:val="003A3C21"/>
    <w:rsid w:val="003A3F99"/>
    <w:rsid w:val="003A5631"/>
    <w:rsid w:val="003D2728"/>
    <w:rsid w:val="003D4001"/>
    <w:rsid w:val="003D56A4"/>
    <w:rsid w:val="003D7B86"/>
    <w:rsid w:val="003E338D"/>
    <w:rsid w:val="004065EF"/>
    <w:rsid w:val="004105B1"/>
    <w:rsid w:val="004233D6"/>
    <w:rsid w:val="00423871"/>
    <w:rsid w:val="00423893"/>
    <w:rsid w:val="00426928"/>
    <w:rsid w:val="00445733"/>
    <w:rsid w:val="00454769"/>
    <w:rsid w:val="00457A32"/>
    <w:rsid w:val="00475070"/>
    <w:rsid w:val="0049713B"/>
    <w:rsid w:val="004C7054"/>
    <w:rsid w:val="004D1B9C"/>
    <w:rsid w:val="00521AE2"/>
    <w:rsid w:val="00526CEA"/>
    <w:rsid w:val="00526EFA"/>
    <w:rsid w:val="00544BF6"/>
    <w:rsid w:val="0054505E"/>
    <w:rsid w:val="00582A31"/>
    <w:rsid w:val="00596351"/>
    <w:rsid w:val="005A7C41"/>
    <w:rsid w:val="005C45E1"/>
    <w:rsid w:val="005E7634"/>
    <w:rsid w:val="005F2776"/>
    <w:rsid w:val="00605E12"/>
    <w:rsid w:val="00663D75"/>
    <w:rsid w:val="00677998"/>
    <w:rsid w:val="006B5BF6"/>
    <w:rsid w:val="006B780E"/>
    <w:rsid w:val="006E78C7"/>
    <w:rsid w:val="00714F2A"/>
    <w:rsid w:val="00732C21"/>
    <w:rsid w:val="007358DC"/>
    <w:rsid w:val="007406AE"/>
    <w:rsid w:val="00740EB9"/>
    <w:rsid w:val="007458A2"/>
    <w:rsid w:val="00751C58"/>
    <w:rsid w:val="00752D07"/>
    <w:rsid w:val="00766C34"/>
    <w:rsid w:val="00770F1B"/>
    <w:rsid w:val="0077202A"/>
    <w:rsid w:val="00775E87"/>
    <w:rsid w:val="00790088"/>
    <w:rsid w:val="00793863"/>
    <w:rsid w:val="007A2D27"/>
    <w:rsid w:val="007B71A3"/>
    <w:rsid w:val="007C1041"/>
    <w:rsid w:val="007E00D9"/>
    <w:rsid w:val="007E7A15"/>
    <w:rsid w:val="007F671B"/>
    <w:rsid w:val="0082008D"/>
    <w:rsid w:val="00823C9D"/>
    <w:rsid w:val="00830A55"/>
    <w:rsid w:val="00833932"/>
    <w:rsid w:val="008409D6"/>
    <w:rsid w:val="00880507"/>
    <w:rsid w:val="00883104"/>
    <w:rsid w:val="00893801"/>
    <w:rsid w:val="00896105"/>
    <w:rsid w:val="008B3F68"/>
    <w:rsid w:val="008D2000"/>
    <w:rsid w:val="008D306C"/>
    <w:rsid w:val="008D7FE8"/>
    <w:rsid w:val="008E0155"/>
    <w:rsid w:val="008E6DA1"/>
    <w:rsid w:val="008F2C5A"/>
    <w:rsid w:val="008F3D2A"/>
    <w:rsid w:val="009125CA"/>
    <w:rsid w:val="00933068"/>
    <w:rsid w:val="00933A16"/>
    <w:rsid w:val="00952D56"/>
    <w:rsid w:val="00953866"/>
    <w:rsid w:val="00970A8A"/>
    <w:rsid w:val="00972932"/>
    <w:rsid w:val="009743BA"/>
    <w:rsid w:val="00990707"/>
    <w:rsid w:val="009A126B"/>
    <w:rsid w:val="009D552A"/>
    <w:rsid w:val="009E4139"/>
    <w:rsid w:val="009E7856"/>
    <w:rsid w:val="009F31B7"/>
    <w:rsid w:val="00A102F3"/>
    <w:rsid w:val="00A1569E"/>
    <w:rsid w:val="00A26FD5"/>
    <w:rsid w:val="00A27390"/>
    <w:rsid w:val="00A30284"/>
    <w:rsid w:val="00A50012"/>
    <w:rsid w:val="00A532E5"/>
    <w:rsid w:val="00A61A8C"/>
    <w:rsid w:val="00A65065"/>
    <w:rsid w:val="00A74474"/>
    <w:rsid w:val="00A83ADE"/>
    <w:rsid w:val="00A961E8"/>
    <w:rsid w:val="00AA56F4"/>
    <w:rsid w:val="00AC1AA4"/>
    <w:rsid w:val="00AC1ECF"/>
    <w:rsid w:val="00AC3F7F"/>
    <w:rsid w:val="00AC55C6"/>
    <w:rsid w:val="00AD2166"/>
    <w:rsid w:val="00AF61A6"/>
    <w:rsid w:val="00B34C6D"/>
    <w:rsid w:val="00B412DF"/>
    <w:rsid w:val="00B70E28"/>
    <w:rsid w:val="00B72D87"/>
    <w:rsid w:val="00B7728E"/>
    <w:rsid w:val="00B8776A"/>
    <w:rsid w:val="00BE3F1E"/>
    <w:rsid w:val="00C10064"/>
    <w:rsid w:val="00C15853"/>
    <w:rsid w:val="00C34940"/>
    <w:rsid w:val="00C36427"/>
    <w:rsid w:val="00C53FE6"/>
    <w:rsid w:val="00C61EF6"/>
    <w:rsid w:val="00C91B70"/>
    <w:rsid w:val="00C925D4"/>
    <w:rsid w:val="00CA7975"/>
    <w:rsid w:val="00CB4E72"/>
    <w:rsid w:val="00CC03FD"/>
    <w:rsid w:val="00CD4A7A"/>
    <w:rsid w:val="00CD4FA7"/>
    <w:rsid w:val="00CF30A9"/>
    <w:rsid w:val="00D077A0"/>
    <w:rsid w:val="00D15664"/>
    <w:rsid w:val="00D16143"/>
    <w:rsid w:val="00D16DB4"/>
    <w:rsid w:val="00D342F6"/>
    <w:rsid w:val="00D5147E"/>
    <w:rsid w:val="00D6218D"/>
    <w:rsid w:val="00D926F2"/>
    <w:rsid w:val="00DA2F86"/>
    <w:rsid w:val="00DC2446"/>
    <w:rsid w:val="00DC2FA3"/>
    <w:rsid w:val="00DE1923"/>
    <w:rsid w:val="00DE1B6D"/>
    <w:rsid w:val="00DF3E7D"/>
    <w:rsid w:val="00E057F4"/>
    <w:rsid w:val="00E06E2D"/>
    <w:rsid w:val="00E1161A"/>
    <w:rsid w:val="00E22FBB"/>
    <w:rsid w:val="00E3665C"/>
    <w:rsid w:val="00E5621A"/>
    <w:rsid w:val="00E8578D"/>
    <w:rsid w:val="00EA5FB1"/>
    <w:rsid w:val="00EB765D"/>
    <w:rsid w:val="00EC2914"/>
    <w:rsid w:val="00EE6765"/>
    <w:rsid w:val="00F11B70"/>
    <w:rsid w:val="00F16D7B"/>
    <w:rsid w:val="00F24DAB"/>
    <w:rsid w:val="00F411C1"/>
    <w:rsid w:val="00F41F36"/>
    <w:rsid w:val="00F648B8"/>
    <w:rsid w:val="00F670F0"/>
    <w:rsid w:val="00F73EFB"/>
    <w:rsid w:val="00F7534D"/>
    <w:rsid w:val="00F83EEA"/>
    <w:rsid w:val="00F92859"/>
    <w:rsid w:val="00FA57A9"/>
    <w:rsid w:val="00FB03FE"/>
    <w:rsid w:val="00FB6AC5"/>
    <w:rsid w:val="00FD1765"/>
    <w:rsid w:val="00FE47EF"/>
    <w:rsid w:val="00FF0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FCED1D4"/>
  <w15:docId w15:val="{178CF90F-CCDA-4828-807E-0176F275C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57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05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554"/>
  </w:style>
  <w:style w:type="character" w:styleId="PageNumber">
    <w:name w:val="page number"/>
    <w:basedOn w:val="DefaultParagraphFont"/>
    <w:rsid w:val="001B0554"/>
  </w:style>
  <w:style w:type="character" w:styleId="LineNumber">
    <w:name w:val="line number"/>
    <w:basedOn w:val="DefaultParagraphFont"/>
    <w:uiPriority w:val="99"/>
    <w:semiHidden/>
    <w:unhideWhenUsed/>
    <w:rsid w:val="001B0554"/>
  </w:style>
  <w:style w:type="character" w:styleId="Hyperlink">
    <w:name w:val="Hyperlink"/>
    <w:uiPriority w:val="99"/>
    <w:unhideWhenUsed/>
    <w:rsid w:val="00E057F4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E057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57F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E057F4"/>
    <w:rPr>
      <w:vertAlign w:val="superscript"/>
    </w:rPr>
  </w:style>
  <w:style w:type="paragraph" w:styleId="NoSpacing">
    <w:name w:val="No Spacing"/>
    <w:uiPriority w:val="99"/>
    <w:qFormat/>
    <w:rsid w:val="003D2728"/>
    <w:pPr>
      <w:spacing w:after="0" w:line="240" w:lineRule="auto"/>
    </w:pPr>
    <w:rPr>
      <w:rFonts w:ascii="Calibri" w:eastAsia="Times New Roman" w:hAnsi="Calibri" w:cs="Times New Roman"/>
      <w:lang w:val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928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E0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49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7AD6582FE43B4F838022480ADF25EB" ma:contentTypeVersion="5" ma:contentTypeDescription="Create a new document." ma:contentTypeScope="" ma:versionID="cb9ea921b628a6048c540b8edf591dde">
  <xsd:schema xmlns:xsd="http://www.w3.org/2001/XMLSchema" xmlns:xs="http://www.w3.org/2001/XMLSchema" xmlns:p="http://schemas.microsoft.com/office/2006/metadata/properties" xmlns:ns3="76563e4b-5be8-45b3-97dd-2e81a4e52639" targetNamespace="http://schemas.microsoft.com/office/2006/metadata/properties" ma:root="true" ma:fieldsID="ef7b6eb750369bf66623532f61a744cb" ns3:_="">
    <xsd:import namespace="76563e4b-5be8-45b3-97dd-2e81a4e52639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563e4b-5be8-45b3-97dd-2e81a4e52639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53D963-8384-4F54-B1AE-8485CBF3F2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563e4b-5be8-45b3-97dd-2e81a4e526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657932-B983-4F48-966F-F177CE95DB1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1059046-5165-4E2C-8859-2FF167A412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72ABEBB-D5B9-463F-8696-123D4D11BA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Priscila</dc:creator>
  <cp:keywords/>
  <dc:description/>
  <cp:lastModifiedBy>Kristal Rivera Sanchez</cp:lastModifiedBy>
  <cp:revision>7</cp:revision>
  <cp:lastPrinted>2025-01-23T19:55:00Z</cp:lastPrinted>
  <dcterms:created xsi:type="dcterms:W3CDTF">2025-01-22T20:31:00Z</dcterms:created>
  <dcterms:modified xsi:type="dcterms:W3CDTF">2025-02-03T16:28:00Z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0x010100A37AD6582FE43B4F838022480ADF25EB</vt:lpwstr>
  </property>
</Properties>
</file>