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A1FAD" w14:textId="26A24009" w:rsidR="001E06C6" w:rsidRPr="008F3D2A" w:rsidRDefault="00080447" w:rsidP="001610A4">
      <w:pPr>
        <w:spacing w:after="0" w:line="240" w:lineRule="auto"/>
        <w:jc w:val="center"/>
        <w:rPr>
          <w:rFonts w:ascii="Book Antiqua" w:eastAsia="MS Mincho" w:hAnsi="Book Antiqua"/>
          <w:sz w:val="28"/>
          <w:szCs w:val="28"/>
          <w:lang w:val="es-ES_tradnl"/>
        </w:rPr>
      </w:pPr>
      <w:r w:rsidRPr="008F3D2A">
        <w:rPr>
          <w:rFonts w:ascii="Book Antiqua" w:eastAsia="MS Mincho" w:hAnsi="Book Antiqua" w:cs="Arial"/>
          <w:sz w:val="28"/>
          <w:szCs w:val="28"/>
          <w:lang w:val="es-ES_tradnl"/>
        </w:rPr>
        <w:t>GOBIERNO</w:t>
      </w:r>
      <w:r w:rsidRPr="008F3D2A">
        <w:rPr>
          <w:rFonts w:ascii="Book Antiqua" w:eastAsia="MS Mincho" w:hAnsi="Book Antiqua" w:cs="Arial"/>
          <w:b/>
          <w:bCs/>
          <w:sz w:val="28"/>
          <w:szCs w:val="28"/>
          <w:lang w:val="es-ES_tradnl"/>
        </w:rPr>
        <w:t xml:space="preserve"> </w:t>
      </w:r>
      <w:r w:rsidR="001E06C6" w:rsidRPr="008F3D2A">
        <w:rPr>
          <w:rFonts w:ascii="Book Antiqua" w:eastAsia="MS Mincho" w:hAnsi="Book Antiqua"/>
          <w:sz w:val="28"/>
          <w:szCs w:val="28"/>
          <w:lang w:val="es-ES_tradnl"/>
        </w:rPr>
        <w:t>DE PUERTO RICO</w:t>
      </w:r>
    </w:p>
    <w:p w14:paraId="268E26B0" w14:textId="664216C5" w:rsidR="001E06C6" w:rsidRPr="001E06C6" w:rsidRDefault="001E06C6" w:rsidP="001E06C6">
      <w:pPr>
        <w:spacing w:after="0" w:line="240" w:lineRule="auto"/>
        <w:rPr>
          <w:sz w:val="24"/>
          <w:szCs w:val="24"/>
          <w:lang w:val="es-PR"/>
        </w:rPr>
      </w:pPr>
    </w:p>
    <w:p w14:paraId="6CA48719" w14:textId="4E7B59F6" w:rsidR="00E057F4" w:rsidRPr="0086134A" w:rsidRDefault="00147F54" w:rsidP="00E057F4">
      <w:pPr>
        <w:tabs>
          <w:tab w:val="left" w:pos="648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sz w:val="24"/>
          <w:szCs w:val="20"/>
          <w:lang w:val="es-PR"/>
        </w:rPr>
        <w:t>20ma.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Asamblea                                                                                               </w:t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>1ra.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vertAlign w:val="superscript"/>
          <w:lang w:val="es-PR"/>
        </w:rPr>
        <w:t xml:space="preserve"> 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>Sesión</w:t>
      </w:r>
    </w:p>
    <w:p w14:paraId="7EDFC350" w14:textId="778534C3" w:rsidR="00E057F4" w:rsidRPr="0086134A" w:rsidRDefault="00E057F4" w:rsidP="00E057F4">
      <w:pPr>
        <w:tabs>
          <w:tab w:val="left" w:pos="648"/>
          <w:tab w:val="left" w:pos="7290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        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</w:r>
      <w:r w:rsidR="00147F54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Legislativa                                        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  <w:t xml:space="preserve">        </w:t>
      </w:r>
      <w:r w:rsidR="00147F54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>Ordinaria</w:t>
      </w:r>
    </w:p>
    <w:p w14:paraId="6954D05E" w14:textId="77777777" w:rsidR="00E057F4" w:rsidRPr="0086134A" w:rsidRDefault="00E057F4" w:rsidP="00E057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s-PR"/>
        </w:rPr>
      </w:pPr>
    </w:p>
    <w:p w14:paraId="75CA8D2C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b/>
          <w:sz w:val="36"/>
          <w:szCs w:val="20"/>
          <w:lang w:val="es-PR"/>
        </w:rPr>
        <w:t>CÁMARA DE REPRESENTANTES</w:t>
      </w:r>
    </w:p>
    <w:p w14:paraId="7696C7D1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PR"/>
        </w:rPr>
      </w:pPr>
    </w:p>
    <w:p w14:paraId="117CA06E" w14:textId="52ABC8CB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b/>
          <w:sz w:val="52"/>
          <w:szCs w:val="20"/>
          <w:lang w:val="es-PR"/>
        </w:rPr>
        <w:t>R. de la C.</w:t>
      </w:r>
      <w:r w:rsidR="000123D0">
        <w:rPr>
          <w:rFonts w:ascii="Book Antiqua" w:eastAsia="Times New Roman" w:hAnsi="Book Antiqua" w:cs="Times New Roman"/>
          <w:b/>
          <w:sz w:val="52"/>
          <w:szCs w:val="20"/>
          <w:lang w:val="es-PR"/>
        </w:rPr>
        <w:t xml:space="preserve"> </w:t>
      </w:r>
      <w:r w:rsidR="00A961E8">
        <w:rPr>
          <w:rFonts w:ascii="Book Antiqua" w:eastAsia="Times New Roman" w:hAnsi="Book Antiqua" w:cs="Times New Roman"/>
          <w:b/>
          <w:sz w:val="52"/>
          <w:szCs w:val="20"/>
          <w:lang w:val="es-PR"/>
        </w:rPr>
        <w:t>45</w:t>
      </w:r>
    </w:p>
    <w:p w14:paraId="7523470B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PR"/>
        </w:rPr>
      </w:pPr>
    </w:p>
    <w:p w14:paraId="65695BD8" w14:textId="74C4397E" w:rsidR="00E057F4" w:rsidRPr="0086134A" w:rsidRDefault="00C34940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sz w:val="24"/>
          <w:szCs w:val="20"/>
          <w:lang w:val="es-PR"/>
        </w:rPr>
        <w:t>1</w:t>
      </w:r>
      <w:r w:rsidR="007E00D9">
        <w:rPr>
          <w:rFonts w:ascii="Book Antiqua" w:eastAsia="Times New Roman" w:hAnsi="Book Antiqua" w:cs="Times New Roman"/>
          <w:sz w:val="24"/>
          <w:szCs w:val="20"/>
          <w:lang w:val="es-PR"/>
        </w:rPr>
        <w:t>3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ENERO DE 202</w:t>
      </w:r>
      <w:r w:rsidR="00605E12">
        <w:rPr>
          <w:rFonts w:ascii="Book Antiqua" w:eastAsia="Times New Roman" w:hAnsi="Book Antiqua" w:cs="Times New Roman"/>
          <w:sz w:val="24"/>
          <w:szCs w:val="20"/>
          <w:lang w:val="es-PR"/>
        </w:rPr>
        <w:t>5</w:t>
      </w:r>
    </w:p>
    <w:p w14:paraId="15F54836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7A0B9CA5" w14:textId="0FD93258" w:rsidR="003D2728" w:rsidRPr="001E06C6" w:rsidRDefault="003D2728" w:rsidP="009743BA">
      <w:pPr>
        <w:pStyle w:val="NoSpacing"/>
        <w:ind w:left="720" w:hanging="720"/>
        <w:jc w:val="center"/>
        <w:rPr>
          <w:rFonts w:ascii="Book Antiqua" w:hAnsi="Book Antiqua"/>
          <w:i/>
          <w:sz w:val="24"/>
          <w:szCs w:val="24"/>
        </w:rPr>
      </w:pPr>
      <w:r w:rsidRPr="001E06C6">
        <w:rPr>
          <w:rFonts w:ascii="Book Antiqua" w:hAnsi="Book Antiqua"/>
          <w:sz w:val="24"/>
        </w:rPr>
        <w:t>Presentada por la representante</w:t>
      </w:r>
      <w:r w:rsidRPr="001E06C6">
        <w:rPr>
          <w:rFonts w:ascii="Book Antiqua" w:hAnsi="Book Antiqua"/>
          <w:i/>
          <w:sz w:val="24"/>
        </w:rPr>
        <w:t xml:space="preserve"> </w:t>
      </w:r>
      <w:r w:rsidR="00C34940">
        <w:rPr>
          <w:rFonts w:ascii="Book Antiqua" w:hAnsi="Book Antiqua"/>
          <w:i/>
          <w:sz w:val="24"/>
          <w:szCs w:val="24"/>
        </w:rPr>
        <w:t>Martínez Vázquez</w:t>
      </w:r>
    </w:p>
    <w:p w14:paraId="7E3BC9AC" w14:textId="77777777" w:rsidR="003D2728" w:rsidRDefault="003D2728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0631477F" w14:textId="17A4D391" w:rsidR="00E057F4" w:rsidRPr="00D16DB4" w:rsidRDefault="00D16DB4" w:rsidP="003D2728">
      <w:pPr>
        <w:spacing w:after="0" w:line="240" w:lineRule="auto"/>
        <w:jc w:val="center"/>
        <w:rPr>
          <w:rFonts w:ascii="Book Antiqua" w:eastAsia="Times New Roman" w:hAnsi="Book Antiqua" w:cs="Times New Roman"/>
          <w:sz w:val="28"/>
          <w:szCs w:val="20"/>
          <w:lang w:val="es-PR"/>
        </w:rPr>
      </w:pPr>
      <w:r w:rsidRPr="00D16DB4">
        <w:rPr>
          <w:rFonts w:ascii="Book Antiqua" w:hAnsi="Book Antiqua"/>
          <w:sz w:val="24"/>
          <w:lang w:val="es-ES_tradnl"/>
        </w:rPr>
        <w:t>Referida a la Comisión de</w:t>
      </w:r>
      <w:r w:rsidR="009743BA">
        <w:rPr>
          <w:rFonts w:ascii="Book Antiqua" w:hAnsi="Book Antiqua"/>
          <w:sz w:val="24"/>
          <w:lang w:val="es-ES_tradnl"/>
        </w:rPr>
        <w:t xml:space="preserve"> </w:t>
      </w:r>
      <w:r w:rsidR="00147F54">
        <w:rPr>
          <w:rFonts w:ascii="Book Antiqua" w:hAnsi="Book Antiqua"/>
          <w:sz w:val="24"/>
          <w:lang w:val="es-ES_tradnl"/>
        </w:rPr>
        <w:t>Asuntos Internos</w:t>
      </w:r>
    </w:p>
    <w:p w14:paraId="670994BF" w14:textId="77777777" w:rsidR="003D2728" w:rsidRPr="0086134A" w:rsidRDefault="003D2728" w:rsidP="003D2728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2B9089E9" w14:textId="77777777" w:rsidR="00E057F4" w:rsidRPr="00D16DB4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18"/>
          <w:lang w:val="es-PR"/>
        </w:rPr>
      </w:pPr>
      <w:r w:rsidRPr="00D16DB4">
        <w:rPr>
          <w:rFonts w:ascii="Book Antiqua" w:eastAsia="Times New Roman" w:hAnsi="Book Antiqua" w:cs="Times New Roman"/>
          <w:b/>
          <w:sz w:val="28"/>
          <w:szCs w:val="18"/>
          <w:lang w:val="es-PR"/>
        </w:rPr>
        <w:t xml:space="preserve">RESOLUCIÓN </w:t>
      </w:r>
    </w:p>
    <w:p w14:paraId="63078104" w14:textId="77777777" w:rsidR="00E057F4" w:rsidRPr="0086134A" w:rsidRDefault="00E057F4" w:rsidP="00E057F4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132DA920" w14:textId="43B6A561" w:rsidR="00E5621A" w:rsidRDefault="00E057F4" w:rsidP="00147F54">
      <w:pPr>
        <w:spacing w:after="0" w:line="240" w:lineRule="auto"/>
        <w:ind w:left="567" w:hanging="567"/>
        <w:jc w:val="both"/>
        <w:rPr>
          <w:rFonts w:ascii="Book Antiqua" w:hAnsi="Book Antiqua"/>
          <w:sz w:val="24"/>
          <w:szCs w:val="24"/>
          <w:lang w:val="es-PR"/>
        </w:rPr>
      </w:pP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>Para ordenar a la Comisión de Vivienda y Desarrollo Urbano de la Cámara de Representantes</w:t>
      </w:r>
      <w:r w:rsidR="005F2776"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del </w:t>
      </w:r>
      <w:r w:rsidR="00080447">
        <w:rPr>
          <w:rFonts w:ascii="Book Antiqua" w:eastAsia="Times New Roman" w:hAnsi="Book Antiqua" w:cs="Times New Roman"/>
          <w:sz w:val="24"/>
          <w:szCs w:val="20"/>
          <w:lang w:val="es-PR"/>
        </w:rPr>
        <w:t>Gobierno</w:t>
      </w:r>
      <w:r w:rsidR="005F2776"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Puerto Rico</w:t>
      </w:r>
      <w:r w:rsidR="00A65065">
        <w:rPr>
          <w:rFonts w:ascii="Book Antiqua" w:eastAsia="Times New Roman" w:hAnsi="Book Antiqua" w:cs="Times New Roman"/>
          <w:sz w:val="24"/>
          <w:szCs w:val="20"/>
          <w:lang w:val="es-PR"/>
        </w:rPr>
        <w:t>,</w:t>
      </w: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775E87" w:rsidRPr="001E06C6">
        <w:rPr>
          <w:rFonts w:ascii="Book Antiqua" w:hAnsi="Book Antiqua"/>
          <w:sz w:val="24"/>
          <w:szCs w:val="24"/>
          <w:lang w:val="es-PR"/>
        </w:rPr>
        <w:t>realizar una investigación</w:t>
      </w:r>
      <w:r w:rsidR="002F0D95" w:rsidRPr="001E06C6">
        <w:rPr>
          <w:rFonts w:ascii="Book Antiqua" w:hAnsi="Book Antiqua"/>
          <w:sz w:val="24"/>
          <w:szCs w:val="24"/>
          <w:lang w:val="es-PR"/>
        </w:rPr>
        <w:t xml:space="preserve"> exhaustiva </w:t>
      </w:r>
      <w:r w:rsidR="00775E87" w:rsidRPr="001E06C6">
        <w:rPr>
          <w:rFonts w:ascii="Book Antiqua" w:hAnsi="Book Antiqua"/>
          <w:sz w:val="24"/>
          <w:szCs w:val="24"/>
          <w:lang w:val="es-PR"/>
        </w:rPr>
        <w:t>sobre</w:t>
      </w:r>
      <w:r w:rsidRPr="001E06C6">
        <w:rPr>
          <w:rFonts w:ascii="Book Antiqua" w:hAnsi="Book Antiqua"/>
          <w:lang w:val="es-PR"/>
        </w:rPr>
        <w:t xml:space="preserve"> </w:t>
      </w:r>
      <w:r w:rsidRPr="001E06C6">
        <w:rPr>
          <w:rFonts w:ascii="Book Antiqua" w:hAnsi="Book Antiqua"/>
          <w:sz w:val="24"/>
          <w:szCs w:val="24"/>
          <w:lang w:val="es-PR"/>
        </w:rPr>
        <w:t>los</w:t>
      </w:r>
      <w:r w:rsidR="00521AE2">
        <w:rPr>
          <w:rFonts w:ascii="Book Antiqua" w:hAnsi="Book Antiqua"/>
          <w:sz w:val="24"/>
          <w:szCs w:val="24"/>
          <w:lang w:val="es-PR"/>
        </w:rPr>
        <w:t xml:space="preserve"> reglamentos internos </w:t>
      </w:r>
      <w:r w:rsidR="00284C52">
        <w:rPr>
          <w:rFonts w:ascii="Book Antiqua" w:hAnsi="Book Antiqua"/>
          <w:sz w:val="24"/>
          <w:szCs w:val="24"/>
          <w:lang w:val="es-PR"/>
        </w:rPr>
        <w:t>municipales</w:t>
      </w:r>
      <w:r w:rsidR="008D306C">
        <w:rPr>
          <w:rFonts w:ascii="Book Antiqua" w:hAnsi="Book Antiqua"/>
          <w:sz w:val="24"/>
          <w:szCs w:val="24"/>
          <w:lang w:val="es-PR"/>
        </w:rPr>
        <w:t xml:space="preserve"> creados mediante ordenanza</w:t>
      </w:r>
      <w:r w:rsidR="00284C52">
        <w:rPr>
          <w:rFonts w:ascii="Book Antiqua" w:hAnsi="Book Antiqua"/>
          <w:sz w:val="24"/>
          <w:szCs w:val="24"/>
          <w:lang w:val="es-PR"/>
        </w:rPr>
        <w:t xml:space="preserve"> sobre el </w:t>
      </w:r>
      <w:r w:rsidR="007E7A15">
        <w:rPr>
          <w:rFonts w:ascii="Book Antiqua" w:hAnsi="Book Antiqua"/>
          <w:sz w:val="24"/>
          <w:szCs w:val="24"/>
          <w:lang w:val="es-PR"/>
        </w:rPr>
        <w:t>m</w:t>
      </w:r>
      <w:r w:rsidR="00284C52">
        <w:rPr>
          <w:rFonts w:ascii="Book Antiqua" w:hAnsi="Book Antiqua"/>
          <w:sz w:val="24"/>
          <w:szCs w:val="24"/>
          <w:lang w:val="es-PR"/>
        </w:rPr>
        <w:t xml:space="preserve">anejo de </w:t>
      </w:r>
      <w:r w:rsidR="007E7A15">
        <w:rPr>
          <w:rFonts w:ascii="Book Antiqua" w:hAnsi="Book Antiqua"/>
          <w:sz w:val="24"/>
          <w:szCs w:val="24"/>
          <w:lang w:val="es-PR"/>
        </w:rPr>
        <w:t>e</w:t>
      </w:r>
      <w:r w:rsidR="00284C52">
        <w:rPr>
          <w:rFonts w:ascii="Book Antiqua" w:hAnsi="Book Antiqua"/>
          <w:sz w:val="24"/>
          <w:szCs w:val="24"/>
          <w:lang w:val="es-PR"/>
        </w:rPr>
        <w:t xml:space="preserve">storbos </w:t>
      </w:r>
      <w:r w:rsidR="007E7A15">
        <w:rPr>
          <w:rFonts w:ascii="Book Antiqua" w:hAnsi="Book Antiqua"/>
          <w:sz w:val="24"/>
          <w:szCs w:val="24"/>
          <w:lang w:val="es-PR"/>
        </w:rPr>
        <w:t>p</w:t>
      </w:r>
      <w:r w:rsidR="00284C52">
        <w:rPr>
          <w:rFonts w:ascii="Book Antiqua" w:hAnsi="Book Antiqua"/>
          <w:sz w:val="24"/>
          <w:szCs w:val="24"/>
          <w:lang w:val="es-PR"/>
        </w:rPr>
        <w:t xml:space="preserve">úblicos, </w:t>
      </w:r>
      <w:r w:rsidR="00521AE2">
        <w:rPr>
          <w:rFonts w:ascii="Book Antiqua" w:hAnsi="Book Antiqua"/>
          <w:sz w:val="24"/>
          <w:szCs w:val="24"/>
          <w:lang w:val="es-PR"/>
        </w:rPr>
        <w:t>requeridos por la Ley 107-2020,</w:t>
      </w:r>
      <w:r w:rsidR="00284C52">
        <w:rPr>
          <w:rFonts w:ascii="Book Antiqua" w:hAnsi="Book Antiqua"/>
          <w:sz w:val="24"/>
          <w:szCs w:val="24"/>
          <w:lang w:val="es-PR"/>
        </w:rPr>
        <w:t xml:space="preserve"> según enmendada,</w:t>
      </w:r>
      <w:r w:rsidR="00521AE2">
        <w:rPr>
          <w:rFonts w:ascii="Book Antiqua" w:hAnsi="Book Antiqua"/>
          <w:sz w:val="24"/>
          <w:szCs w:val="24"/>
          <w:lang w:val="es-PR"/>
        </w:rPr>
        <w:t xml:space="preserve"> mejor conocida como el </w:t>
      </w:r>
      <w:r w:rsidR="00284C52">
        <w:rPr>
          <w:rFonts w:ascii="Book Antiqua" w:hAnsi="Book Antiqua"/>
          <w:sz w:val="24"/>
          <w:szCs w:val="24"/>
          <w:lang w:val="es-PR"/>
        </w:rPr>
        <w:t>Código</w:t>
      </w:r>
      <w:r w:rsidR="00521AE2">
        <w:rPr>
          <w:rFonts w:ascii="Book Antiqua" w:hAnsi="Book Antiqua"/>
          <w:sz w:val="24"/>
          <w:szCs w:val="24"/>
          <w:lang w:val="es-PR"/>
        </w:rPr>
        <w:t xml:space="preserve"> Municipal de Puerto Rico</w:t>
      </w:r>
      <w:r w:rsidR="00284C52">
        <w:rPr>
          <w:rFonts w:ascii="Book Antiqua" w:hAnsi="Book Antiqua"/>
          <w:sz w:val="24"/>
          <w:szCs w:val="24"/>
          <w:lang w:val="es-PR"/>
        </w:rPr>
        <w:t xml:space="preserve"> </w:t>
      </w:r>
      <w:r w:rsidR="00CD4A7A">
        <w:rPr>
          <w:rFonts w:ascii="Book Antiqua" w:hAnsi="Book Antiqua"/>
          <w:sz w:val="24"/>
          <w:szCs w:val="24"/>
          <w:lang w:val="es-PR"/>
        </w:rPr>
        <w:t>en el Distrito Representativo 21</w:t>
      </w:r>
      <w:r w:rsidR="001E1651">
        <w:rPr>
          <w:rFonts w:ascii="Book Antiqua" w:hAnsi="Book Antiqua"/>
          <w:sz w:val="24"/>
          <w:szCs w:val="24"/>
          <w:lang w:val="es-PR"/>
        </w:rPr>
        <w:t>,</w:t>
      </w:r>
      <w:r w:rsidR="00CD4A7A">
        <w:rPr>
          <w:rFonts w:ascii="Book Antiqua" w:hAnsi="Book Antiqua"/>
          <w:sz w:val="24"/>
          <w:szCs w:val="24"/>
          <w:lang w:val="es-PR"/>
        </w:rPr>
        <w:t xml:space="preserve"> </w:t>
      </w:r>
      <w:bookmarkStart w:id="0" w:name="_Hlk187243410"/>
      <w:r w:rsidR="00CD4A7A">
        <w:rPr>
          <w:rFonts w:ascii="Book Antiqua" w:hAnsi="Book Antiqua"/>
          <w:sz w:val="24"/>
          <w:szCs w:val="24"/>
          <w:lang w:val="es-PR"/>
        </w:rPr>
        <w:t>que comp</w:t>
      </w:r>
      <w:r w:rsidR="00830A55">
        <w:rPr>
          <w:rFonts w:ascii="Book Antiqua" w:hAnsi="Book Antiqua"/>
          <w:sz w:val="24"/>
          <w:szCs w:val="24"/>
          <w:lang w:val="es-PR"/>
        </w:rPr>
        <w:t>rende</w:t>
      </w:r>
      <w:r w:rsidR="00CD4A7A">
        <w:rPr>
          <w:rFonts w:ascii="Book Antiqua" w:hAnsi="Book Antiqua"/>
          <w:sz w:val="24"/>
          <w:szCs w:val="24"/>
          <w:lang w:val="es-PR"/>
        </w:rPr>
        <w:t xml:space="preserve"> los municipios de </w:t>
      </w:r>
      <w:r w:rsidR="00C15853">
        <w:rPr>
          <w:rFonts w:ascii="Book Antiqua" w:hAnsi="Book Antiqua"/>
          <w:sz w:val="24"/>
          <w:szCs w:val="24"/>
          <w:lang w:val="es-PR"/>
        </w:rPr>
        <w:t>Guánica, Lajas, Las Marías, Maricao, Sabana Grande y Yauco,</w:t>
      </w:r>
      <w:r w:rsidR="006E78C7">
        <w:rPr>
          <w:rFonts w:ascii="Book Antiqua" w:hAnsi="Book Antiqua"/>
          <w:sz w:val="24"/>
          <w:szCs w:val="24"/>
          <w:lang w:val="es-PR"/>
        </w:rPr>
        <w:t xml:space="preserve"> </w:t>
      </w:r>
      <w:r w:rsidRPr="001E06C6">
        <w:rPr>
          <w:rFonts w:ascii="Book Antiqua" w:hAnsi="Book Antiqua"/>
          <w:sz w:val="24"/>
          <w:szCs w:val="24"/>
          <w:lang w:val="es-PR"/>
        </w:rPr>
        <w:t xml:space="preserve"> </w:t>
      </w:r>
      <w:r w:rsidR="00752D07">
        <w:rPr>
          <w:rFonts w:ascii="Book Antiqua" w:hAnsi="Book Antiqua"/>
          <w:sz w:val="24"/>
          <w:szCs w:val="24"/>
          <w:lang w:val="es-PR"/>
        </w:rPr>
        <w:t xml:space="preserve">con el </w:t>
      </w:r>
      <w:r w:rsidR="00F41F36">
        <w:rPr>
          <w:rFonts w:ascii="Book Antiqua" w:hAnsi="Book Antiqua"/>
          <w:sz w:val="24"/>
          <w:szCs w:val="24"/>
          <w:lang w:val="es-PR"/>
        </w:rPr>
        <w:t>fin</w:t>
      </w:r>
      <w:r w:rsidR="00752D07">
        <w:rPr>
          <w:rFonts w:ascii="Book Antiqua" w:hAnsi="Book Antiqua"/>
          <w:sz w:val="24"/>
          <w:szCs w:val="24"/>
          <w:lang w:val="es-PR"/>
        </w:rPr>
        <w:t xml:space="preserve"> de</w:t>
      </w:r>
      <w:r w:rsidR="006E78C7">
        <w:rPr>
          <w:rFonts w:ascii="Book Antiqua" w:hAnsi="Book Antiqua"/>
          <w:sz w:val="24"/>
          <w:szCs w:val="24"/>
          <w:lang w:val="es-PR"/>
        </w:rPr>
        <w:t xml:space="preserve"> auscultar qu</w:t>
      </w:r>
      <w:r w:rsidR="00233D15">
        <w:rPr>
          <w:rFonts w:ascii="Book Antiqua" w:hAnsi="Book Antiqua"/>
          <w:sz w:val="24"/>
          <w:szCs w:val="24"/>
          <w:lang w:val="es-PR"/>
        </w:rPr>
        <w:t>e</w:t>
      </w:r>
      <w:r w:rsidR="006E78C7">
        <w:rPr>
          <w:rFonts w:ascii="Book Antiqua" w:hAnsi="Book Antiqua"/>
          <w:sz w:val="24"/>
          <w:szCs w:val="24"/>
          <w:lang w:val="es-PR"/>
        </w:rPr>
        <w:t xml:space="preserve"> municipios ya tienen sus reglamentos establecidos</w:t>
      </w:r>
      <w:r w:rsidR="00F73EFB">
        <w:rPr>
          <w:rFonts w:ascii="Book Antiqua" w:hAnsi="Book Antiqua"/>
          <w:sz w:val="24"/>
          <w:szCs w:val="24"/>
          <w:lang w:val="es-PR"/>
        </w:rPr>
        <w:t xml:space="preserve"> y su puesta en vigor, analizar áreas de fortalezas y debilidades</w:t>
      </w:r>
      <w:r w:rsidR="00284C52">
        <w:rPr>
          <w:rFonts w:ascii="Book Antiqua" w:hAnsi="Book Antiqua"/>
          <w:sz w:val="24"/>
          <w:szCs w:val="24"/>
          <w:lang w:val="es-PR"/>
        </w:rPr>
        <w:t>;</w:t>
      </w:r>
      <w:r w:rsidR="00041E11">
        <w:rPr>
          <w:rFonts w:ascii="Book Antiqua" w:hAnsi="Book Antiqua"/>
          <w:sz w:val="24"/>
          <w:szCs w:val="24"/>
          <w:lang w:val="es-PR"/>
        </w:rPr>
        <w:t xml:space="preserve"> y para otros fines relacionados</w:t>
      </w:r>
      <w:bookmarkEnd w:id="0"/>
      <w:r w:rsidR="00041E11">
        <w:rPr>
          <w:rFonts w:ascii="Book Antiqua" w:hAnsi="Book Antiqua"/>
          <w:sz w:val="24"/>
          <w:szCs w:val="24"/>
          <w:lang w:val="es-PR"/>
        </w:rPr>
        <w:t xml:space="preserve">. </w:t>
      </w:r>
      <w:r w:rsidR="0018051D">
        <w:rPr>
          <w:rFonts w:ascii="Book Antiqua" w:hAnsi="Book Antiqua"/>
          <w:sz w:val="24"/>
          <w:szCs w:val="24"/>
          <w:lang w:val="es-PR"/>
        </w:rPr>
        <w:t xml:space="preserve"> </w:t>
      </w:r>
      <w:r w:rsidR="00DF3E7D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79AF4D96" w14:textId="77777777" w:rsidR="00E057F4" w:rsidRPr="0086134A" w:rsidRDefault="00E057F4" w:rsidP="00B72D87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5540641C" w14:textId="77777777" w:rsidR="00E057F4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EXPOSICIÓN DE MOTIVOS </w:t>
      </w:r>
    </w:p>
    <w:p w14:paraId="70A28403" w14:textId="77777777" w:rsidR="003D4001" w:rsidRDefault="003D4001" w:rsidP="00B34C6D">
      <w:pPr>
        <w:spacing w:after="0" w:line="240" w:lineRule="auto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4B04DAC2" w14:textId="56AD029F" w:rsidR="00526EFA" w:rsidRDefault="00CF30A9" w:rsidP="00147F54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La Ley 107-2020, según enmendada, mejor conocida como el Código Municipal de Puerto Rico, contiene entre sus disposiciones en el Libro IV sobre Procesos Municipales y Gestión Comunitaria, el Capitulo II acerca de la Restauración de las Comunidades y el Capitulo III acera de Procesos para la Reparación y Eliminación de Viviendas Inadecuadas. Ambos capítulos abundan sobre el tema del manejo de los estorbos públicos en los municipios. No obstante, ambos </w:t>
      </w:r>
      <w:r w:rsidR="00990707">
        <w:rPr>
          <w:rFonts w:ascii="Book Antiqua" w:eastAsia="Times New Roman" w:hAnsi="Book Antiqua" w:cs="Arial"/>
          <w:sz w:val="24"/>
          <w:szCs w:val="20"/>
          <w:lang w:val="es-PR"/>
        </w:rPr>
        <w:t>capítulos,</w:t>
      </w:r>
      <w:r w:rsidR="00526EFA">
        <w:rPr>
          <w:rFonts w:ascii="Book Antiqua" w:eastAsia="Times New Roman" w:hAnsi="Book Antiqua" w:cs="Arial"/>
          <w:sz w:val="24"/>
          <w:szCs w:val="20"/>
          <w:lang w:val="es-PR"/>
        </w:rPr>
        <w:t xml:space="preserve"> aunque contienen una guía de </w:t>
      </w:r>
      <w:r w:rsidR="00990707">
        <w:rPr>
          <w:rFonts w:ascii="Book Antiqua" w:eastAsia="Times New Roman" w:hAnsi="Book Antiqua" w:cs="Arial"/>
          <w:sz w:val="24"/>
          <w:szCs w:val="20"/>
          <w:lang w:val="es-PR"/>
        </w:rPr>
        <w:t>cómo</w:t>
      </w:r>
      <w:r w:rsidR="00526EFA">
        <w:rPr>
          <w:rFonts w:ascii="Book Antiqua" w:eastAsia="Times New Roman" w:hAnsi="Book Antiqua" w:cs="Arial"/>
          <w:sz w:val="24"/>
          <w:szCs w:val="20"/>
          <w:lang w:val="es-PR"/>
        </w:rPr>
        <w:t xml:space="preserve"> manejar las viviendas inadecuadas o inhabitables d</w:t>
      </w:r>
      <w:r w:rsidR="003D7B86">
        <w:rPr>
          <w:rFonts w:ascii="Book Antiqua" w:eastAsia="Times New Roman" w:hAnsi="Book Antiqua" w:cs="Arial"/>
          <w:sz w:val="24"/>
          <w:szCs w:val="20"/>
          <w:lang w:val="es-PR"/>
        </w:rPr>
        <w:t xml:space="preserve">entro de las demarcaciones territoriales de los municipios, la Ley 107-2020, otorga discreción a que sean los municipios quienes establezcan sus propios mecanismos procesales y administrativos para atender este asunto tan imperativo en sus comunidades. </w:t>
      </w:r>
    </w:p>
    <w:p w14:paraId="63F7D6CC" w14:textId="77777777" w:rsidR="003D7B86" w:rsidRDefault="003D7B86" w:rsidP="00147F54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105F138F" w14:textId="45A97468" w:rsidR="003D7B86" w:rsidRDefault="003D7B86" w:rsidP="00147F54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ES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lastRenderedPageBreak/>
        <w:t>En espec</w:t>
      </w:r>
      <w:r w:rsidR="00A30284" w:rsidRPr="00A30284">
        <w:rPr>
          <w:rFonts w:ascii="Book Antiqua" w:eastAsia="Times New Roman" w:hAnsi="Book Antiqua" w:cs="Arial"/>
          <w:sz w:val="24"/>
          <w:szCs w:val="20"/>
          <w:lang w:val="es-PR"/>
        </w:rPr>
        <w:t>í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>fico</w:t>
      </w:r>
      <w:r w:rsidR="00A30284">
        <w:rPr>
          <w:rFonts w:ascii="Book Antiqua" w:eastAsia="Times New Roman" w:hAnsi="Book Antiqua" w:cs="Arial"/>
          <w:sz w:val="24"/>
          <w:szCs w:val="20"/>
          <w:lang w:val="es-PR"/>
        </w:rPr>
        <w:t>, en el Capítulo II,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 los Arts. 4.008 al 4.012 de la Ley enmarcan el procedimiento de como </w:t>
      </w:r>
      <w:r w:rsidRPr="003D7B86">
        <w:rPr>
          <w:rFonts w:ascii="Book Antiqua" w:eastAsia="Times New Roman" w:hAnsi="Book Antiqua" w:cs="Arial"/>
          <w:sz w:val="24"/>
          <w:szCs w:val="20"/>
          <w:lang w:val="es-ES"/>
        </w:rPr>
        <w:t>identificar las propiedades inmuebles deshabitadas y abandonadas que por sus condiciones deban ser calificadas como estorbos públicos</w:t>
      </w:r>
      <w:r>
        <w:rPr>
          <w:rFonts w:ascii="Book Antiqua" w:eastAsia="Times New Roman" w:hAnsi="Book Antiqua" w:cs="Arial"/>
          <w:sz w:val="24"/>
          <w:szCs w:val="20"/>
          <w:lang w:val="es-ES"/>
        </w:rPr>
        <w:t xml:space="preserve">, para su posterior adquisición y transferencia de título a un adquiriente. </w:t>
      </w:r>
      <w:r w:rsidR="00A30284">
        <w:rPr>
          <w:rFonts w:ascii="Book Antiqua" w:eastAsia="Times New Roman" w:hAnsi="Book Antiqua" w:cs="Arial"/>
          <w:sz w:val="24"/>
          <w:szCs w:val="20"/>
          <w:lang w:val="es-ES"/>
        </w:rPr>
        <w:t>Asimismo</w:t>
      </w:r>
      <w:r>
        <w:rPr>
          <w:rFonts w:ascii="Book Antiqua" w:eastAsia="Times New Roman" w:hAnsi="Book Antiqua" w:cs="Arial"/>
          <w:sz w:val="24"/>
          <w:szCs w:val="20"/>
          <w:lang w:val="es-ES"/>
        </w:rPr>
        <w:t xml:space="preserve">, en el Art. 4.012A se establece un procedimiento de expropiación sumario. </w:t>
      </w:r>
    </w:p>
    <w:p w14:paraId="309D079F" w14:textId="77777777" w:rsidR="00A30284" w:rsidRDefault="00A30284" w:rsidP="00147F54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ES"/>
        </w:rPr>
      </w:pPr>
    </w:p>
    <w:p w14:paraId="3601265F" w14:textId="56BE8177" w:rsidR="00990707" w:rsidRDefault="00A30284" w:rsidP="00147F54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ES"/>
        </w:rPr>
      </w:pPr>
      <w:r>
        <w:rPr>
          <w:rFonts w:ascii="Book Antiqua" w:eastAsia="Times New Roman" w:hAnsi="Book Antiqua" w:cs="Arial"/>
          <w:sz w:val="24"/>
          <w:szCs w:val="20"/>
          <w:lang w:val="es-ES"/>
        </w:rPr>
        <w:t>M</w:t>
      </w:r>
      <w:r w:rsidR="002854AE" w:rsidRPr="002854AE">
        <w:rPr>
          <w:rFonts w:ascii="Book Antiqua" w:eastAsia="Times New Roman" w:hAnsi="Book Antiqua" w:cs="Arial"/>
          <w:sz w:val="24"/>
          <w:szCs w:val="20"/>
          <w:lang w:val="es-ES"/>
        </w:rPr>
        <w:t>á</w:t>
      </w:r>
      <w:r>
        <w:rPr>
          <w:rFonts w:ascii="Book Antiqua" w:eastAsia="Times New Roman" w:hAnsi="Book Antiqua" w:cs="Arial"/>
          <w:sz w:val="24"/>
          <w:szCs w:val="20"/>
          <w:lang w:val="es-ES"/>
        </w:rPr>
        <w:t xml:space="preserve">s adelante, en el Capítulo III, los Arts. 4.015 al 4.020, imponen responsabilidad para que los municipios actúen activamente y promuevan que las viviendas sean adecuadas y seguras para sus habitantes. </w:t>
      </w:r>
      <w:r w:rsidR="00990707">
        <w:rPr>
          <w:rFonts w:ascii="Book Antiqua" w:eastAsia="Times New Roman" w:hAnsi="Book Antiqua" w:cs="Arial"/>
          <w:sz w:val="24"/>
          <w:szCs w:val="20"/>
          <w:lang w:val="es-ES"/>
        </w:rPr>
        <w:t>Ambos capítulos anteriormente mencionados, proveen para que los municipios creen sus propias ordenanzas a los efectos.</w:t>
      </w:r>
      <w:r w:rsidR="00990707">
        <w:rPr>
          <w:rStyle w:val="FootnoteReference"/>
          <w:rFonts w:ascii="Book Antiqua" w:eastAsia="Times New Roman" w:hAnsi="Book Antiqua" w:cs="Arial"/>
          <w:sz w:val="24"/>
          <w:szCs w:val="20"/>
          <w:lang w:val="es-ES"/>
        </w:rPr>
        <w:footnoteReference w:id="1"/>
      </w:r>
      <w:r w:rsidR="00990707">
        <w:rPr>
          <w:rFonts w:ascii="Book Antiqua" w:eastAsia="Times New Roman" w:hAnsi="Book Antiqua" w:cs="Arial"/>
          <w:sz w:val="24"/>
          <w:szCs w:val="20"/>
          <w:lang w:val="es-ES"/>
        </w:rPr>
        <w:t xml:space="preserve"> </w:t>
      </w:r>
    </w:p>
    <w:p w14:paraId="116C966A" w14:textId="77777777" w:rsidR="00990707" w:rsidRDefault="00990707" w:rsidP="00147F54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ES"/>
        </w:rPr>
      </w:pPr>
    </w:p>
    <w:p w14:paraId="3A3B8D65" w14:textId="385FEAD7" w:rsidR="00A30284" w:rsidRDefault="00C925D4" w:rsidP="00147F54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ES"/>
        </w:rPr>
      </w:pPr>
      <w:r>
        <w:rPr>
          <w:rFonts w:ascii="Book Antiqua" w:eastAsia="Times New Roman" w:hAnsi="Book Antiqua" w:cs="Arial"/>
          <w:sz w:val="24"/>
          <w:szCs w:val="20"/>
          <w:lang w:val="es-ES"/>
        </w:rPr>
        <w:t xml:space="preserve">No obstante, la creación de ordenanzas y medidas municipales son procedimientos internos, no existe constancia a nivel estatal de la creación e implementación de </w:t>
      </w:r>
      <w:r w:rsidR="00E3665C">
        <w:rPr>
          <w:rFonts w:ascii="Book Antiqua" w:eastAsia="Times New Roman" w:hAnsi="Book Antiqua" w:cs="Arial"/>
          <w:sz w:val="24"/>
          <w:szCs w:val="20"/>
          <w:lang w:val="es-ES"/>
        </w:rPr>
        <w:t>estas</w:t>
      </w:r>
      <w:r>
        <w:rPr>
          <w:rFonts w:ascii="Book Antiqua" w:eastAsia="Times New Roman" w:hAnsi="Book Antiqua" w:cs="Arial"/>
          <w:sz w:val="24"/>
          <w:szCs w:val="20"/>
          <w:lang w:val="es-ES"/>
        </w:rPr>
        <w:t xml:space="preserve">. Sin embargo, el tema del manejo de los estorbos públicos y la promoción de viviendas accesibles y asequibles a los </w:t>
      </w:r>
      <w:r w:rsidR="00952D56">
        <w:rPr>
          <w:rFonts w:ascii="Book Antiqua" w:eastAsia="Times New Roman" w:hAnsi="Book Antiqua" w:cs="Arial"/>
          <w:sz w:val="24"/>
          <w:szCs w:val="20"/>
          <w:lang w:val="es-ES"/>
        </w:rPr>
        <w:t>ciudadanos</w:t>
      </w:r>
      <w:r>
        <w:rPr>
          <w:rFonts w:ascii="Book Antiqua" w:eastAsia="Times New Roman" w:hAnsi="Book Antiqua" w:cs="Arial"/>
          <w:sz w:val="24"/>
          <w:szCs w:val="20"/>
          <w:lang w:val="es-ES"/>
        </w:rPr>
        <w:t xml:space="preserve"> es un tema imperativo de alto interés </w:t>
      </w:r>
      <w:r w:rsidR="00E3665C">
        <w:rPr>
          <w:rFonts w:ascii="Book Antiqua" w:eastAsia="Times New Roman" w:hAnsi="Book Antiqua" w:cs="Arial"/>
          <w:sz w:val="24"/>
          <w:szCs w:val="20"/>
          <w:lang w:val="es-ES"/>
        </w:rPr>
        <w:t>público</w:t>
      </w:r>
      <w:r>
        <w:rPr>
          <w:rFonts w:ascii="Book Antiqua" w:eastAsia="Times New Roman" w:hAnsi="Book Antiqua" w:cs="Arial"/>
          <w:sz w:val="24"/>
          <w:szCs w:val="20"/>
          <w:lang w:val="es-ES"/>
        </w:rPr>
        <w:t xml:space="preserve"> pues va arraigado a la calidad de vida y derechos básicos de los ciudadanos. </w:t>
      </w:r>
      <w:r w:rsidR="00E3665C">
        <w:rPr>
          <w:rFonts w:ascii="Book Antiqua" w:eastAsia="Times New Roman" w:hAnsi="Book Antiqua" w:cs="Arial"/>
          <w:sz w:val="24"/>
          <w:szCs w:val="20"/>
          <w:lang w:val="es-ES"/>
        </w:rPr>
        <w:t xml:space="preserve">El conocer si los municipios han creado e implementado ordenanzas sobre el manejo de estorbos públicos y su implementación, </w:t>
      </w:r>
      <w:r w:rsidR="002854AE">
        <w:rPr>
          <w:rFonts w:ascii="Book Antiqua" w:eastAsia="Times New Roman" w:hAnsi="Book Antiqua" w:cs="Arial"/>
          <w:sz w:val="24"/>
          <w:szCs w:val="20"/>
          <w:lang w:val="es-ES"/>
        </w:rPr>
        <w:t>otorgar</w:t>
      </w:r>
      <w:r w:rsidR="002854AE" w:rsidRPr="002854AE">
        <w:rPr>
          <w:rFonts w:ascii="Book Antiqua" w:eastAsia="Times New Roman" w:hAnsi="Book Antiqua" w:cs="Arial"/>
          <w:sz w:val="24"/>
          <w:szCs w:val="20"/>
          <w:lang w:val="es-ES"/>
        </w:rPr>
        <w:t>á</w:t>
      </w:r>
      <w:r w:rsidR="00E3665C">
        <w:rPr>
          <w:rFonts w:ascii="Book Antiqua" w:eastAsia="Times New Roman" w:hAnsi="Book Antiqua" w:cs="Arial"/>
          <w:sz w:val="24"/>
          <w:szCs w:val="20"/>
          <w:lang w:val="es-ES"/>
        </w:rPr>
        <w:t xml:space="preserve"> un panorama para conocer las fortalezas y </w:t>
      </w:r>
      <w:bookmarkStart w:id="1" w:name="_Hlk187243048"/>
      <w:r w:rsidR="00E3665C">
        <w:rPr>
          <w:rFonts w:ascii="Book Antiqua" w:eastAsia="Times New Roman" w:hAnsi="Book Antiqua" w:cs="Arial"/>
          <w:sz w:val="24"/>
          <w:szCs w:val="20"/>
          <w:lang w:val="es-ES"/>
        </w:rPr>
        <w:t>á</w:t>
      </w:r>
      <w:bookmarkEnd w:id="1"/>
      <w:r w:rsidR="00E3665C">
        <w:rPr>
          <w:rFonts w:ascii="Book Antiqua" w:eastAsia="Times New Roman" w:hAnsi="Book Antiqua" w:cs="Arial"/>
          <w:sz w:val="24"/>
          <w:szCs w:val="20"/>
          <w:lang w:val="es-ES"/>
        </w:rPr>
        <w:t>reas a desarrollar sobre este tema con el fin de promover la habitabilidad de viviendas para la posterior adquisición de las mismas por ciudadanos que aspiren a estas.</w:t>
      </w:r>
    </w:p>
    <w:p w14:paraId="1DCAFE24" w14:textId="77777777" w:rsidR="00C925D4" w:rsidRDefault="00C925D4" w:rsidP="00147F54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ES"/>
        </w:rPr>
      </w:pPr>
    </w:p>
    <w:p w14:paraId="67317C78" w14:textId="1FCB061C" w:rsidR="00C925D4" w:rsidRPr="00A30284" w:rsidRDefault="00C925D4" w:rsidP="00147F54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ES"/>
        </w:rPr>
      </w:pPr>
      <w:r>
        <w:rPr>
          <w:rFonts w:ascii="Book Antiqua" w:eastAsia="Times New Roman" w:hAnsi="Book Antiqua" w:cs="Arial"/>
          <w:sz w:val="24"/>
          <w:szCs w:val="20"/>
          <w:lang w:val="es-ES"/>
        </w:rPr>
        <w:t xml:space="preserve">Por lo anterior, </w:t>
      </w:r>
      <w:r w:rsidR="00952D56" w:rsidRPr="00952D56">
        <w:rPr>
          <w:rFonts w:ascii="Book Antiqua" w:eastAsia="Times New Roman" w:hAnsi="Book Antiqua" w:cs="Arial"/>
          <w:sz w:val="24"/>
          <w:szCs w:val="20"/>
          <w:lang w:val="es-PR"/>
        </w:rPr>
        <w:t xml:space="preserve">la Cámara de Representantes del </w:t>
      </w:r>
      <w:r w:rsidR="00080447">
        <w:rPr>
          <w:rFonts w:ascii="Book Antiqua" w:eastAsia="Times New Roman" w:hAnsi="Book Antiqua" w:cs="Arial"/>
          <w:sz w:val="24"/>
          <w:szCs w:val="20"/>
          <w:lang w:val="es-PR"/>
        </w:rPr>
        <w:t>Gobierno</w:t>
      </w:r>
      <w:r w:rsidR="00952D56" w:rsidRPr="00952D56">
        <w:rPr>
          <w:rFonts w:ascii="Book Antiqua" w:eastAsia="Times New Roman" w:hAnsi="Book Antiqua" w:cs="Arial"/>
          <w:sz w:val="24"/>
          <w:szCs w:val="20"/>
          <w:lang w:val="es-PR"/>
        </w:rPr>
        <w:t xml:space="preserve"> de Puerto Rico</w:t>
      </w:r>
      <w:r w:rsidR="00952D56" w:rsidRPr="00952D56">
        <w:rPr>
          <w:rFonts w:ascii="Book Antiqua" w:eastAsia="Times New Roman" w:hAnsi="Book Antiqua" w:cs="Arial"/>
          <w:sz w:val="24"/>
          <w:szCs w:val="20"/>
          <w:lang w:val="es-ES"/>
        </w:rPr>
        <w:t xml:space="preserve"> </w:t>
      </w:r>
      <w:r>
        <w:rPr>
          <w:rFonts w:ascii="Book Antiqua" w:eastAsia="Times New Roman" w:hAnsi="Book Antiqua" w:cs="Arial"/>
          <w:sz w:val="24"/>
          <w:szCs w:val="20"/>
          <w:lang w:val="es-ES"/>
        </w:rPr>
        <w:t xml:space="preserve">considera pertinente, el </w:t>
      </w:r>
      <w:r w:rsidR="00952D56" w:rsidRPr="00952D56">
        <w:rPr>
          <w:rFonts w:ascii="Book Antiqua" w:eastAsia="Times New Roman" w:hAnsi="Book Antiqua" w:cs="Arial"/>
          <w:sz w:val="24"/>
          <w:szCs w:val="20"/>
          <w:lang w:val="es-PR"/>
        </w:rPr>
        <w:t xml:space="preserve">realizar una investigación </w:t>
      </w:r>
      <w:bookmarkStart w:id="2" w:name="_Hlk187242696"/>
      <w:r w:rsidR="00952D56" w:rsidRPr="00952D56">
        <w:rPr>
          <w:rFonts w:ascii="Book Antiqua" w:eastAsia="Times New Roman" w:hAnsi="Book Antiqua" w:cs="Arial"/>
          <w:sz w:val="24"/>
          <w:szCs w:val="20"/>
          <w:lang w:val="es-PR"/>
        </w:rPr>
        <w:t xml:space="preserve">exhaustiva sobre los reglamentos internos municipales </w:t>
      </w:r>
      <w:r w:rsidR="003A3C21" w:rsidRPr="003A3C21">
        <w:rPr>
          <w:rFonts w:ascii="Book Antiqua" w:eastAsia="Times New Roman" w:hAnsi="Book Antiqua" w:cs="Arial"/>
          <w:sz w:val="24"/>
          <w:szCs w:val="20"/>
          <w:lang w:val="es-PR"/>
        </w:rPr>
        <w:t xml:space="preserve">creados mediante ordenanza sobre el manejo de estorbos públicos, requeridos por la Ley 107-2020, según enmendada, mejor conocida como el Código Municipal de Puerto Rico en el Distrito Representativo 21, que comprende los municipios de Guánica, Lajas, Las Marías, Maricao, Sabana Grande y Yauco,  con el fin de auscultar que municipios ya tienen sus reglamentos establecidos y su puesta en vigor, analizar áreas de fortalezas y debilidades; y para otros fines </w:t>
      </w:r>
      <w:r w:rsidR="003A3C21">
        <w:rPr>
          <w:rFonts w:ascii="Book Antiqua" w:eastAsia="Times New Roman" w:hAnsi="Book Antiqua" w:cs="Arial"/>
          <w:sz w:val="24"/>
          <w:szCs w:val="20"/>
          <w:lang w:val="es-PR"/>
        </w:rPr>
        <w:t>relacionados.</w:t>
      </w:r>
    </w:p>
    <w:bookmarkEnd w:id="2"/>
    <w:p w14:paraId="69354580" w14:textId="77777777" w:rsidR="00E057F4" w:rsidRPr="0086134A" w:rsidRDefault="00E057F4" w:rsidP="00E3665C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Arial"/>
          <w:sz w:val="24"/>
          <w:szCs w:val="24"/>
          <w:lang w:val="es-PR"/>
        </w:rPr>
      </w:pPr>
    </w:p>
    <w:p w14:paraId="3BB8300B" w14:textId="585EE9DB" w:rsidR="00E057F4" w:rsidRPr="0086134A" w:rsidRDefault="002F0D95" w:rsidP="00E057F4">
      <w:pPr>
        <w:spacing w:after="0" w:line="480" w:lineRule="auto"/>
        <w:rPr>
          <w:rFonts w:ascii="Book Antiqua" w:eastAsia="Times New Roman" w:hAnsi="Book Antiqua" w:cs="Times New Roman"/>
          <w:i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i/>
          <w:sz w:val="24"/>
          <w:szCs w:val="20"/>
          <w:lang w:val="es-PR"/>
        </w:rPr>
        <w:t>RESUÉLVESE</w:t>
      </w:r>
      <w:r w:rsidR="00E057F4" w:rsidRPr="0086134A">
        <w:rPr>
          <w:rFonts w:ascii="Book Antiqua" w:eastAsia="Times New Roman" w:hAnsi="Book Antiqua" w:cs="Times New Roman"/>
          <w:i/>
          <w:sz w:val="24"/>
          <w:szCs w:val="20"/>
          <w:lang w:val="es-PR"/>
        </w:rPr>
        <w:t xml:space="preserve"> POR LA CÁMARA DE REPRESENTANTES DE PUERTO RICO:</w:t>
      </w:r>
    </w:p>
    <w:p w14:paraId="2417E918" w14:textId="77777777" w:rsidR="00E057F4" w:rsidRPr="0086134A" w:rsidRDefault="00E057F4" w:rsidP="00E057F4">
      <w:p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  <w:sectPr w:rsidR="00E057F4" w:rsidRPr="0086134A" w:rsidSect="0086134A">
          <w:headerReference w:type="default" r:id="rId7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795D842F" w14:textId="36195D52" w:rsidR="00E3665C" w:rsidRPr="00E3665C" w:rsidRDefault="00E057F4" w:rsidP="00147F54">
      <w:pPr>
        <w:spacing w:after="0" w:line="480" w:lineRule="auto"/>
        <w:ind w:firstLine="567"/>
        <w:jc w:val="both"/>
        <w:rPr>
          <w:rFonts w:ascii="Book Antiqua" w:hAnsi="Book Antiqua"/>
          <w:sz w:val="24"/>
          <w:szCs w:val="24"/>
          <w:lang w:val="es-ES"/>
        </w:rPr>
      </w:pP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>Sección 1.-Se ordena a la Comisión de Vivienda y Desarrollo Urbano de la Cámara de Representantes</w:t>
      </w:r>
      <w:r w:rsidR="002F0D95"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5E7634">
        <w:rPr>
          <w:rFonts w:ascii="Book Antiqua" w:eastAsia="Times New Roman" w:hAnsi="Book Antiqua" w:cs="Times New Roman"/>
          <w:sz w:val="24"/>
          <w:szCs w:val="20"/>
          <w:lang w:val="es-PR"/>
        </w:rPr>
        <w:t>del Gobierno</w:t>
      </w:r>
      <w:r w:rsidR="002F0D95"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Puerto Rico</w:t>
      </w:r>
      <w:r w:rsidR="00A65065">
        <w:rPr>
          <w:rFonts w:ascii="Book Antiqua" w:eastAsia="Times New Roman" w:hAnsi="Book Antiqua" w:cs="Times New Roman"/>
          <w:sz w:val="24"/>
          <w:szCs w:val="20"/>
          <w:lang w:val="es-PR"/>
        </w:rPr>
        <w:t>,</w:t>
      </w:r>
      <w:r w:rsidR="008D306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realizar una investigación</w:t>
      </w: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8D306C" w:rsidRPr="008D306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exhaustiva sobre los reglamentos internos municipales creados mediante ordenanza sobre el manejo de estorbos públicos, requeridos por la Ley 107-2020, según enmendada, mejor conocida </w:t>
      </w:r>
      <w:r w:rsidR="008D306C" w:rsidRPr="008D306C">
        <w:rPr>
          <w:rFonts w:ascii="Book Antiqua" w:eastAsia="Times New Roman" w:hAnsi="Book Antiqua" w:cs="Times New Roman"/>
          <w:sz w:val="24"/>
          <w:szCs w:val="20"/>
          <w:lang w:val="es-PR"/>
        </w:rPr>
        <w:lastRenderedPageBreak/>
        <w:t>como el Código Municipal de Puerto Rico en el Distrito Representativo 21</w:t>
      </w:r>
      <w:r w:rsidR="001E1651">
        <w:rPr>
          <w:rFonts w:ascii="Book Antiqua" w:eastAsia="Times New Roman" w:hAnsi="Book Antiqua" w:cs="Times New Roman"/>
          <w:sz w:val="24"/>
          <w:szCs w:val="20"/>
          <w:lang w:val="es-PR"/>
        </w:rPr>
        <w:t>,</w:t>
      </w:r>
      <w:r w:rsidR="00C1585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C15853" w:rsidRPr="00C15853">
        <w:rPr>
          <w:rFonts w:ascii="Book Antiqua" w:eastAsia="Times New Roman" w:hAnsi="Book Antiqua" w:cs="Times New Roman"/>
          <w:sz w:val="24"/>
          <w:szCs w:val="20"/>
          <w:lang w:val="es-PR"/>
        </w:rPr>
        <w:t>que com</w:t>
      </w:r>
      <w:r w:rsidR="00830A55">
        <w:rPr>
          <w:rFonts w:ascii="Book Antiqua" w:eastAsia="Times New Roman" w:hAnsi="Book Antiqua" w:cs="Times New Roman"/>
          <w:sz w:val="24"/>
          <w:szCs w:val="20"/>
          <w:lang w:val="es-PR"/>
        </w:rPr>
        <w:t>prende</w:t>
      </w:r>
      <w:r w:rsidR="00C15853" w:rsidRPr="00C1585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los municipios de Guánica, Lajas, Las Marías, Maricao, Sabana Grande y Yauco, con el fin de auscultar que municipios ya tienen sus reglamentos establecidos y su puesta en vigor, analizar áreas de fortalezas y debilidades; y para otros fines relacionados</w:t>
      </w:r>
      <w:r w:rsidR="00C15853">
        <w:rPr>
          <w:rFonts w:ascii="Book Antiqua" w:eastAsia="Times New Roman" w:hAnsi="Book Antiqua" w:cs="Times New Roman"/>
          <w:sz w:val="24"/>
          <w:szCs w:val="20"/>
          <w:lang w:val="es-PR"/>
        </w:rPr>
        <w:t>.</w:t>
      </w:r>
    </w:p>
    <w:p w14:paraId="204CEE8F" w14:textId="0BD013E0" w:rsidR="00C61EF6" w:rsidRPr="00C61EF6" w:rsidRDefault="00E057F4" w:rsidP="00147F54">
      <w:pPr>
        <w:spacing w:after="0" w:line="480" w:lineRule="auto"/>
        <w:ind w:firstLine="567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>Sección 2.-</w:t>
      </w:r>
      <w:r w:rsidR="00C61EF6" w:rsidRPr="00C61EF6">
        <w:rPr>
          <w:rFonts w:ascii="Book Antiqua" w:eastAsia="Times New Roman" w:hAnsi="Book Antiqua" w:cs="Times New Roman"/>
          <w:sz w:val="24"/>
          <w:szCs w:val="20"/>
          <w:lang w:val="es-PR"/>
        </w:rPr>
        <w:t>La Comisión tendrá la responsabilidad de someter informes parciales y aquellos necesarios, con los hallazgos y recomendaciones a medida que se desarrollen los trabajos, investigaciones y análisis pertinentes relacionados.</w:t>
      </w:r>
    </w:p>
    <w:p w14:paraId="0A6A86E2" w14:textId="031D8F86" w:rsidR="00FE47EF" w:rsidRPr="001E06C6" w:rsidRDefault="00E057F4" w:rsidP="00147F54">
      <w:pPr>
        <w:spacing w:after="0" w:line="480" w:lineRule="auto"/>
        <w:ind w:firstLine="567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>Sección 3.-Esta Resolución comenzará a regir inmediatamente después de su aprobación.</w:t>
      </w:r>
    </w:p>
    <w:sectPr w:rsidR="00FE47EF" w:rsidRPr="001E06C6" w:rsidSect="00883104">
      <w:headerReference w:type="default" r:id="rId8"/>
      <w:type w:val="continuous"/>
      <w:pgSz w:w="12240" w:h="15840" w:code="1"/>
      <w:pgMar w:top="1440" w:right="1440" w:bottom="1440" w:left="1440" w:header="720" w:footer="720" w:gutter="0"/>
      <w:lnNumType w:countBy="1"/>
      <w:pgNumType w:start="2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F97B0D" w14:textId="77777777" w:rsidR="00596351" w:rsidRDefault="00596351">
      <w:pPr>
        <w:spacing w:after="0" w:line="240" w:lineRule="auto"/>
      </w:pPr>
      <w:r>
        <w:separator/>
      </w:r>
    </w:p>
  </w:endnote>
  <w:endnote w:type="continuationSeparator" w:id="0">
    <w:p w14:paraId="17BF0CE6" w14:textId="77777777" w:rsidR="00596351" w:rsidRDefault="00596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C478C" w14:textId="77777777" w:rsidR="00596351" w:rsidRDefault="00596351">
      <w:pPr>
        <w:spacing w:after="0" w:line="240" w:lineRule="auto"/>
      </w:pPr>
      <w:r>
        <w:separator/>
      </w:r>
    </w:p>
  </w:footnote>
  <w:footnote w:type="continuationSeparator" w:id="0">
    <w:p w14:paraId="0FDD0D94" w14:textId="77777777" w:rsidR="00596351" w:rsidRDefault="00596351">
      <w:pPr>
        <w:spacing w:after="0" w:line="240" w:lineRule="auto"/>
      </w:pPr>
      <w:r>
        <w:continuationSeparator/>
      </w:r>
    </w:p>
  </w:footnote>
  <w:footnote w:id="1">
    <w:p w14:paraId="795E71ED" w14:textId="3DEFE2E2" w:rsidR="00990707" w:rsidRPr="00990707" w:rsidRDefault="00990707">
      <w:pPr>
        <w:pStyle w:val="FootnoteText"/>
        <w:rPr>
          <w:lang w:val="es-ES"/>
        </w:rPr>
      </w:pPr>
      <w:r>
        <w:rPr>
          <w:rStyle w:val="FootnoteReference"/>
        </w:rPr>
        <w:footnoteRef/>
      </w:r>
      <w:r w:rsidRPr="00990707">
        <w:rPr>
          <w:lang w:val="es-ES"/>
        </w:rPr>
        <w:t xml:space="preserve"> </w:t>
      </w:r>
      <w:r>
        <w:rPr>
          <w:lang w:val="es-ES"/>
        </w:rPr>
        <w:t>Véase</w:t>
      </w:r>
      <w:r w:rsidR="00766C34">
        <w:rPr>
          <w:lang w:val="es-ES"/>
        </w:rPr>
        <w:t>,</w:t>
      </w:r>
      <w:r>
        <w:rPr>
          <w:lang w:val="es-ES"/>
        </w:rPr>
        <w:t xml:space="preserve"> Arts. 4.012A, 4.015, 4.020.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63962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FA9B8B7" w14:textId="52101A4A" w:rsidR="00883104" w:rsidRDefault="0088310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614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B408FF" w14:textId="77777777" w:rsidR="00883104" w:rsidRDefault="008831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85677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7B1C2CD" w14:textId="112E66BF" w:rsidR="00883104" w:rsidRDefault="0088310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614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BACE310" w14:textId="27ADF233" w:rsidR="00A83ADE" w:rsidRPr="00883104" w:rsidRDefault="00A83ADE" w:rsidP="0088310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554"/>
    <w:rsid w:val="000123D0"/>
    <w:rsid w:val="0001587C"/>
    <w:rsid w:val="000240E7"/>
    <w:rsid w:val="00041E11"/>
    <w:rsid w:val="00050FF9"/>
    <w:rsid w:val="00052199"/>
    <w:rsid w:val="00080447"/>
    <w:rsid w:val="000C3F6F"/>
    <w:rsid w:val="000E7AD8"/>
    <w:rsid w:val="00136E01"/>
    <w:rsid w:val="00147F54"/>
    <w:rsid w:val="001610A4"/>
    <w:rsid w:val="0018051D"/>
    <w:rsid w:val="00183958"/>
    <w:rsid w:val="001A74DA"/>
    <w:rsid w:val="001B0554"/>
    <w:rsid w:val="001C232B"/>
    <w:rsid w:val="001E06C6"/>
    <w:rsid w:val="001E1651"/>
    <w:rsid w:val="001E6A27"/>
    <w:rsid w:val="00203817"/>
    <w:rsid w:val="00230A23"/>
    <w:rsid w:val="00231CFA"/>
    <w:rsid w:val="00233D15"/>
    <w:rsid w:val="002423D8"/>
    <w:rsid w:val="002506BA"/>
    <w:rsid w:val="00277123"/>
    <w:rsid w:val="00284C52"/>
    <w:rsid w:val="002854AE"/>
    <w:rsid w:val="00290A23"/>
    <w:rsid w:val="002B5606"/>
    <w:rsid w:val="002C0704"/>
    <w:rsid w:val="002D3F33"/>
    <w:rsid w:val="002D795B"/>
    <w:rsid w:val="002F0D95"/>
    <w:rsid w:val="002F6EA8"/>
    <w:rsid w:val="00310041"/>
    <w:rsid w:val="00321CAA"/>
    <w:rsid w:val="00345C7D"/>
    <w:rsid w:val="00387AC3"/>
    <w:rsid w:val="00394AA7"/>
    <w:rsid w:val="003A3C21"/>
    <w:rsid w:val="003A3F99"/>
    <w:rsid w:val="003A5631"/>
    <w:rsid w:val="003D2728"/>
    <w:rsid w:val="003D4001"/>
    <w:rsid w:val="003D56A4"/>
    <w:rsid w:val="003D7B86"/>
    <w:rsid w:val="003E338D"/>
    <w:rsid w:val="004065EF"/>
    <w:rsid w:val="004105B1"/>
    <w:rsid w:val="004233D6"/>
    <w:rsid w:val="00423893"/>
    <w:rsid w:val="00426928"/>
    <w:rsid w:val="00445733"/>
    <w:rsid w:val="00454769"/>
    <w:rsid w:val="00475070"/>
    <w:rsid w:val="004C7054"/>
    <w:rsid w:val="004D1B9C"/>
    <w:rsid w:val="00521AE2"/>
    <w:rsid w:val="00526CEA"/>
    <w:rsid w:val="00526EFA"/>
    <w:rsid w:val="00544BF6"/>
    <w:rsid w:val="0054505E"/>
    <w:rsid w:val="00582A31"/>
    <w:rsid w:val="00596351"/>
    <w:rsid w:val="005A7C41"/>
    <w:rsid w:val="005E7634"/>
    <w:rsid w:val="005F2776"/>
    <w:rsid w:val="00605E12"/>
    <w:rsid w:val="00677998"/>
    <w:rsid w:val="006B780E"/>
    <w:rsid w:val="006E78C7"/>
    <w:rsid w:val="00732C21"/>
    <w:rsid w:val="007358DC"/>
    <w:rsid w:val="007406AE"/>
    <w:rsid w:val="00740EB9"/>
    <w:rsid w:val="007458A2"/>
    <w:rsid w:val="00751C58"/>
    <w:rsid w:val="00752D07"/>
    <w:rsid w:val="00766C34"/>
    <w:rsid w:val="00770F1B"/>
    <w:rsid w:val="0077202A"/>
    <w:rsid w:val="00775E87"/>
    <w:rsid w:val="00793863"/>
    <w:rsid w:val="007A2D27"/>
    <w:rsid w:val="007B71A3"/>
    <w:rsid w:val="007C1041"/>
    <w:rsid w:val="007E00D9"/>
    <w:rsid w:val="007E7A15"/>
    <w:rsid w:val="0082008D"/>
    <w:rsid w:val="00823C9D"/>
    <w:rsid w:val="00830A55"/>
    <w:rsid w:val="00833932"/>
    <w:rsid w:val="008409D6"/>
    <w:rsid w:val="00883104"/>
    <w:rsid w:val="008D306C"/>
    <w:rsid w:val="008D7FE8"/>
    <w:rsid w:val="008E6DA1"/>
    <w:rsid w:val="008F3D2A"/>
    <w:rsid w:val="009125CA"/>
    <w:rsid w:val="00952D56"/>
    <w:rsid w:val="00970A8A"/>
    <w:rsid w:val="00972932"/>
    <w:rsid w:val="009743BA"/>
    <w:rsid w:val="00990707"/>
    <w:rsid w:val="009A126B"/>
    <w:rsid w:val="009E4139"/>
    <w:rsid w:val="009E7856"/>
    <w:rsid w:val="00A102F3"/>
    <w:rsid w:val="00A1569E"/>
    <w:rsid w:val="00A26FD5"/>
    <w:rsid w:val="00A27390"/>
    <w:rsid w:val="00A30284"/>
    <w:rsid w:val="00A50012"/>
    <w:rsid w:val="00A532E5"/>
    <w:rsid w:val="00A65065"/>
    <w:rsid w:val="00A74474"/>
    <w:rsid w:val="00A83ADE"/>
    <w:rsid w:val="00A961E8"/>
    <w:rsid w:val="00AC1AA4"/>
    <w:rsid w:val="00AC1ECF"/>
    <w:rsid w:val="00AC55C6"/>
    <w:rsid w:val="00AF61A6"/>
    <w:rsid w:val="00B34C6D"/>
    <w:rsid w:val="00B412DF"/>
    <w:rsid w:val="00B72D87"/>
    <w:rsid w:val="00B7728E"/>
    <w:rsid w:val="00BE3F1E"/>
    <w:rsid w:val="00C10064"/>
    <w:rsid w:val="00C15853"/>
    <w:rsid w:val="00C34940"/>
    <w:rsid w:val="00C61EF6"/>
    <w:rsid w:val="00C91B70"/>
    <w:rsid w:val="00C925D4"/>
    <w:rsid w:val="00CA7975"/>
    <w:rsid w:val="00CD4A7A"/>
    <w:rsid w:val="00CD4FA7"/>
    <w:rsid w:val="00CF30A9"/>
    <w:rsid w:val="00D15664"/>
    <w:rsid w:val="00D16143"/>
    <w:rsid w:val="00D16DB4"/>
    <w:rsid w:val="00D342F6"/>
    <w:rsid w:val="00D5147E"/>
    <w:rsid w:val="00D6218D"/>
    <w:rsid w:val="00D926F2"/>
    <w:rsid w:val="00DA2F86"/>
    <w:rsid w:val="00DC2446"/>
    <w:rsid w:val="00DC2FA3"/>
    <w:rsid w:val="00DE1923"/>
    <w:rsid w:val="00DE1B6D"/>
    <w:rsid w:val="00DF3E7D"/>
    <w:rsid w:val="00E057F4"/>
    <w:rsid w:val="00E1161A"/>
    <w:rsid w:val="00E3665C"/>
    <w:rsid w:val="00E5621A"/>
    <w:rsid w:val="00E8578D"/>
    <w:rsid w:val="00EA5FB1"/>
    <w:rsid w:val="00EE6765"/>
    <w:rsid w:val="00F16D7B"/>
    <w:rsid w:val="00F24DAB"/>
    <w:rsid w:val="00F411C1"/>
    <w:rsid w:val="00F41F36"/>
    <w:rsid w:val="00F670F0"/>
    <w:rsid w:val="00F73EFB"/>
    <w:rsid w:val="00F7534D"/>
    <w:rsid w:val="00FB03FE"/>
    <w:rsid w:val="00FD1765"/>
    <w:rsid w:val="00FE47EF"/>
    <w:rsid w:val="00FF0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ED1D4"/>
  <w15:chartTrackingRefBased/>
  <w15:docId w15:val="{9A0BE351-D7BD-42B9-AF3C-1679EB280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7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05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554"/>
  </w:style>
  <w:style w:type="character" w:styleId="PageNumber">
    <w:name w:val="page number"/>
    <w:basedOn w:val="DefaultParagraphFont"/>
    <w:rsid w:val="001B0554"/>
  </w:style>
  <w:style w:type="character" w:styleId="LineNumber">
    <w:name w:val="line number"/>
    <w:basedOn w:val="DefaultParagraphFont"/>
    <w:uiPriority w:val="99"/>
    <w:semiHidden/>
    <w:unhideWhenUsed/>
    <w:rsid w:val="001B0554"/>
  </w:style>
  <w:style w:type="character" w:styleId="Hyperlink">
    <w:name w:val="Hyperlink"/>
    <w:uiPriority w:val="99"/>
    <w:unhideWhenUsed/>
    <w:rsid w:val="00E057F4"/>
    <w:rPr>
      <w:color w:val="0563C1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E057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057F4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E057F4"/>
    <w:rPr>
      <w:vertAlign w:val="superscript"/>
    </w:rPr>
  </w:style>
  <w:style w:type="paragraph" w:styleId="NoSpacing">
    <w:name w:val="No Spacing"/>
    <w:uiPriority w:val="99"/>
    <w:qFormat/>
    <w:rsid w:val="003D2728"/>
    <w:pPr>
      <w:spacing w:after="0" w:line="240" w:lineRule="auto"/>
    </w:pPr>
    <w:rPr>
      <w:rFonts w:ascii="Calibri" w:eastAsia="Times New Roman" w:hAnsi="Calibri" w:cs="Times New Roman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928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E0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DFC913-FC73-4C44-948D-F2B749366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762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Priscila</dc:creator>
  <cp:keywords/>
  <dc:description/>
  <cp:lastModifiedBy>Gladys J. Burgos Torres</cp:lastModifiedBy>
  <cp:revision>4</cp:revision>
  <cp:lastPrinted>2021-01-29T15:45:00Z</cp:lastPrinted>
  <dcterms:created xsi:type="dcterms:W3CDTF">2025-01-13T17:15:00Z</dcterms:created>
  <dcterms:modified xsi:type="dcterms:W3CDTF">2025-01-13T20:03:00Z</dcterms:modified>
</cp:coreProperties>
</file>