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AF418" w14:textId="77777777" w:rsidR="004A61AD" w:rsidRPr="004A61AD" w:rsidRDefault="004A61AD" w:rsidP="004A61AD">
      <w:pPr>
        <w:spacing w:after="0" w:line="240" w:lineRule="auto"/>
        <w:jc w:val="center"/>
        <w:rPr>
          <w:rFonts w:ascii="Book Antiqua" w:eastAsia="Book Antiqua" w:hAnsi="Book Antiqua" w:cs="Book Antiqua"/>
          <w:bCs/>
          <w:color w:val="000000"/>
          <w:kern w:val="0"/>
          <w:sz w:val="36"/>
          <w:szCs w:val="36"/>
          <w14:ligatures w14:val="none"/>
        </w:rPr>
      </w:pPr>
      <w:r w:rsidRPr="004A61AD">
        <w:rPr>
          <w:rFonts w:ascii="Book Antiqua" w:eastAsia="Book Antiqua" w:hAnsi="Book Antiqua" w:cs="Book Antiqua"/>
          <w:bCs/>
          <w:color w:val="000000"/>
          <w:kern w:val="0"/>
          <w:sz w:val="36"/>
          <w:szCs w:val="36"/>
          <w14:ligatures w14:val="none"/>
        </w:rPr>
        <w:t xml:space="preserve">GOBIERNO DE </w:t>
      </w:r>
      <w:sdt>
        <w:sdtPr>
          <w:rPr>
            <w:rFonts w:ascii="Times New Roman" w:eastAsia="Times New Roman" w:hAnsi="Times New Roman" w:cs="Times New Roman"/>
            <w:bCs/>
            <w:color w:val="000000"/>
            <w:kern w:val="0"/>
            <w:sz w:val="36"/>
            <w:szCs w:val="36"/>
            <w14:ligatures w14:val="none"/>
          </w:rPr>
          <w:tag w:val="goog_rdk_0"/>
          <w:id w:val="-2063775325"/>
        </w:sdtPr>
        <w:sdtEndPr/>
        <w:sdtContent/>
      </w:sdt>
      <w:r w:rsidRPr="004A61AD">
        <w:rPr>
          <w:rFonts w:ascii="Book Antiqua" w:eastAsia="Book Antiqua" w:hAnsi="Book Antiqua" w:cs="Book Antiqua"/>
          <w:bCs/>
          <w:color w:val="000000"/>
          <w:kern w:val="0"/>
          <w:sz w:val="36"/>
          <w:szCs w:val="36"/>
          <w14:ligatures w14:val="none"/>
        </w:rPr>
        <w:t>PUERTO RICO</w:t>
      </w:r>
    </w:p>
    <w:p w14:paraId="451300D4" w14:textId="77777777" w:rsidR="004A61AD" w:rsidRPr="004A61AD" w:rsidRDefault="004A61AD" w:rsidP="004A61AD">
      <w:pPr>
        <w:spacing w:after="0" w:line="240" w:lineRule="auto"/>
        <w:jc w:val="center"/>
        <w:rPr>
          <w:rFonts w:ascii="Book Antiqua" w:eastAsia="Book Antiqua" w:hAnsi="Book Antiqua" w:cs="Book Antiqua"/>
          <w:color w:val="000000"/>
          <w:kern w:val="0"/>
          <w:szCs w:val="20"/>
          <w14:ligatures w14:val="none"/>
        </w:rPr>
      </w:pPr>
    </w:p>
    <w:p w14:paraId="0513A321" w14:textId="77777777" w:rsidR="004A61AD" w:rsidRPr="004A61AD" w:rsidRDefault="004A61AD" w:rsidP="004A61AD">
      <w:pPr>
        <w:tabs>
          <w:tab w:val="left" w:pos="648"/>
          <w:tab w:val="right" w:pos="7776"/>
          <w:tab w:val="left" w:pos="7848"/>
        </w:tabs>
        <w:spacing w:after="0" w:line="240" w:lineRule="auto"/>
        <w:rPr>
          <w:rFonts w:ascii="Book Antiqua" w:eastAsia="Book Antiqua" w:hAnsi="Book Antiqua" w:cs="Book Antiqua"/>
          <w:color w:val="000000"/>
          <w:kern w:val="0"/>
          <w:szCs w:val="20"/>
          <w14:ligatures w14:val="none"/>
        </w:rPr>
      </w:pPr>
      <w:r w:rsidRPr="004A61AD">
        <w:rPr>
          <w:rFonts w:ascii="Book Antiqua" w:eastAsia="Book Antiqua" w:hAnsi="Book Antiqua" w:cs="Book Antiqua"/>
          <w:color w:val="000000"/>
          <w:kern w:val="0"/>
          <w:szCs w:val="20"/>
          <w14:ligatures w14:val="none"/>
        </w:rPr>
        <w:t xml:space="preserve">20 </w:t>
      </w:r>
      <w:r w:rsidRPr="004A61AD">
        <w:rPr>
          <w:rFonts w:ascii="Book Antiqua" w:eastAsia="Book Antiqua" w:hAnsi="Book Antiqua" w:cs="Book Antiqua"/>
          <w:color w:val="000000"/>
          <w:kern w:val="0"/>
          <w:szCs w:val="20"/>
          <w:vertAlign w:val="superscript"/>
          <w14:ligatures w14:val="none"/>
        </w:rPr>
        <w:t>ma.</w:t>
      </w:r>
      <w:r w:rsidRPr="004A61AD">
        <w:rPr>
          <w:rFonts w:ascii="Book Antiqua" w:eastAsia="Book Antiqua" w:hAnsi="Book Antiqua" w:cs="Book Antiqua"/>
          <w:color w:val="000000"/>
          <w:kern w:val="0"/>
          <w:szCs w:val="20"/>
          <w14:ligatures w14:val="none"/>
        </w:rPr>
        <w:tab/>
        <w:t>Asamblea</w:t>
      </w:r>
      <w:r w:rsidRPr="004A61AD">
        <w:rPr>
          <w:rFonts w:ascii="Book Antiqua" w:eastAsia="Book Antiqua" w:hAnsi="Book Antiqua" w:cs="Book Antiqua"/>
          <w:color w:val="000000"/>
          <w:kern w:val="0"/>
          <w:szCs w:val="20"/>
          <w14:ligatures w14:val="none"/>
        </w:rPr>
        <w:tab/>
        <w:t>2</w:t>
      </w:r>
      <w:r w:rsidRPr="004A61AD">
        <w:rPr>
          <w:rFonts w:ascii="Book Antiqua" w:eastAsia="Book Antiqua" w:hAnsi="Book Antiqua" w:cs="Book Antiqua"/>
          <w:color w:val="000000"/>
          <w:kern w:val="0"/>
          <w:szCs w:val="20"/>
          <w:vertAlign w:val="superscript"/>
          <w14:ligatures w14:val="none"/>
        </w:rPr>
        <w:t>da.</w:t>
      </w:r>
      <w:r w:rsidRPr="004A61AD">
        <w:rPr>
          <w:rFonts w:ascii="Book Antiqua" w:eastAsia="Book Antiqua" w:hAnsi="Book Antiqua" w:cs="Book Antiqua"/>
          <w:color w:val="000000"/>
          <w:kern w:val="0"/>
          <w:szCs w:val="20"/>
          <w:vertAlign w:val="superscript"/>
          <w14:ligatures w14:val="none"/>
        </w:rPr>
        <w:tab/>
      </w:r>
      <w:r w:rsidRPr="004A61AD">
        <w:rPr>
          <w:rFonts w:ascii="Book Antiqua" w:eastAsia="Book Antiqua" w:hAnsi="Book Antiqua" w:cs="Book Antiqua"/>
          <w:color w:val="000000"/>
          <w:kern w:val="0"/>
          <w:szCs w:val="20"/>
          <w14:ligatures w14:val="none"/>
        </w:rPr>
        <w:t>Sesión</w:t>
      </w:r>
    </w:p>
    <w:p w14:paraId="5D65E1DB" w14:textId="77777777" w:rsidR="004A61AD" w:rsidRPr="004A61AD" w:rsidRDefault="004A61AD" w:rsidP="004A61AD">
      <w:pPr>
        <w:tabs>
          <w:tab w:val="left" w:pos="648"/>
          <w:tab w:val="right" w:pos="7776"/>
          <w:tab w:val="left" w:pos="7848"/>
        </w:tabs>
        <w:spacing w:after="0" w:line="240" w:lineRule="auto"/>
        <w:rPr>
          <w:rFonts w:ascii="Book Antiqua" w:eastAsia="Book Antiqua" w:hAnsi="Book Antiqua" w:cs="Book Antiqua"/>
          <w:color w:val="000000"/>
          <w:kern w:val="0"/>
          <w:szCs w:val="20"/>
          <w14:ligatures w14:val="none"/>
        </w:rPr>
      </w:pPr>
      <w:r w:rsidRPr="004A61AD">
        <w:rPr>
          <w:rFonts w:ascii="Book Antiqua" w:eastAsia="Book Antiqua" w:hAnsi="Book Antiqua" w:cs="Book Antiqua"/>
          <w:color w:val="000000"/>
          <w:kern w:val="0"/>
          <w:szCs w:val="20"/>
          <w14:ligatures w14:val="none"/>
        </w:rPr>
        <w:tab/>
        <w:t>Legislativa</w:t>
      </w:r>
      <w:r w:rsidRPr="004A61AD">
        <w:rPr>
          <w:rFonts w:ascii="Book Antiqua" w:eastAsia="Book Antiqua" w:hAnsi="Book Antiqua" w:cs="Book Antiqua"/>
          <w:color w:val="000000"/>
          <w:kern w:val="0"/>
          <w:szCs w:val="20"/>
          <w14:ligatures w14:val="none"/>
        </w:rPr>
        <w:tab/>
      </w:r>
      <w:r w:rsidRPr="004A61AD">
        <w:rPr>
          <w:rFonts w:ascii="Book Antiqua" w:eastAsia="Book Antiqua" w:hAnsi="Book Antiqua" w:cs="Book Antiqua"/>
          <w:color w:val="000000"/>
          <w:kern w:val="0"/>
          <w:szCs w:val="20"/>
          <w14:ligatures w14:val="none"/>
        </w:rPr>
        <w:tab/>
        <w:t>Ordinaria</w:t>
      </w:r>
    </w:p>
    <w:p w14:paraId="28968998" w14:textId="77777777" w:rsidR="004A61AD" w:rsidRPr="004A61AD" w:rsidRDefault="004A61AD" w:rsidP="004A61AD">
      <w:pPr>
        <w:spacing w:after="0" w:line="240" w:lineRule="auto"/>
        <w:rPr>
          <w:rFonts w:ascii="Book Antiqua" w:eastAsia="Book Antiqua" w:hAnsi="Book Antiqua" w:cs="Book Antiqua"/>
          <w:color w:val="000000"/>
          <w:kern w:val="0"/>
          <w:szCs w:val="20"/>
          <w14:ligatures w14:val="none"/>
        </w:rPr>
      </w:pPr>
    </w:p>
    <w:p w14:paraId="32294970" w14:textId="77777777" w:rsidR="004A61AD" w:rsidRPr="004A61AD" w:rsidRDefault="004A61AD" w:rsidP="004A61AD">
      <w:pPr>
        <w:spacing w:after="0" w:line="240" w:lineRule="auto"/>
        <w:jc w:val="center"/>
        <w:rPr>
          <w:rFonts w:ascii="Book Antiqua" w:eastAsia="Times New Roman" w:hAnsi="Book Antiqua" w:cs="Times New Roman"/>
          <w:b/>
          <w:color w:val="000000"/>
          <w:kern w:val="0"/>
          <w:sz w:val="36"/>
          <w:szCs w:val="36"/>
          <w14:ligatures w14:val="none"/>
        </w:rPr>
      </w:pPr>
      <w:r w:rsidRPr="004A61AD">
        <w:rPr>
          <w:rFonts w:ascii="Book Antiqua" w:eastAsia="Times New Roman" w:hAnsi="Book Antiqua" w:cs="Times New Roman"/>
          <w:b/>
          <w:color w:val="000000"/>
          <w:kern w:val="0"/>
          <w:sz w:val="36"/>
          <w:szCs w:val="36"/>
          <w14:ligatures w14:val="none"/>
        </w:rPr>
        <w:t>CÁMARA DE REPRESENTANTES</w:t>
      </w:r>
    </w:p>
    <w:p w14:paraId="74F31085" w14:textId="77777777" w:rsidR="004A61AD" w:rsidRPr="004A61AD" w:rsidRDefault="004A61AD" w:rsidP="004A61AD">
      <w:pPr>
        <w:spacing w:after="0" w:line="240" w:lineRule="auto"/>
        <w:jc w:val="center"/>
        <w:rPr>
          <w:rFonts w:ascii="Book Antiqua" w:eastAsia="Times New Roman" w:hAnsi="Book Antiqua" w:cs="Times New Roman"/>
          <w:color w:val="000000"/>
          <w:kern w:val="0"/>
          <w:szCs w:val="20"/>
          <w14:ligatures w14:val="none"/>
        </w:rPr>
      </w:pPr>
    </w:p>
    <w:p w14:paraId="2BCDBF6B" w14:textId="77777777" w:rsidR="004A61AD" w:rsidRPr="004A61AD" w:rsidRDefault="004A61AD" w:rsidP="004A61AD">
      <w:pPr>
        <w:spacing w:after="0" w:line="240" w:lineRule="auto"/>
        <w:jc w:val="center"/>
        <w:rPr>
          <w:rFonts w:ascii="Book Antiqua" w:eastAsia="Times New Roman" w:hAnsi="Book Antiqua" w:cs="Times New Roman"/>
          <w:b/>
          <w:color w:val="000000"/>
          <w:kern w:val="0"/>
          <w:sz w:val="52"/>
          <w:szCs w:val="52"/>
          <w14:ligatures w14:val="none"/>
        </w:rPr>
      </w:pPr>
      <w:r w:rsidRPr="004A61AD">
        <w:rPr>
          <w:rFonts w:ascii="Book Antiqua" w:eastAsia="Times New Roman" w:hAnsi="Book Antiqua" w:cs="Times New Roman"/>
          <w:b/>
          <w:color w:val="000000"/>
          <w:kern w:val="0"/>
          <w:sz w:val="52"/>
          <w:szCs w:val="52"/>
          <w14:ligatures w14:val="none"/>
        </w:rPr>
        <w:t>P. del S. 241</w:t>
      </w:r>
    </w:p>
    <w:p w14:paraId="0F354484" w14:textId="77777777" w:rsidR="004A61AD" w:rsidRPr="004A61AD" w:rsidRDefault="004A61AD" w:rsidP="004A61AD">
      <w:pPr>
        <w:spacing w:after="0" w:line="240" w:lineRule="auto"/>
        <w:jc w:val="center"/>
        <w:rPr>
          <w:rFonts w:ascii="Book Antiqua" w:eastAsia="Times New Roman" w:hAnsi="Book Antiqua" w:cs="Times New Roman"/>
          <w:color w:val="000000"/>
          <w:kern w:val="0"/>
          <w:szCs w:val="20"/>
          <w14:ligatures w14:val="none"/>
        </w:rPr>
      </w:pPr>
    </w:p>
    <w:p w14:paraId="09922ADD" w14:textId="77777777" w:rsidR="004A61AD" w:rsidRPr="00816B2A" w:rsidRDefault="004A61AD" w:rsidP="004A61AD">
      <w:pPr>
        <w:spacing w:after="0" w:line="240" w:lineRule="auto"/>
        <w:jc w:val="center"/>
        <w:rPr>
          <w:rFonts w:ascii="Book Antiqua" w:eastAsia="Times New Roman" w:hAnsi="Book Antiqua" w:cs="Times New Roman"/>
          <w:caps/>
          <w:color w:val="000000"/>
          <w:kern w:val="0"/>
          <w:sz w:val="28"/>
          <w:szCs w:val="28"/>
          <w14:ligatures w14:val="none"/>
        </w:rPr>
      </w:pPr>
      <w:r w:rsidRPr="00816B2A">
        <w:rPr>
          <w:rFonts w:ascii="Book Antiqua" w:eastAsia="Times New Roman" w:hAnsi="Book Antiqua" w:cs="Times New Roman"/>
          <w:b/>
          <w:bCs/>
          <w:caps/>
          <w:color w:val="000000"/>
          <w:kern w:val="0"/>
          <w:sz w:val="28"/>
          <w:szCs w:val="28"/>
          <w:lang w:val="es-ES"/>
          <w14:ligatures w14:val="none"/>
        </w:rPr>
        <w:t>INFORME POSITIVO </w:t>
      </w:r>
      <w:r w:rsidRPr="00816B2A">
        <w:rPr>
          <w:rFonts w:ascii="Book Antiqua" w:eastAsia="Times New Roman" w:hAnsi="Book Antiqua" w:cs="Times New Roman"/>
          <w:caps/>
          <w:color w:val="000000"/>
          <w:kern w:val="0"/>
          <w:sz w:val="28"/>
          <w:szCs w:val="28"/>
          <w14:ligatures w14:val="none"/>
        </w:rPr>
        <w:t> </w:t>
      </w:r>
    </w:p>
    <w:p w14:paraId="47830886" w14:textId="77777777" w:rsidR="004A61AD" w:rsidRPr="004A61AD" w:rsidRDefault="004A61AD" w:rsidP="004A61AD">
      <w:pPr>
        <w:spacing w:after="0" w:line="240" w:lineRule="auto"/>
        <w:jc w:val="center"/>
        <w:rPr>
          <w:rFonts w:ascii="Book Antiqua" w:eastAsia="Times New Roman" w:hAnsi="Book Antiqua" w:cs="Times New Roman"/>
          <w:caps/>
          <w:color w:val="000000"/>
          <w:kern w:val="0"/>
          <w:szCs w:val="20"/>
          <w14:ligatures w14:val="none"/>
        </w:rPr>
      </w:pPr>
    </w:p>
    <w:p w14:paraId="08EAC4EA" w14:textId="224A5E17" w:rsidR="004A61AD" w:rsidRPr="004A61AD" w:rsidRDefault="00053BA3" w:rsidP="004A61AD">
      <w:pPr>
        <w:spacing w:after="0" w:line="240" w:lineRule="auto"/>
        <w:jc w:val="center"/>
        <w:rPr>
          <w:rFonts w:ascii="Book Antiqua" w:eastAsia="Times New Roman" w:hAnsi="Book Antiqua" w:cs="Times New Roman"/>
          <w:b/>
          <w:color w:val="000000"/>
          <w:kern w:val="0"/>
          <w:sz w:val="48"/>
          <w:szCs w:val="20"/>
          <w14:ligatures w14:val="none"/>
        </w:rPr>
      </w:pPr>
      <w:r>
        <w:rPr>
          <w:rFonts w:ascii="Book Antiqua" w:eastAsia="Times New Roman" w:hAnsi="Book Antiqua" w:cs="Times New Roman"/>
          <w:caps/>
          <w:color w:val="000000"/>
          <w:kern w:val="0"/>
          <w:szCs w:val="20"/>
          <w14:ligatures w14:val="none"/>
        </w:rPr>
        <w:t>15</w:t>
      </w:r>
      <w:r w:rsidR="004A61AD" w:rsidRPr="004A61AD">
        <w:rPr>
          <w:rFonts w:ascii="Book Antiqua" w:eastAsia="Times New Roman" w:hAnsi="Book Antiqua" w:cs="Times New Roman"/>
          <w:caps/>
          <w:color w:val="000000"/>
          <w:kern w:val="0"/>
          <w:szCs w:val="20"/>
          <w14:ligatures w14:val="none"/>
        </w:rPr>
        <w:t xml:space="preserve"> de </w:t>
      </w:r>
      <w:r w:rsidR="001E35F1">
        <w:rPr>
          <w:rFonts w:ascii="Book Antiqua" w:eastAsia="Times New Roman" w:hAnsi="Book Antiqua" w:cs="Times New Roman"/>
          <w:caps/>
          <w:color w:val="000000"/>
          <w:kern w:val="0"/>
          <w:szCs w:val="20"/>
          <w14:ligatures w14:val="none"/>
        </w:rPr>
        <w:t>OCTUBRE</w:t>
      </w:r>
      <w:r w:rsidR="004A61AD" w:rsidRPr="004A61AD">
        <w:rPr>
          <w:rFonts w:ascii="Book Antiqua" w:eastAsia="Times New Roman" w:hAnsi="Book Antiqua" w:cs="Times New Roman"/>
          <w:caps/>
          <w:color w:val="000000"/>
          <w:kern w:val="0"/>
          <w:szCs w:val="20"/>
          <w14:ligatures w14:val="none"/>
        </w:rPr>
        <w:t xml:space="preserve"> de</w:t>
      </w:r>
      <w:r w:rsidR="004A61AD" w:rsidRPr="004A61AD">
        <w:rPr>
          <w:rFonts w:ascii="Book Antiqua" w:eastAsia="Times New Roman" w:hAnsi="Book Antiqua" w:cs="Times New Roman"/>
          <w:color w:val="000000"/>
          <w:kern w:val="0"/>
          <w:sz w:val="22"/>
          <w:szCs w:val="22"/>
          <w14:ligatures w14:val="none"/>
        </w:rPr>
        <w:t xml:space="preserve"> </w:t>
      </w:r>
      <w:r w:rsidR="004A61AD" w:rsidRPr="004A61AD">
        <w:rPr>
          <w:rFonts w:ascii="Book Antiqua" w:eastAsia="Times New Roman" w:hAnsi="Book Antiqua" w:cs="Times New Roman"/>
          <w:color w:val="000000"/>
          <w:kern w:val="0"/>
          <w:szCs w:val="20"/>
          <w14:ligatures w14:val="none"/>
        </w:rPr>
        <w:t>2025</w:t>
      </w:r>
    </w:p>
    <w:p w14:paraId="3190FC62" w14:textId="77777777" w:rsidR="004A61AD" w:rsidRPr="004A61AD" w:rsidRDefault="004A61AD" w:rsidP="004A61AD">
      <w:pPr>
        <w:spacing w:after="0" w:line="480" w:lineRule="auto"/>
        <w:jc w:val="both"/>
        <w:rPr>
          <w:rFonts w:ascii="Book Antiqua" w:eastAsia="Times New Roman" w:hAnsi="Book Antiqua" w:cs="Times New Roman"/>
          <w:kern w:val="0"/>
          <w14:ligatures w14:val="none"/>
        </w:rPr>
      </w:pPr>
      <w:r w:rsidRPr="004A61AD">
        <w:rPr>
          <w:rFonts w:ascii="Book Antiqua" w:eastAsia="Times New Roman" w:hAnsi="Book Antiqua" w:cs="Times New Roman"/>
          <w:kern w:val="0"/>
          <w14:ligatures w14:val="none"/>
        </w:rPr>
        <w:cr/>
      </w:r>
      <w:r w:rsidRPr="004A61AD">
        <w:rPr>
          <w:rFonts w:ascii="Book Antiqua" w:eastAsia="Times New Roman" w:hAnsi="Book Antiqua" w:cs="Times New Roman"/>
          <w:b/>
          <w:kern w:val="0"/>
          <w14:ligatures w14:val="none"/>
        </w:rPr>
        <w:t>A LA CÁMARA DE REPRESENTANTES DE PUERTO RICO:</w:t>
      </w:r>
    </w:p>
    <w:p w14:paraId="1A25A295" w14:textId="7EE5F08B" w:rsidR="001E35F1" w:rsidRPr="00B82909" w:rsidRDefault="001E35F1" w:rsidP="001E35F1">
      <w:pPr>
        <w:spacing w:after="0" w:line="276" w:lineRule="auto"/>
        <w:jc w:val="both"/>
        <w:rPr>
          <w:rFonts w:ascii="Book Antiqua" w:eastAsia="Times New Roman" w:hAnsi="Book Antiqua" w:cs="Times New Roman"/>
          <w:kern w:val="0"/>
          <w14:ligatures w14:val="none"/>
        </w:rPr>
      </w:pPr>
      <w:r w:rsidRPr="005F1070">
        <w:rPr>
          <w:rFonts w:ascii="Book Antiqua" w:eastAsia="Times New Roman" w:hAnsi="Book Antiqua" w:cs="Times New Roman"/>
          <w:kern w:val="0"/>
          <w14:ligatures w14:val="none"/>
        </w:rPr>
        <w:t>La Comisión de Hacienda de la Cámara de Representantes, previo estudio, análisis y consideración del Proyecto de</w:t>
      </w:r>
      <w:r w:rsidR="008F34E6">
        <w:rPr>
          <w:rFonts w:ascii="Book Antiqua" w:eastAsia="Times New Roman" w:hAnsi="Book Antiqua" w:cs="Times New Roman"/>
          <w:kern w:val="0"/>
          <w14:ligatures w14:val="none"/>
        </w:rPr>
        <w:t>l Senado</w:t>
      </w:r>
      <w:r w:rsidRPr="005F1070">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241</w:t>
      </w:r>
      <w:r w:rsidRPr="005F1070">
        <w:rPr>
          <w:rFonts w:ascii="Book Antiqua" w:eastAsia="Times New Roman" w:hAnsi="Book Antiqua" w:cs="Times New Roman"/>
          <w:kern w:val="0"/>
          <w14:ligatures w14:val="none"/>
        </w:rPr>
        <w:t xml:space="preserve">, y en cumplimiento con las disposiciones del Reglamento de la Cámara de Representantes, tiene a bien recomendar a este </w:t>
      </w:r>
      <w:r>
        <w:rPr>
          <w:rFonts w:ascii="Book Antiqua" w:eastAsia="Times New Roman" w:hAnsi="Book Antiqua" w:cs="Times New Roman"/>
          <w:kern w:val="0"/>
          <w14:ligatures w14:val="none"/>
        </w:rPr>
        <w:t>Honorable</w:t>
      </w:r>
      <w:r w:rsidRPr="005F1070">
        <w:rPr>
          <w:rFonts w:ascii="Book Antiqua" w:eastAsia="Times New Roman" w:hAnsi="Book Antiqua" w:cs="Times New Roman"/>
          <w:kern w:val="0"/>
          <w14:ligatures w14:val="none"/>
        </w:rPr>
        <w:t xml:space="preserve"> Cuerpo la aprobación de esta medida, </w:t>
      </w:r>
      <w:r>
        <w:rPr>
          <w:rFonts w:ascii="Book Antiqua" w:eastAsia="Times New Roman" w:hAnsi="Book Antiqua" w:cs="Times New Roman"/>
          <w:kern w:val="0"/>
          <w14:ligatures w14:val="none"/>
        </w:rPr>
        <w:t>sin</w:t>
      </w:r>
      <w:r w:rsidRPr="005F1070">
        <w:rPr>
          <w:rFonts w:ascii="Book Antiqua" w:eastAsia="Times New Roman" w:hAnsi="Book Antiqua" w:cs="Times New Roman"/>
          <w:kern w:val="0"/>
          <w14:ligatures w14:val="none"/>
        </w:rPr>
        <w:t xml:space="preserve"> enmiendas</w:t>
      </w:r>
      <w:r>
        <w:rPr>
          <w:rFonts w:ascii="Book Antiqua" w:eastAsia="Times New Roman" w:hAnsi="Book Antiqua" w:cs="Times New Roman"/>
          <w:kern w:val="0"/>
          <w14:ligatures w14:val="none"/>
        </w:rPr>
        <w:t>.</w:t>
      </w:r>
    </w:p>
    <w:p w14:paraId="2C988E0F" w14:textId="77777777" w:rsidR="00C208DD" w:rsidRPr="004A61AD" w:rsidRDefault="00C208DD" w:rsidP="002F54D3">
      <w:pPr>
        <w:spacing w:after="0" w:line="240" w:lineRule="auto"/>
        <w:jc w:val="both"/>
        <w:rPr>
          <w:rFonts w:ascii="Book Antiqua" w:eastAsia="Times New Roman" w:hAnsi="Book Antiqua" w:cs="Times New Roman"/>
          <w:kern w:val="0"/>
          <w14:ligatures w14:val="none"/>
        </w:rPr>
      </w:pPr>
    </w:p>
    <w:p w14:paraId="7EECB48B" w14:textId="77777777" w:rsidR="004A61AD" w:rsidRPr="004A61AD" w:rsidRDefault="004A61AD" w:rsidP="004A61AD">
      <w:pPr>
        <w:spacing w:after="0" w:line="240" w:lineRule="auto"/>
        <w:ind w:firstLine="720"/>
        <w:jc w:val="both"/>
        <w:rPr>
          <w:rFonts w:ascii="Book Antiqua" w:eastAsia="Times New Roman" w:hAnsi="Book Antiqua" w:cs="Times New Roman"/>
          <w:kern w:val="0"/>
          <w14:ligatures w14:val="none"/>
        </w:rPr>
      </w:pPr>
    </w:p>
    <w:p w14:paraId="59D74091" w14:textId="77777777" w:rsidR="004A61AD" w:rsidRPr="004A61AD" w:rsidRDefault="004A61AD" w:rsidP="004A61AD">
      <w:pPr>
        <w:spacing w:after="0" w:line="240" w:lineRule="auto"/>
        <w:jc w:val="center"/>
        <w:rPr>
          <w:rFonts w:ascii="Book Antiqua" w:eastAsia="Times New Roman" w:hAnsi="Book Antiqua" w:cs="Times New Roman"/>
          <w:b/>
          <w:smallCaps/>
          <w:kern w:val="0"/>
          <w:sz w:val="28"/>
          <w:szCs w:val="22"/>
          <w14:ligatures w14:val="none"/>
        </w:rPr>
      </w:pPr>
      <w:bookmarkStart w:id="0" w:name="_Hlk210915696"/>
      <w:r w:rsidRPr="004A61AD">
        <w:rPr>
          <w:rFonts w:ascii="Book Antiqua" w:eastAsia="Times New Roman" w:hAnsi="Book Antiqua" w:cs="Times New Roman"/>
          <w:b/>
          <w:smallCaps/>
          <w:kern w:val="0"/>
          <w:sz w:val="28"/>
          <w:szCs w:val="22"/>
          <w14:ligatures w14:val="none"/>
        </w:rPr>
        <w:t>Alcance de la Medida</w:t>
      </w:r>
    </w:p>
    <w:bookmarkEnd w:id="0"/>
    <w:p w14:paraId="31D4CF1F" w14:textId="77777777" w:rsidR="004A61AD" w:rsidRPr="004A61AD" w:rsidRDefault="004A61AD" w:rsidP="004A61AD">
      <w:pPr>
        <w:spacing w:after="0" w:line="240" w:lineRule="auto"/>
        <w:jc w:val="center"/>
        <w:rPr>
          <w:rFonts w:ascii="Book Antiqua" w:eastAsia="Times New Roman" w:hAnsi="Book Antiqua" w:cs="Times New Roman"/>
          <w:b/>
          <w:smallCaps/>
          <w:kern w:val="0"/>
          <w:sz w:val="28"/>
          <w:szCs w:val="22"/>
          <w14:ligatures w14:val="none"/>
        </w:rPr>
      </w:pPr>
    </w:p>
    <w:p w14:paraId="0CD83498" w14:textId="2E8330D3" w:rsidR="006C272A" w:rsidRDefault="002F54D3" w:rsidP="006C272A">
      <w:pPr>
        <w:spacing w:after="240" w:line="24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El P. del S. 241</w:t>
      </w:r>
      <w:r w:rsidR="006C272A">
        <w:rPr>
          <w:rFonts w:ascii="Book Antiqua" w:eastAsia="Times New Roman" w:hAnsi="Book Antiqua" w:cs="Times New Roman"/>
          <w:bCs/>
          <w:kern w:val="0"/>
          <w14:ligatures w14:val="none"/>
        </w:rPr>
        <w:t xml:space="preserve"> tiene como finalidad</w:t>
      </w:r>
      <w:r w:rsidR="006C272A" w:rsidRPr="006C272A">
        <w:rPr>
          <w:rFonts w:ascii="Book Antiqua" w:eastAsia="Times New Roman" w:hAnsi="Book Antiqua" w:cs="Times New Roman"/>
          <w:bCs/>
          <w:kern w:val="0"/>
          <w14:ligatures w14:val="none"/>
        </w:rPr>
        <w:t xml:space="preserve"> enmendar la Sección 6042.08 de la Ley 1-2011, según enmendada, conocida como el “Código de Rentas Internas de Puerto Rico de 2011”, con el propósito de disponer para la suspensión de la licencia para traficar cigarrillos, al por mayor o al detal, o cualquier otra licencia relacionada con cigarrillos, por un término de doce (12) meses, y para imponerle multa administrativa de diez mil (10,000) dólares por cada incidente, sin perjuicio de lo establecido en la “Ley para Corregir la Explotación de Niños Menores de Edad”, a toda persona, natural o jurídica, o dueño o administrador de un negocio o establecimiento comercial que, no solo venda, done, dispense, despache o distribuya, sino que intente realizar acciones inequívocas e inmediatamente dirigidas a vender, donar, dispensar o distribuir cigarrillos, cigarrillos electrónicos, cigarros, tabaco para mascar o cualquier preparación de tabaco que se inhale o mastique a personas menores de veintiún (21) años; aplicar la pena antes descrita a quien induzca, aconseje, incite, persuada, tiente, manipule, coaccione o ayude o que intente inducir, aconsejar, incitar, persuadir, tentar, manipular, coaccionar o ayudar a personas menores de veintiún (21) años de edad a adquirir cigarrillos o cigarrillos electrónicos, cigarros, tabaco para </w:t>
      </w:r>
      <w:r w:rsidR="006C272A" w:rsidRPr="006C272A">
        <w:rPr>
          <w:rFonts w:ascii="Book Antiqua" w:eastAsia="Times New Roman" w:hAnsi="Book Antiqua" w:cs="Times New Roman"/>
          <w:bCs/>
          <w:kern w:val="0"/>
          <w14:ligatures w14:val="none"/>
        </w:rPr>
        <w:lastRenderedPageBreak/>
        <w:t>mascar o cualquier preparación de tabaco que se inhale o mastique, entre otros; y para otros fines relacionados.</w:t>
      </w:r>
    </w:p>
    <w:p w14:paraId="35831463" w14:textId="48F22FE7" w:rsidR="004A61AD" w:rsidRPr="004A61AD" w:rsidRDefault="004A61AD" w:rsidP="004A61AD">
      <w:pPr>
        <w:spacing w:after="240" w:line="240" w:lineRule="auto"/>
        <w:jc w:val="center"/>
        <w:rPr>
          <w:rFonts w:ascii="Book Antiqua" w:eastAsia="Times New Roman" w:hAnsi="Book Antiqua" w:cs="Times New Roman"/>
          <w:b/>
          <w:bCs/>
          <w:smallCaps/>
          <w:color w:val="000000"/>
          <w:kern w:val="0"/>
          <w:sz w:val="28"/>
          <w:szCs w:val="28"/>
          <w14:ligatures w14:val="none"/>
        </w:rPr>
      </w:pPr>
      <w:r w:rsidRPr="004A61AD">
        <w:rPr>
          <w:rFonts w:ascii="Book Antiqua" w:eastAsia="Times New Roman" w:hAnsi="Book Antiqua" w:cs="Times New Roman"/>
          <w:b/>
          <w:bCs/>
          <w:smallCaps/>
          <w:color w:val="000000"/>
          <w:kern w:val="0"/>
          <w:sz w:val="28"/>
          <w:szCs w:val="28"/>
          <w14:ligatures w14:val="none"/>
        </w:rPr>
        <w:t>Análisis de la Medida</w:t>
      </w:r>
    </w:p>
    <w:p w14:paraId="3CF4A3BB" w14:textId="598C0264" w:rsidR="00613833" w:rsidRPr="00613833" w:rsidRDefault="00613833" w:rsidP="00613833">
      <w:pPr>
        <w:spacing w:before="100" w:beforeAutospacing="1" w:after="100" w:afterAutospacing="1" w:line="240" w:lineRule="auto"/>
        <w:jc w:val="both"/>
        <w:rPr>
          <w:rFonts w:ascii="Book Antiqua" w:eastAsia="Times New Roman" w:hAnsi="Book Antiqua" w:cs="Times New Roman"/>
          <w:color w:val="000000"/>
          <w:kern w:val="0"/>
          <w14:ligatures w14:val="none"/>
        </w:rPr>
      </w:pPr>
      <w:r w:rsidRPr="00613833">
        <w:rPr>
          <w:rFonts w:ascii="Book Antiqua" w:eastAsia="Times New Roman" w:hAnsi="Book Antiqua" w:cs="Times New Roman"/>
          <w:color w:val="000000"/>
          <w:kern w:val="0"/>
          <w14:ligatures w14:val="none"/>
        </w:rPr>
        <w:t>El P</w:t>
      </w:r>
      <w:r w:rsidR="00F01F0D">
        <w:rPr>
          <w:rFonts w:ascii="Book Antiqua" w:eastAsia="Times New Roman" w:hAnsi="Book Antiqua" w:cs="Times New Roman"/>
          <w:color w:val="000000"/>
          <w:kern w:val="0"/>
          <w14:ligatures w14:val="none"/>
        </w:rPr>
        <w:t xml:space="preserve">. del </w:t>
      </w:r>
      <w:r w:rsidRPr="00613833">
        <w:rPr>
          <w:rFonts w:ascii="Book Antiqua" w:eastAsia="Times New Roman" w:hAnsi="Book Antiqua" w:cs="Times New Roman"/>
          <w:color w:val="000000"/>
          <w:kern w:val="0"/>
          <w14:ligatures w14:val="none"/>
        </w:rPr>
        <w:t>S</w:t>
      </w:r>
      <w:r w:rsidR="00F01F0D">
        <w:rPr>
          <w:rFonts w:ascii="Book Antiqua" w:eastAsia="Times New Roman" w:hAnsi="Book Antiqua" w:cs="Times New Roman"/>
          <w:color w:val="000000"/>
          <w:kern w:val="0"/>
          <w14:ligatures w14:val="none"/>
        </w:rPr>
        <w:t>.</w:t>
      </w:r>
      <w:r w:rsidRPr="00613833">
        <w:rPr>
          <w:rFonts w:ascii="Book Antiqua" w:eastAsia="Times New Roman" w:hAnsi="Book Antiqua" w:cs="Times New Roman"/>
          <w:color w:val="000000"/>
          <w:kern w:val="0"/>
          <w14:ligatures w14:val="none"/>
        </w:rPr>
        <w:t xml:space="preserve"> 241 refuerza la política pública de salud y prevención al proteger a los menores de edad del acceso a productos de tabaco y nicotina, estableciendo sanciones claras, proporcionales y fiscalmente responsables. </w:t>
      </w:r>
      <w:r w:rsidRPr="000054CC">
        <w:rPr>
          <w:rFonts w:ascii="Book Antiqua" w:eastAsia="Times New Roman" w:hAnsi="Book Antiqua" w:cs="Times New Roman"/>
          <w:color w:val="000000"/>
          <w:kern w:val="0"/>
          <w14:ligatures w14:val="none"/>
        </w:rPr>
        <w:t>De igual forma el P</w:t>
      </w:r>
      <w:r w:rsidR="00490EDB">
        <w:rPr>
          <w:rFonts w:ascii="Book Antiqua" w:eastAsia="Times New Roman" w:hAnsi="Book Antiqua" w:cs="Times New Roman"/>
          <w:color w:val="000000"/>
          <w:kern w:val="0"/>
          <w14:ligatures w14:val="none"/>
        </w:rPr>
        <w:t xml:space="preserve">. del </w:t>
      </w:r>
      <w:r w:rsidRPr="000054CC">
        <w:rPr>
          <w:rFonts w:ascii="Book Antiqua" w:eastAsia="Times New Roman" w:hAnsi="Book Antiqua" w:cs="Times New Roman"/>
          <w:color w:val="000000"/>
          <w:kern w:val="0"/>
          <w14:ligatures w14:val="none"/>
        </w:rPr>
        <w:t>S</w:t>
      </w:r>
      <w:r w:rsidR="00490EDB">
        <w:rPr>
          <w:rFonts w:ascii="Book Antiqua" w:eastAsia="Times New Roman" w:hAnsi="Book Antiqua" w:cs="Times New Roman"/>
          <w:color w:val="000000"/>
          <w:kern w:val="0"/>
          <w14:ligatures w14:val="none"/>
        </w:rPr>
        <w:t>.</w:t>
      </w:r>
      <w:r w:rsidRPr="000054CC">
        <w:rPr>
          <w:rFonts w:ascii="Book Antiqua" w:eastAsia="Times New Roman" w:hAnsi="Book Antiqua" w:cs="Times New Roman"/>
          <w:color w:val="000000"/>
          <w:kern w:val="0"/>
          <w14:ligatures w14:val="none"/>
        </w:rPr>
        <w:t xml:space="preserve"> 241 </w:t>
      </w:r>
      <w:r w:rsidR="004A61AD" w:rsidRPr="004A61AD">
        <w:rPr>
          <w:rFonts w:ascii="Book Antiqua" w:eastAsia="Times New Roman" w:hAnsi="Book Antiqua" w:cs="Times New Roman"/>
          <w:color w:val="000000"/>
          <w:kern w:val="0"/>
          <w14:ligatures w14:val="none"/>
        </w:rPr>
        <w:t xml:space="preserve">amplía la responsabilidad no solo a la venta directa, sino también a los intentos de </w:t>
      </w:r>
      <w:r w:rsidR="00490EDB">
        <w:rPr>
          <w:rFonts w:ascii="Book Antiqua" w:eastAsia="Times New Roman" w:hAnsi="Book Antiqua" w:cs="Times New Roman"/>
          <w:color w:val="000000"/>
          <w:kern w:val="0"/>
          <w14:ligatures w14:val="none"/>
        </w:rPr>
        <w:t>coacción</w:t>
      </w:r>
      <w:r w:rsidR="004A61AD" w:rsidRPr="004A61AD">
        <w:rPr>
          <w:rFonts w:ascii="Book Antiqua" w:eastAsia="Times New Roman" w:hAnsi="Book Antiqua" w:cs="Times New Roman"/>
          <w:color w:val="000000"/>
          <w:kern w:val="0"/>
          <w14:ligatures w14:val="none"/>
        </w:rPr>
        <w:t xml:space="preserve"> o manipulación, lo que fortalece la protección integral de los menores. </w:t>
      </w:r>
      <w:r w:rsidR="000054CC" w:rsidRPr="000054CC">
        <w:rPr>
          <w:rFonts w:ascii="Book Antiqua" w:eastAsia="Times New Roman" w:hAnsi="Book Antiqua" w:cs="Times New Roman"/>
          <w:color w:val="000000"/>
          <w:kern w:val="0"/>
          <w14:ligatures w14:val="none"/>
        </w:rPr>
        <w:t xml:space="preserve">El informe de </w:t>
      </w:r>
      <w:r w:rsidRPr="00613833">
        <w:rPr>
          <w:rFonts w:ascii="Book Antiqua" w:eastAsia="Times New Roman" w:hAnsi="Book Antiqua" w:cs="Times New Roman"/>
          <w:color w:val="000000"/>
          <w:kern w:val="0"/>
          <w14:ligatures w14:val="none"/>
        </w:rPr>
        <w:t>OPAL concluye que la pieza no tiene impacto fiscal directo en el Fondo General, al limitarse a regular conductas sin implicar erogación de fondos; en todo caso, podrían generarse recaudos no significativos por multas administrativas, lo que confirma su neutralidad fiscal y coherencia con la responsabilidad presupuestaria. Este balance entre protección de la salud pública y neutralidad fiscal fortalece la viabilidad técnica de la medida.</w:t>
      </w:r>
    </w:p>
    <w:p w14:paraId="18A2BA90" w14:textId="77777777" w:rsidR="00613833" w:rsidRPr="00613833" w:rsidRDefault="00613833" w:rsidP="00613833">
      <w:pPr>
        <w:spacing w:before="100" w:beforeAutospacing="1" w:after="100" w:afterAutospacing="1" w:line="240" w:lineRule="auto"/>
        <w:jc w:val="both"/>
        <w:rPr>
          <w:rFonts w:ascii="Book Antiqua" w:eastAsia="Times New Roman" w:hAnsi="Book Antiqua" w:cs="Times New Roman"/>
          <w:b/>
          <w:bCs/>
          <w:color w:val="000000"/>
          <w:kern w:val="0"/>
          <w14:ligatures w14:val="none"/>
        </w:rPr>
      </w:pPr>
      <w:r w:rsidRPr="00613833">
        <w:rPr>
          <w:rFonts w:ascii="Book Antiqua" w:eastAsia="Times New Roman" w:hAnsi="Book Antiqua" w:cs="Times New Roman"/>
          <w:b/>
          <w:bCs/>
          <w:color w:val="000000"/>
          <w:kern w:val="0"/>
          <w14:ligatures w14:val="none"/>
        </w:rPr>
        <w:t>Marco federal y mejores prácticas regulatorias</w:t>
      </w:r>
    </w:p>
    <w:p w14:paraId="35DBD704" w14:textId="2EB59202" w:rsidR="00613833" w:rsidRPr="00F01F0D" w:rsidRDefault="00613833" w:rsidP="00613833">
      <w:pPr>
        <w:spacing w:before="100" w:beforeAutospacing="1" w:after="100" w:afterAutospacing="1" w:line="240" w:lineRule="auto"/>
        <w:jc w:val="both"/>
        <w:rPr>
          <w:rFonts w:ascii="Book Antiqua" w:eastAsia="Times New Roman" w:hAnsi="Book Antiqua" w:cs="Times New Roman"/>
          <w:color w:val="000000"/>
          <w:kern w:val="0"/>
          <w14:ligatures w14:val="none"/>
        </w:rPr>
      </w:pPr>
      <w:r w:rsidRPr="00613833">
        <w:rPr>
          <w:rFonts w:ascii="Book Antiqua" w:eastAsia="Times New Roman" w:hAnsi="Book Antiqua" w:cs="Times New Roman"/>
          <w:color w:val="000000"/>
          <w:kern w:val="0"/>
          <w14:ligatures w14:val="none"/>
        </w:rPr>
        <w:t>A nivel federal, la ley conocida como “</w:t>
      </w:r>
      <w:proofErr w:type="spellStart"/>
      <w:r w:rsidRPr="00613833">
        <w:rPr>
          <w:rFonts w:ascii="Book Antiqua" w:eastAsia="Times New Roman" w:hAnsi="Book Antiqua" w:cs="Times New Roman"/>
          <w:color w:val="000000"/>
          <w:kern w:val="0"/>
          <w14:ligatures w14:val="none"/>
        </w:rPr>
        <w:t>Tobacco</w:t>
      </w:r>
      <w:proofErr w:type="spellEnd"/>
      <w:r w:rsidRPr="00613833">
        <w:rPr>
          <w:rFonts w:ascii="Book Antiqua" w:eastAsia="Times New Roman" w:hAnsi="Book Antiqua" w:cs="Times New Roman"/>
          <w:color w:val="000000"/>
          <w:kern w:val="0"/>
          <w14:ligatures w14:val="none"/>
        </w:rPr>
        <w:t xml:space="preserve"> 21” elevó la edad mínima para la venta de productos de tabaco de 18 a 21 años y aplica sin excepciones a todos los minoristas, incluyendo cigarrillos, tabaco sin humo, e</w:t>
      </w:r>
      <w:r w:rsidRPr="00613833">
        <w:rPr>
          <w:rFonts w:ascii="Book Antiqua" w:eastAsia="Times New Roman" w:hAnsi="Book Antiqua" w:cs="Times New Roman"/>
          <w:color w:val="000000"/>
          <w:kern w:val="0"/>
          <w14:ligatures w14:val="none"/>
        </w:rPr>
        <w:noBreakHyphen/>
        <w:t xml:space="preserve">cigarrillos y productos de nicotina de cualquier fuente. </w:t>
      </w:r>
      <w:r w:rsidR="000054CC">
        <w:rPr>
          <w:rFonts w:ascii="Book Antiqua" w:eastAsia="Times New Roman" w:hAnsi="Book Antiqua" w:cs="Times New Roman"/>
          <w:color w:val="000000"/>
          <w:kern w:val="0"/>
          <w14:ligatures w14:val="none"/>
        </w:rPr>
        <w:t>El “final rule” o determinación final emitido por</w:t>
      </w:r>
      <w:r w:rsidRPr="00613833">
        <w:rPr>
          <w:rFonts w:ascii="Book Antiqua" w:eastAsia="Times New Roman" w:hAnsi="Book Antiqua" w:cs="Times New Roman"/>
          <w:color w:val="000000"/>
          <w:kern w:val="0"/>
          <w14:ligatures w14:val="none"/>
        </w:rPr>
        <w:t xml:space="preserve"> FDA (vigente desde el 30 de septiembre de 2024) exige verificación de identificación con foto para todo comprador menor de 30 años y prohíbe ventas por máquinas expendedoras en instalaciones donde puedan entrar personas menores de 21, alineando la fiscalización con la reducción del acceso juvenil y proporcionando recursos de cumplimiento para minoristas. Estas disposiciones federales sostienen el enfoque del P</w:t>
      </w:r>
      <w:r w:rsidR="00F01F0D">
        <w:rPr>
          <w:rFonts w:ascii="Book Antiqua" w:eastAsia="Times New Roman" w:hAnsi="Book Antiqua" w:cs="Times New Roman"/>
          <w:color w:val="000000"/>
          <w:kern w:val="0"/>
          <w14:ligatures w14:val="none"/>
        </w:rPr>
        <w:t xml:space="preserve">. del </w:t>
      </w:r>
      <w:r w:rsidRPr="00613833">
        <w:rPr>
          <w:rFonts w:ascii="Book Antiqua" w:eastAsia="Times New Roman" w:hAnsi="Book Antiqua" w:cs="Times New Roman"/>
          <w:color w:val="000000"/>
          <w:kern w:val="0"/>
          <w14:ligatures w14:val="none"/>
        </w:rPr>
        <w:t>S</w:t>
      </w:r>
      <w:r w:rsidR="00F01F0D">
        <w:rPr>
          <w:rFonts w:ascii="Book Antiqua" w:eastAsia="Times New Roman" w:hAnsi="Book Antiqua" w:cs="Times New Roman"/>
          <w:color w:val="000000"/>
          <w:kern w:val="0"/>
          <w14:ligatures w14:val="none"/>
        </w:rPr>
        <w:t>.</w:t>
      </w:r>
      <w:r w:rsidRPr="00613833">
        <w:rPr>
          <w:rFonts w:ascii="Book Antiqua" w:eastAsia="Times New Roman" w:hAnsi="Book Antiqua" w:cs="Times New Roman"/>
          <w:color w:val="000000"/>
          <w:kern w:val="0"/>
          <w14:ligatures w14:val="none"/>
        </w:rPr>
        <w:t xml:space="preserve"> 241 al promover controles operativos que disuaden la venta y facilitan la aplicación de sanciones administrativas y de licenciamiento a nivel local</w:t>
      </w:r>
      <w:r w:rsidR="00131F6D">
        <w:rPr>
          <w:rStyle w:val="FootnoteReference"/>
          <w:rFonts w:ascii="Book Antiqua" w:eastAsia="Times New Roman" w:hAnsi="Book Antiqua" w:cs="Times New Roman"/>
          <w:color w:val="000000"/>
          <w:kern w:val="0"/>
          <w14:ligatures w14:val="none"/>
        </w:rPr>
        <w:footnoteReference w:id="1"/>
      </w:r>
      <w:r w:rsidR="000054CC">
        <w:rPr>
          <w:rFonts w:ascii="Book Antiqua" w:eastAsia="Times New Roman" w:hAnsi="Book Antiqua" w:cs="Times New Roman"/>
          <w:color w:val="000000"/>
          <w:kern w:val="0"/>
          <w14:ligatures w14:val="none"/>
        </w:rPr>
        <w:t xml:space="preserve"> </w:t>
      </w:r>
    </w:p>
    <w:p w14:paraId="74926D80" w14:textId="3C241A7D" w:rsidR="000054CC" w:rsidRPr="00613833" w:rsidRDefault="00AE2940" w:rsidP="00613833">
      <w:pPr>
        <w:spacing w:before="100" w:beforeAutospacing="1" w:after="100" w:afterAutospacing="1" w:line="240" w:lineRule="auto"/>
        <w:jc w:val="both"/>
        <w:rPr>
          <w:rFonts w:ascii="Book Antiqua" w:eastAsia="Times New Roman" w:hAnsi="Book Antiqua" w:cs="Times New Roman"/>
          <w:color w:val="000000"/>
          <w:kern w:val="0"/>
          <w14:ligatures w14:val="none"/>
        </w:rPr>
      </w:pPr>
      <w:r w:rsidRPr="00AE2940">
        <w:rPr>
          <w:rFonts w:ascii="Book Antiqua" w:eastAsia="Times New Roman" w:hAnsi="Book Antiqua" w:cs="Times New Roman"/>
          <w:color w:val="000000"/>
          <w:kern w:val="0"/>
          <w14:ligatures w14:val="none"/>
        </w:rPr>
        <w:t xml:space="preserve">El </w:t>
      </w:r>
      <w:r w:rsidRPr="00F01F0D">
        <w:rPr>
          <w:rFonts w:ascii="Book Antiqua" w:eastAsia="Times New Roman" w:hAnsi="Book Antiqua" w:cs="Times New Roman"/>
          <w:color w:val="000000"/>
          <w:kern w:val="0"/>
          <w14:ligatures w14:val="none"/>
        </w:rPr>
        <w:t xml:space="preserve">Programa </w:t>
      </w:r>
      <w:proofErr w:type="spellStart"/>
      <w:r w:rsidRPr="00F01F0D">
        <w:rPr>
          <w:rFonts w:ascii="Book Antiqua" w:eastAsia="Times New Roman" w:hAnsi="Book Antiqua" w:cs="Times New Roman"/>
          <w:color w:val="000000"/>
          <w:kern w:val="0"/>
          <w14:ligatures w14:val="none"/>
        </w:rPr>
        <w:t>Synar</w:t>
      </w:r>
      <w:proofErr w:type="spellEnd"/>
      <w:r w:rsidRPr="00AE2940">
        <w:rPr>
          <w:rFonts w:ascii="Book Antiqua" w:eastAsia="Times New Roman" w:hAnsi="Book Antiqua" w:cs="Times New Roman"/>
          <w:color w:val="000000"/>
          <w:kern w:val="0"/>
          <w14:ligatures w14:val="none"/>
        </w:rPr>
        <w:t xml:space="preserve">, creado en 1992 y administrado por la </w:t>
      </w:r>
      <w:proofErr w:type="spellStart"/>
      <w:r w:rsidRPr="00AE2940">
        <w:rPr>
          <w:rFonts w:ascii="Book Antiqua" w:eastAsia="Times New Roman" w:hAnsi="Book Antiqua" w:cs="Times New Roman"/>
          <w:i/>
          <w:iCs/>
          <w:color w:val="000000"/>
          <w:kern w:val="0"/>
          <w14:ligatures w14:val="none"/>
        </w:rPr>
        <w:t>Substance</w:t>
      </w:r>
      <w:proofErr w:type="spellEnd"/>
      <w:r w:rsidRPr="00AE2940">
        <w:rPr>
          <w:rFonts w:ascii="Book Antiqua" w:eastAsia="Times New Roman" w:hAnsi="Book Antiqua" w:cs="Times New Roman"/>
          <w:i/>
          <w:iCs/>
          <w:color w:val="000000"/>
          <w:kern w:val="0"/>
          <w14:ligatures w14:val="none"/>
        </w:rPr>
        <w:t xml:space="preserve"> Abuse and Mental </w:t>
      </w:r>
      <w:proofErr w:type="spellStart"/>
      <w:r w:rsidRPr="00AE2940">
        <w:rPr>
          <w:rFonts w:ascii="Book Antiqua" w:eastAsia="Times New Roman" w:hAnsi="Book Antiqua" w:cs="Times New Roman"/>
          <w:i/>
          <w:iCs/>
          <w:color w:val="000000"/>
          <w:kern w:val="0"/>
          <w14:ligatures w14:val="none"/>
        </w:rPr>
        <w:t>Health</w:t>
      </w:r>
      <w:proofErr w:type="spellEnd"/>
      <w:r w:rsidRPr="00AE2940">
        <w:rPr>
          <w:rFonts w:ascii="Book Antiqua" w:eastAsia="Times New Roman" w:hAnsi="Book Antiqua" w:cs="Times New Roman"/>
          <w:i/>
          <w:iCs/>
          <w:color w:val="000000"/>
          <w:kern w:val="0"/>
          <w14:ligatures w14:val="none"/>
        </w:rPr>
        <w:t xml:space="preserve"> </w:t>
      </w:r>
      <w:proofErr w:type="spellStart"/>
      <w:r w:rsidRPr="00AE2940">
        <w:rPr>
          <w:rFonts w:ascii="Book Antiqua" w:eastAsia="Times New Roman" w:hAnsi="Book Antiqua" w:cs="Times New Roman"/>
          <w:i/>
          <w:iCs/>
          <w:color w:val="000000"/>
          <w:kern w:val="0"/>
          <w14:ligatures w14:val="none"/>
        </w:rPr>
        <w:t>Services</w:t>
      </w:r>
      <w:proofErr w:type="spellEnd"/>
      <w:r w:rsidRPr="00AE2940">
        <w:rPr>
          <w:rFonts w:ascii="Book Antiqua" w:eastAsia="Times New Roman" w:hAnsi="Book Antiqua" w:cs="Times New Roman"/>
          <w:i/>
          <w:iCs/>
          <w:color w:val="000000"/>
          <w:kern w:val="0"/>
          <w14:ligatures w14:val="none"/>
        </w:rPr>
        <w:t xml:space="preserve"> </w:t>
      </w:r>
      <w:proofErr w:type="spellStart"/>
      <w:r w:rsidRPr="00AE2940">
        <w:rPr>
          <w:rFonts w:ascii="Book Antiqua" w:eastAsia="Times New Roman" w:hAnsi="Book Antiqua" w:cs="Times New Roman"/>
          <w:i/>
          <w:iCs/>
          <w:color w:val="000000"/>
          <w:kern w:val="0"/>
          <w14:ligatures w14:val="none"/>
        </w:rPr>
        <w:t>Administration</w:t>
      </w:r>
      <w:proofErr w:type="spellEnd"/>
      <w:r w:rsidRPr="00AE2940">
        <w:rPr>
          <w:rFonts w:ascii="Book Antiqua" w:eastAsia="Times New Roman" w:hAnsi="Book Antiqua" w:cs="Times New Roman"/>
          <w:i/>
          <w:iCs/>
          <w:color w:val="000000"/>
          <w:kern w:val="0"/>
          <w14:ligatures w14:val="none"/>
        </w:rPr>
        <w:t xml:space="preserve"> (SAMHSA)</w:t>
      </w:r>
      <w:r w:rsidRPr="00AE2940">
        <w:rPr>
          <w:rFonts w:ascii="Book Antiqua" w:eastAsia="Times New Roman" w:hAnsi="Book Antiqua" w:cs="Times New Roman"/>
          <w:color w:val="000000"/>
          <w:kern w:val="0"/>
          <w14:ligatures w14:val="none"/>
        </w:rPr>
        <w:t xml:space="preserve">, obliga a los estados y territorios a prohibir y fiscalizar la venta de productos de tabaco a menores de edad como condición para recibir fondos federales de prevención y tratamiento de abuso de sustancias. Originalmente, el estándar federal fijaba la edad mínima en 18 años, pero con la aprobación de la ley federal conocida como </w:t>
      </w:r>
      <w:proofErr w:type="spellStart"/>
      <w:r w:rsidRPr="00F01F0D">
        <w:rPr>
          <w:rFonts w:ascii="Book Antiqua" w:eastAsia="Times New Roman" w:hAnsi="Book Antiqua" w:cs="Times New Roman"/>
          <w:color w:val="000000"/>
          <w:kern w:val="0"/>
          <w14:ligatures w14:val="none"/>
        </w:rPr>
        <w:t>Tobacco</w:t>
      </w:r>
      <w:proofErr w:type="spellEnd"/>
      <w:r w:rsidRPr="00F01F0D">
        <w:rPr>
          <w:rFonts w:ascii="Book Antiqua" w:eastAsia="Times New Roman" w:hAnsi="Book Antiqua" w:cs="Times New Roman"/>
          <w:color w:val="000000"/>
          <w:kern w:val="0"/>
          <w14:ligatures w14:val="none"/>
        </w:rPr>
        <w:t xml:space="preserve"> 21</w:t>
      </w:r>
      <w:r w:rsidRPr="00AE2940">
        <w:rPr>
          <w:rFonts w:ascii="Book Antiqua" w:eastAsia="Times New Roman" w:hAnsi="Book Antiqua" w:cs="Times New Roman"/>
          <w:color w:val="000000"/>
          <w:kern w:val="0"/>
          <w14:ligatures w14:val="none"/>
        </w:rPr>
        <w:t xml:space="preserve"> en diciembre de 2019, el umbral se elevó a 21 años para todos los estados y territorios, sin excepciones. El Programa </w:t>
      </w:r>
      <w:proofErr w:type="spellStart"/>
      <w:r w:rsidRPr="00AE2940">
        <w:rPr>
          <w:rFonts w:ascii="Book Antiqua" w:eastAsia="Times New Roman" w:hAnsi="Book Antiqua" w:cs="Times New Roman"/>
          <w:color w:val="000000"/>
          <w:kern w:val="0"/>
          <w14:ligatures w14:val="none"/>
        </w:rPr>
        <w:t>Synar</w:t>
      </w:r>
      <w:proofErr w:type="spellEnd"/>
      <w:r w:rsidRPr="00AE2940">
        <w:rPr>
          <w:rFonts w:ascii="Book Antiqua" w:eastAsia="Times New Roman" w:hAnsi="Book Antiqua" w:cs="Times New Roman"/>
          <w:color w:val="000000"/>
          <w:kern w:val="0"/>
          <w14:ligatures w14:val="none"/>
        </w:rPr>
        <w:t xml:space="preserve"> requiere que las jurisdicciones adopten legislación efectiva que prohíba la venta de tabaco a menores de </w:t>
      </w:r>
      <w:r w:rsidRPr="00AE2940">
        <w:rPr>
          <w:rFonts w:ascii="Book Antiqua" w:eastAsia="Times New Roman" w:hAnsi="Book Antiqua" w:cs="Times New Roman"/>
          <w:color w:val="000000"/>
          <w:kern w:val="0"/>
          <w14:ligatures w14:val="none"/>
        </w:rPr>
        <w:lastRenderedPageBreak/>
        <w:t xml:space="preserve">21 años, realicen inspecciones anuales de cumplimiento en puntos de venta y reporten los resultados a SAMHSA, bajo riesgo de perder hasta un 40% de los fondos federales de prevención si no cumplen con los estándares de reducción de ventas ilegales. En este contexto, el </w:t>
      </w:r>
      <w:r w:rsidRPr="00F01F0D">
        <w:rPr>
          <w:rFonts w:ascii="Book Antiqua" w:eastAsia="Times New Roman" w:hAnsi="Book Antiqua" w:cs="Times New Roman"/>
          <w:color w:val="000000"/>
          <w:kern w:val="0"/>
          <w14:ligatures w14:val="none"/>
        </w:rPr>
        <w:t>P. del S. 241</w:t>
      </w:r>
      <w:r w:rsidRPr="00AE2940">
        <w:rPr>
          <w:rFonts w:ascii="Book Antiqua" w:eastAsia="Times New Roman" w:hAnsi="Book Antiqua" w:cs="Times New Roman"/>
          <w:color w:val="000000"/>
          <w:kern w:val="0"/>
          <w14:ligatures w14:val="none"/>
        </w:rPr>
        <w:t xml:space="preserve"> es plenamente consistente con el marco federal del Programa </w:t>
      </w:r>
      <w:proofErr w:type="spellStart"/>
      <w:r w:rsidRPr="00AE2940">
        <w:rPr>
          <w:rFonts w:ascii="Book Antiqua" w:eastAsia="Times New Roman" w:hAnsi="Book Antiqua" w:cs="Times New Roman"/>
          <w:color w:val="000000"/>
          <w:kern w:val="0"/>
          <w14:ligatures w14:val="none"/>
        </w:rPr>
        <w:t>Synar</w:t>
      </w:r>
      <w:proofErr w:type="spellEnd"/>
      <w:r w:rsidRPr="00AE2940">
        <w:rPr>
          <w:rFonts w:ascii="Book Antiqua" w:eastAsia="Times New Roman" w:hAnsi="Book Antiqua" w:cs="Times New Roman"/>
          <w:color w:val="000000"/>
          <w:kern w:val="0"/>
          <w14:ligatures w14:val="none"/>
        </w:rPr>
        <w:t xml:space="preserve"> y con la política pública nacional de </w:t>
      </w:r>
      <w:proofErr w:type="spellStart"/>
      <w:r w:rsidRPr="00AE2940">
        <w:rPr>
          <w:rFonts w:ascii="Book Antiqua" w:eastAsia="Times New Roman" w:hAnsi="Book Antiqua" w:cs="Times New Roman"/>
          <w:color w:val="000000"/>
          <w:kern w:val="0"/>
          <w14:ligatures w14:val="none"/>
        </w:rPr>
        <w:t>Tobacco</w:t>
      </w:r>
      <w:proofErr w:type="spellEnd"/>
      <w:r w:rsidRPr="00AE2940">
        <w:rPr>
          <w:rFonts w:ascii="Book Antiqua" w:eastAsia="Times New Roman" w:hAnsi="Book Antiqua" w:cs="Times New Roman"/>
          <w:color w:val="000000"/>
          <w:kern w:val="0"/>
          <w14:ligatures w14:val="none"/>
        </w:rPr>
        <w:t xml:space="preserve"> 21, ya que refuerza la prohibición de ventas a menores de 21 años mediante sanciones administrativas severas como la suspensión de licencias</w:t>
      </w:r>
      <w:r w:rsidR="00F01F0D">
        <w:rPr>
          <w:rFonts w:ascii="Book Antiqua" w:eastAsia="Times New Roman" w:hAnsi="Book Antiqua" w:cs="Times New Roman"/>
          <w:color w:val="000000"/>
          <w:kern w:val="0"/>
          <w14:ligatures w14:val="none"/>
        </w:rPr>
        <w:t>,</w:t>
      </w:r>
      <w:r w:rsidRPr="00AE2940">
        <w:rPr>
          <w:rFonts w:ascii="Book Antiqua" w:eastAsia="Times New Roman" w:hAnsi="Book Antiqua" w:cs="Times New Roman"/>
          <w:color w:val="000000"/>
          <w:kern w:val="0"/>
          <w14:ligatures w14:val="none"/>
        </w:rPr>
        <w:t xml:space="preserve"> la imposición de multas por incidente</w:t>
      </w:r>
      <w:r w:rsidR="00F01F0D">
        <w:rPr>
          <w:rFonts w:ascii="Book Antiqua" w:eastAsia="Times New Roman" w:hAnsi="Book Antiqua" w:cs="Times New Roman"/>
          <w:color w:val="000000"/>
          <w:kern w:val="0"/>
          <w14:ligatures w14:val="none"/>
        </w:rPr>
        <w:t xml:space="preserve"> y </w:t>
      </w:r>
      <w:r w:rsidR="00F01F0D" w:rsidRPr="00F01F0D">
        <w:rPr>
          <w:rFonts w:ascii="Book Antiqua" w:eastAsia="Times New Roman" w:hAnsi="Book Antiqua" w:cs="Times New Roman"/>
          <w:color w:val="000000"/>
          <w:kern w:val="0"/>
          <w14:ligatures w14:val="none"/>
        </w:rPr>
        <w:t>amplía la responsabilidad no solo a la venta directa, sino también a los intentos de manipulación</w:t>
      </w:r>
      <w:r w:rsidRPr="00AE2940">
        <w:rPr>
          <w:rFonts w:ascii="Book Antiqua" w:eastAsia="Times New Roman" w:hAnsi="Book Antiqua" w:cs="Times New Roman"/>
          <w:color w:val="000000"/>
          <w:kern w:val="0"/>
          <w14:ligatures w14:val="none"/>
        </w:rPr>
        <w:t xml:space="preserve"> lo que fortalece la capacidad de Puerto Rico de demostrar cumplimiento ante las autoridades federales.</w:t>
      </w:r>
      <w:r w:rsidR="00131F6D">
        <w:rPr>
          <w:rStyle w:val="FootnoteReference"/>
          <w:rFonts w:ascii="Book Antiqua" w:eastAsia="Times New Roman" w:hAnsi="Book Antiqua" w:cs="Times New Roman"/>
          <w:color w:val="000000"/>
          <w:kern w:val="0"/>
          <w14:ligatures w14:val="none"/>
        </w:rPr>
        <w:footnoteReference w:id="2"/>
      </w:r>
      <w:r w:rsidR="00A961C2" w:rsidRPr="00A961C2">
        <w:t xml:space="preserve"> </w:t>
      </w:r>
    </w:p>
    <w:p w14:paraId="6EC56085" w14:textId="55B75B95" w:rsidR="00613833" w:rsidRPr="00613833" w:rsidRDefault="00381990" w:rsidP="00613833">
      <w:pPr>
        <w:spacing w:before="100" w:beforeAutospacing="1" w:after="100" w:afterAutospacing="1" w:line="240" w:lineRule="auto"/>
        <w:jc w:val="both"/>
        <w:rPr>
          <w:rFonts w:ascii="Book Antiqua" w:eastAsia="Times New Roman" w:hAnsi="Book Antiqua" w:cs="Times New Roman"/>
          <w:b/>
          <w:bCs/>
          <w:color w:val="000000"/>
          <w:kern w:val="0"/>
          <w14:ligatures w14:val="none"/>
        </w:rPr>
      </w:pPr>
      <w:r>
        <w:rPr>
          <w:rFonts w:ascii="Book Antiqua" w:eastAsia="Times New Roman" w:hAnsi="Book Antiqua" w:cs="Times New Roman"/>
          <w:b/>
          <w:bCs/>
          <w:color w:val="000000"/>
          <w:kern w:val="0"/>
          <w14:ligatures w14:val="none"/>
        </w:rPr>
        <w:t>¿</w:t>
      </w:r>
      <w:r w:rsidR="00613833" w:rsidRPr="00613833">
        <w:rPr>
          <w:rFonts w:ascii="Book Antiqua" w:eastAsia="Times New Roman" w:hAnsi="Book Antiqua" w:cs="Times New Roman"/>
          <w:b/>
          <w:bCs/>
          <w:color w:val="000000"/>
          <w:kern w:val="0"/>
          <w14:ligatures w14:val="none"/>
        </w:rPr>
        <w:t>Qué hacen otros estados en Estados Unidos</w:t>
      </w:r>
      <w:r>
        <w:rPr>
          <w:rFonts w:ascii="Book Antiqua" w:eastAsia="Times New Roman" w:hAnsi="Book Antiqua" w:cs="Times New Roman"/>
          <w:b/>
          <w:bCs/>
          <w:color w:val="000000"/>
          <w:kern w:val="0"/>
          <w14:ligatures w14:val="none"/>
        </w:rPr>
        <w:t>?</w:t>
      </w:r>
    </w:p>
    <w:p w14:paraId="6B61F727" w14:textId="30C969A6" w:rsidR="00BE2914" w:rsidRPr="00BE2914" w:rsidRDefault="00613833" w:rsidP="00BE2914">
      <w:pPr>
        <w:spacing w:before="100" w:beforeAutospacing="1" w:after="100" w:afterAutospacing="1" w:line="240" w:lineRule="auto"/>
        <w:jc w:val="both"/>
        <w:rPr>
          <w:rFonts w:ascii="Book Antiqua" w:eastAsia="Times New Roman" w:hAnsi="Book Antiqua" w:cs="Times New Roman"/>
          <w:color w:val="000000"/>
          <w:kern w:val="0"/>
          <w14:ligatures w14:val="none"/>
        </w:rPr>
      </w:pPr>
      <w:r w:rsidRPr="00613833">
        <w:rPr>
          <w:rFonts w:ascii="Book Antiqua" w:eastAsia="Times New Roman" w:hAnsi="Book Antiqua" w:cs="Times New Roman"/>
          <w:color w:val="000000"/>
          <w:kern w:val="0"/>
          <w14:ligatures w14:val="none"/>
        </w:rPr>
        <w:t>La amplia mayoría de jurisdicciones estatales y territori</w:t>
      </w:r>
      <w:r w:rsidR="00381990">
        <w:rPr>
          <w:rFonts w:ascii="Book Antiqua" w:eastAsia="Times New Roman" w:hAnsi="Book Antiqua" w:cs="Times New Roman"/>
          <w:color w:val="000000"/>
          <w:kern w:val="0"/>
          <w14:ligatures w14:val="none"/>
        </w:rPr>
        <w:t>os</w:t>
      </w:r>
      <w:r w:rsidRPr="00613833">
        <w:rPr>
          <w:rFonts w:ascii="Book Antiqua" w:eastAsia="Times New Roman" w:hAnsi="Book Antiqua" w:cs="Times New Roman"/>
          <w:color w:val="000000"/>
          <w:kern w:val="0"/>
          <w14:ligatures w14:val="none"/>
        </w:rPr>
        <w:t xml:space="preserve"> han elevado su edad mínima de venta a 21 años. Según el sistema STATE de los CDC, para el 30 de septiembre de 2024, 46 jurisdicciones (42 estados, 3 territorios y DC) habían adoptado </w:t>
      </w:r>
      <w:r w:rsidR="00381990">
        <w:rPr>
          <w:rFonts w:ascii="Book Antiqua" w:eastAsia="Times New Roman" w:hAnsi="Book Antiqua" w:cs="Times New Roman"/>
          <w:color w:val="000000"/>
          <w:kern w:val="0"/>
          <w14:ligatures w14:val="none"/>
        </w:rPr>
        <w:t xml:space="preserve">el </w:t>
      </w:r>
      <w:proofErr w:type="spellStart"/>
      <w:r w:rsidR="00381990" w:rsidRPr="00381990">
        <w:rPr>
          <w:rFonts w:ascii="Book Antiqua" w:eastAsia="Times New Roman" w:hAnsi="Book Antiqua" w:cs="Times New Roman"/>
          <w:color w:val="000000"/>
          <w:kern w:val="0"/>
          <w14:ligatures w14:val="none"/>
        </w:rPr>
        <w:t>System</w:t>
      </w:r>
      <w:proofErr w:type="spellEnd"/>
      <w:r w:rsidR="00381990" w:rsidRPr="00381990">
        <w:rPr>
          <w:rFonts w:ascii="Book Antiqua" w:eastAsia="Times New Roman" w:hAnsi="Book Antiqua" w:cs="Times New Roman"/>
          <w:color w:val="000000"/>
          <w:kern w:val="0"/>
          <w14:ligatures w14:val="none"/>
        </w:rPr>
        <w:t xml:space="preserve"> </w:t>
      </w:r>
      <w:proofErr w:type="spellStart"/>
      <w:r w:rsidR="00381990" w:rsidRPr="00381990">
        <w:rPr>
          <w:rFonts w:ascii="Book Antiqua" w:eastAsia="Times New Roman" w:hAnsi="Book Antiqua" w:cs="Times New Roman"/>
          <w:color w:val="000000"/>
          <w:kern w:val="0"/>
          <w14:ligatures w14:val="none"/>
        </w:rPr>
        <w:t>Minimum</w:t>
      </w:r>
      <w:proofErr w:type="spellEnd"/>
      <w:r w:rsidR="00381990" w:rsidRPr="00381990">
        <w:rPr>
          <w:rFonts w:ascii="Book Antiqua" w:eastAsia="Times New Roman" w:hAnsi="Book Antiqua" w:cs="Times New Roman"/>
          <w:color w:val="000000"/>
          <w:kern w:val="0"/>
          <w14:ligatures w14:val="none"/>
        </w:rPr>
        <w:t xml:space="preserve"> Legal Sales Age</w:t>
      </w:r>
      <w:r w:rsidR="00381990">
        <w:rPr>
          <w:rFonts w:ascii="Book Antiqua" w:eastAsia="Times New Roman" w:hAnsi="Book Antiqua" w:cs="Times New Roman"/>
          <w:color w:val="000000"/>
          <w:kern w:val="0"/>
          <w14:ligatures w14:val="none"/>
        </w:rPr>
        <w:t xml:space="preserve"> o “</w:t>
      </w:r>
      <w:r w:rsidRPr="00613833">
        <w:rPr>
          <w:rFonts w:ascii="Book Antiqua" w:eastAsia="Times New Roman" w:hAnsi="Book Antiqua" w:cs="Times New Roman"/>
          <w:color w:val="000000"/>
          <w:kern w:val="0"/>
          <w14:ligatures w14:val="none"/>
        </w:rPr>
        <w:t>MLSA</w:t>
      </w:r>
      <w:r w:rsidR="00381990">
        <w:rPr>
          <w:rFonts w:ascii="Book Antiqua" w:eastAsia="Times New Roman" w:hAnsi="Book Antiqua" w:cs="Times New Roman"/>
          <w:color w:val="000000"/>
          <w:kern w:val="0"/>
          <w14:ligatures w14:val="none"/>
        </w:rPr>
        <w:t>”</w:t>
      </w:r>
      <w:r w:rsidRPr="00613833">
        <w:rPr>
          <w:rFonts w:ascii="Book Antiqua" w:eastAsia="Times New Roman" w:hAnsi="Book Antiqua" w:cs="Times New Roman"/>
          <w:color w:val="000000"/>
          <w:kern w:val="0"/>
          <w14:ligatures w14:val="none"/>
        </w:rPr>
        <w:t xml:space="preserve"> de 21 años, además de ajustes de fiscalización y régimen de sanciones administrativas. En jurisdicciones que no han legislado el cambio, los minoristas deben cumplir de todas formas con el estándar federal. Esta convergencia normativa demuestra que la suspensión de licencias y multas elevadas son prácticas comunes en la caja de herramientas estatal para disuadir la venta ilegal y alinear el comercio con la política pública de protección de la juventud.</w:t>
      </w:r>
      <w:r w:rsidR="00381990">
        <w:rPr>
          <w:rFonts w:ascii="Book Antiqua" w:eastAsia="Times New Roman" w:hAnsi="Book Antiqua" w:cs="Times New Roman"/>
          <w:color w:val="000000"/>
          <w:kern w:val="0"/>
          <w14:ligatures w14:val="none"/>
        </w:rPr>
        <w:t xml:space="preserve"> </w:t>
      </w:r>
      <w:r w:rsidR="00131F6D">
        <w:rPr>
          <w:rStyle w:val="FootnoteReference"/>
          <w:rFonts w:ascii="Book Antiqua" w:eastAsia="Times New Roman" w:hAnsi="Book Antiqua" w:cs="Times New Roman"/>
          <w:color w:val="000000"/>
          <w:kern w:val="0"/>
          <w14:ligatures w14:val="none"/>
        </w:rPr>
        <w:footnoteReference w:id="3"/>
      </w:r>
      <w:r w:rsidR="005D7BC4">
        <w:rPr>
          <w:rFonts w:ascii="Book Antiqua" w:eastAsia="Times New Roman" w:hAnsi="Book Antiqua" w:cs="Times New Roman"/>
          <w:color w:val="000000"/>
          <w:kern w:val="0"/>
          <w14:ligatures w14:val="none"/>
        </w:rPr>
        <w:t xml:space="preserve"> </w:t>
      </w:r>
    </w:p>
    <w:p w14:paraId="085C2159" w14:textId="28537134" w:rsidR="00613833" w:rsidRPr="00613833" w:rsidRDefault="00613833" w:rsidP="00613833">
      <w:pPr>
        <w:spacing w:before="100" w:beforeAutospacing="1" w:after="100" w:afterAutospacing="1" w:line="240" w:lineRule="auto"/>
        <w:jc w:val="both"/>
        <w:rPr>
          <w:rFonts w:ascii="Book Antiqua" w:eastAsia="Times New Roman" w:hAnsi="Book Antiqua" w:cs="Times New Roman"/>
          <w:b/>
          <w:bCs/>
          <w:color w:val="000000"/>
          <w:kern w:val="0"/>
          <w14:ligatures w14:val="none"/>
        </w:rPr>
      </w:pPr>
      <w:r w:rsidRPr="00613833">
        <w:rPr>
          <w:rFonts w:ascii="Book Antiqua" w:eastAsia="Times New Roman" w:hAnsi="Book Antiqua" w:cs="Times New Roman"/>
          <w:b/>
          <w:bCs/>
          <w:color w:val="000000"/>
          <w:kern w:val="0"/>
          <w14:ligatures w14:val="none"/>
        </w:rPr>
        <w:t>Recomendaciones de política pública y profesionales</w:t>
      </w:r>
    </w:p>
    <w:p w14:paraId="0A5B3BB5" w14:textId="4B4A4E05" w:rsidR="00543E38" w:rsidRDefault="00381990" w:rsidP="00490EDB">
      <w:pPr>
        <w:jc w:val="both"/>
        <w:rPr>
          <w:rFonts w:ascii="Book Antiqua" w:eastAsia="Times New Roman" w:hAnsi="Book Antiqua" w:cs="Times New Roman"/>
          <w:color w:val="000000"/>
          <w:kern w:val="0"/>
          <w14:ligatures w14:val="none"/>
        </w:rPr>
      </w:pPr>
      <w:r w:rsidRPr="00381990">
        <w:rPr>
          <w:rFonts w:ascii="Book Antiqua" w:hAnsi="Book Antiqua"/>
        </w:rPr>
        <w:t>Las recomendaciones clínicas y de salud pública apuntan a un enfoque integral: prevención, regulación del acceso y apoyo a la abstinencia</w:t>
      </w:r>
      <w:r w:rsidR="00613833" w:rsidRPr="00613833">
        <w:rPr>
          <w:rFonts w:ascii="Book Antiqua" w:eastAsia="Times New Roman" w:hAnsi="Book Antiqua" w:cs="Times New Roman"/>
          <w:color w:val="000000"/>
          <w:kern w:val="0"/>
          <w14:ligatures w14:val="none"/>
        </w:rPr>
        <w:t xml:space="preserve">. La </w:t>
      </w:r>
      <w:r w:rsidR="00613833" w:rsidRPr="00F01F0D">
        <w:rPr>
          <w:rFonts w:ascii="Book Antiqua" w:eastAsia="Times New Roman" w:hAnsi="Book Antiqua" w:cs="Times New Roman"/>
          <w:color w:val="000000"/>
          <w:kern w:val="0"/>
          <w14:ligatures w14:val="none"/>
        </w:rPr>
        <w:t xml:space="preserve">American </w:t>
      </w:r>
      <w:proofErr w:type="spellStart"/>
      <w:r w:rsidR="00613833" w:rsidRPr="00F01F0D">
        <w:rPr>
          <w:rFonts w:ascii="Book Antiqua" w:eastAsia="Times New Roman" w:hAnsi="Book Antiqua" w:cs="Times New Roman"/>
          <w:color w:val="000000"/>
          <w:kern w:val="0"/>
          <w14:ligatures w14:val="none"/>
        </w:rPr>
        <w:t>Lung</w:t>
      </w:r>
      <w:proofErr w:type="spellEnd"/>
      <w:r w:rsidR="00613833" w:rsidRPr="00F01F0D">
        <w:rPr>
          <w:rFonts w:ascii="Book Antiqua" w:eastAsia="Times New Roman" w:hAnsi="Book Antiqua" w:cs="Times New Roman"/>
          <w:color w:val="000000"/>
          <w:kern w:val="0"/>
          <w14:ligatures w14:val="none"/>
        </w:rPr>
        <w:t xml:space="preserve"> </w:t>
      </w:r>
      <w:proofErr w:type="spellStart"/>
      <w:r w:rsidR="00613833" w:rsidRPr="00F01F0D">
        <w:rPr>
          <w:rFonts w:ascii="Book Antiqua" w:eastAsia="Times New Roman" w:hAnsi="Book Antiqua" w:cs="Times New Roman"/>
          <w:color w:val="000000"/>
          <w:kern w:val="0"/>
          <w14:ligatures w14:val="none"/>
        </w:rPr>
        <w:t>Association</w:t>
      </w:r>
      <w:proofErr w:type="spellEnd"/>
      <w:r w:rsidR="00613833" w:rsidRPr="00613833">
        <w:rPr>
          <w:rFonts w:ascii="Book Antiqua" w:eastAsia="Times New Roman" w:hAnsi="Book Antiqua" w:cs="Times New Roman"/>
          <w:color w:val="000000"/>
          <w:kern w:val="0"/>
          <w14:ligatures w14:val="none"/>
        </w:rPr>
        <w:t xml:space="preserve"> propone un</w:t>
      </w:r>
      <w:r w:rsidR="00F01F0D">
        <w:rPr>
          <w:rFonts w:ascii="Book Antiqua" w:eastAsia="Times New Roman" w:hAnsi="Book Antiqua" w:cs="Times New Roman"/>
          <w:color w:val="000000"/>
          <w:kern w:val="0"/>
          <w14:ligatures w14:val="none"/>
        </w:rPr>
        <w:t xml:space="preserve"> enfoque </w:t>
      </w:r>
      <w:r w:rsidR="00613833" w:rsidRPr="00613833">
        <w:rPr>
          <w:rFonts w:ascii="Book Antiqua" w:eastAsia="Times New Roman" w:hAnsi="Book Antiqua" w:cs="Times New Roman"/>
          <w:color w:val="000000"/>
          <w:kern w:val="0"/>
          <w14:ligatures w14:val="none"/>
        </w:rPr>
        <w:t xml:space="preserve">multicapas que incluye educación, empoderamiento juvenil, cambios de política y apoyo </w:t>
      </w:r>
      <w:r w:rsidR="00F01F0D">
        <w:rPr>
          <w:rFonts w:ascii="Book Antiqua" w:eastAsia="Times New Roman" w:hAnsi="Book Antiqua" w:cs="Times New Roman"/>
          <w:color w:val="000000"/>
          <w:kern w:val="0"/>
          <w14:ligatures w14:val="none"/>
        </w:rPr>
        <w:t>al no consumo</w:t>
      </w:r>
      <w:r w:rsidR="00613833" w:rsidRPr="00613833">
        <w:rPr>
          <w:rFonts w:ascii="Book Antiqua" w:eastAsia="Times New Roman" w:hAnsi="Book Antiqua" w:cs="Times New Roman"/>
          <w:color w:val="000000"/>
          <w:kern w:val="0"/>
          <w14:ligatures w14:val="none"/>
        </w:rPr>
        <w:t>, útil para acompañar medidas sancionadoras como el P</w:t>
      </w:r>
      <w:r w:rsidR="00490EDB">
        <w:rPr>
          <w:rFonts w:ascii="Book Antiqua" w:eastAsia="Times New Roman" w:hAnsi="Book Antiqua" w:cs="Times New Roman"/>
          <w:color w:val="000000"/>
          <w:kern w:val="0"/>
          <w14:ligatures w14:val="none"/>
        </w:rPr>
        <w:t xml:space="preserve">. del </w:t>
      </w:r>
      <w:r w:rsidR="00613833" w:rsidRPr="00613833">
        <w:rPr>
          <w:rFonts w:ascii="Book Antiqua" w:eastAsia="Times New Roman" w:hAnsi="Book Antiqua" w:cs="Times New Roman"/>
          <w:color w:val="000000"/>
          <w:kern w:val="0"/>
          <w14:ligatures w14:val="none"/>
        </w:rPr>
        <w:t>S</w:t>
      </w:r>
      <w:r w:rsidR="00490EDB">
        <w:rPr>
          <w:rFonts w:ascii="Book Antiqua" w:eastAsia="Times New Roman" w:hAnsi="Book Antiqua" w:cs="Times New Roman"/>
          <w:color w:val="000000"/>
          <w:kern w:val="0"/>
          <w14:ligatures w14:val="none"/>
        </w:rPr>
        <w:t>.</w:t>
      </w:r>
      <w:r w:rsidR="00613833" w:rsidRPr="00613833">
        <w:rPr>
          <w:rFonts w:ascii="Book Antiqua" w:eastAsia="Times New Roman" w:hAnsi="Book Antiqua" w:cs="Times New Roman"/>
          <w:color w:val="000000"/>
          <w:kern w:val="0"/>
          <w14:ligatures w14:val="none"/>
        </w:rPr>
        <w:t xml:space="preserve"> 241 y maximizar impacto poblacional.</w:t>
      </w:r>
      <w:r w:rsidR="00205036">
        <w:rPr>
          <w:rFonts w:ascii="Book Antiqua" w:eastAsia="Times New Roman" w:hAnsi="Book Antiqua" w:cs="Times New Roman"/>
          <w:color w:val="000000"/>
          <w:kern w:val="0"/>
          <w14:ligatures w14:val="none"/>
        </w:rPr>
        <w:t xml:space="preserve"> </w:t>
      </w:r>
      <w:r w:rsidR="00131F6D">
        <w:rPr>
          <w:rStyle w:val="FootnoteReference"/>
          <w:rFonts w:ascii="Book Antiqua" w:eastAsia="Times New Roman" w:hAnsi="Book Antiqua" w:cs="Times New Roman"/>
          <w:color w:val="000000"/>
          <w:kern w:val="0"/>
          <w14:ligatures w14:val="none"/>
        </w:rPr>
        <w:footnoteReference w:id="4"/>
      </w:r>
      <w:r w:rsidR="005D7BC4">
        <w:rPr>
          <w:rFonts w:ascii="Book Antiqua" w:eastAsia="Times New Roman" w:hAnsi="Book Antiqua" w:cs="Times New Roman"/>
          <w:color w:val="000000"/>
          <w:kern w:val="0"/>
          <w14:ligatures w14:val="none"/>
        </w:rPr>
        <w:t xml:space="preserve"> </w:t>
      </w:r>
      <w:r w:rsidR="00613833" w:rsidRPr="00613833">
        <w:rPr>
          <w:rFonts w:ascii="Book Antiqua" w:eastAsia="Times New Roman" w:hAnsi="Book Antiqua" w:cs="Times New Roman"/>
          <w:color w:val="000000"/>
          <w:kern w:val="0"/>
          <w14:ligatures w14:val="none"/>
        </w:rPr>
        <w:t xml:space="preserve"> </w:t>
      </w:r>
    </w:p>
    <w:p w14:paraId="470154A6" w14:textId="6D38ABDD" w:rsidR="008A3F36" w:rsidRDefault="00613833" w:rsidP="00490EDB">
      <w:pPr>
        <w:jc w:val="both"/>
      </w:pPr>
      <w:r w:rsidRPr="00613833">
        <w:rPr>
          <w:rFonts w:ascii="Book Antiqua" w:eastAsia="Times New Roman" w:hAnsi="Book Antiqua" w:cs="Times New Roman"/>
          <w:color w:val="000000"/>
          <w:kern w:val="0"/>
          <w14:ligatures w14:val="none"/>
        </w:rPr>
        <w:lastRenderedPageBreak/>
        <w:t xml:space="preserve">La </w:t>
      </w:r>
      <w:r w:rsidRPr="00F01F0D">
        <w:rPr>
          <w:rFonts w:ascii="Book Antiqua" w:eastAsia="Times New Roman" w:hAnsi="Book Antiqua" w:cs="Times New Roman"/>
          <w:color w:val="000000"/>
          <w:kern w:val="0"/>
          <w14:ligatures w14:val="none"/>
        </w:rPr>
        <w:t xml:space="preserve">American </w:t>
      </w:r>
      <w:proofErr w:type="spellStart"/>
      <w:r w:rsidRPr="00F01F0D">
        <w:rPr>
          <w:rFonts w:ascii="Book Antiqua" w:eastAsia="Times New Roman" w:hAnsi="Book Antiqua" w:cs="Times New Roman"/>
          <w:color w:val="000000"/>
          <w:kern w:val="0"/>
          <w14:ligatures w14:val="none"/>
        </w:rPr>
        <w:t>Academy</w:t>
      </w:r>
      <w:proofErr w:type="spellEnd"/>
      <w:r w:rsidRPr="00F01F0D">
        <w:rPr>
          <w:rFonts w:ascii="Book Antiqua" w:eastAsia="Times New Roman" w:hAnsi="Book Antiqua" w:cs="Times New Roman"/>
          <w:color w:val="000000"/>
          <w:kern w:val="0"/>
          <w14:ligatures w14:val="none"/>
        </w:rPr>
        <w:t xml:space="preserve"> </w:t>
      </w:r>
      <w:proofErr w:type="spellStart"/>
      <w:r w:rsidRPr="00F01F0D">
        <w:rPr>
          <w:rFonts w:ascii="Book Antiqua" w:eastAsia="Times New Roman" w:hAnsi="Book Antiqua" w:cs="Times New Roman"/>
          <w:color w:val="000000"/>
          <w:kern w:val="0"/>
          <w14:ligatures w14:val="none"/>
        </w:rPr>
        <w:t>of</w:t>
      </w:r>
      <w:proofErr w:type="spellEnd"/>
      <w:r w:rsidRPr="00F01F0D">
        <w:rPr>
          <w:rFonts w:ascii="Book Antiqua" w:eastAsia="Times New Roman" w:hAnsi="Book Antiqua" w:cs="Times New Roman"/>
          <w:color w:val="000000"/>
          <w:kern w:val="0"/>
          <w14:ligatures w14:val="none"/>
        </w:rPr>
        <w:t xml:space="preserve"> </w:t>
      </w:r>
      <w:proofErr w:type="spellStart"/>
      <w:r w:rsidRPr="00F01F0D">
        <w:rPr>
          <w:rFonts w:ascii="Book Antiqua" w:eastAsia="Times New Roman" w:hAnsi="Book Antiqua" w:cs="Times New Roman"/>
          <w:color w:val="000000"/>
          <w:kern w:val="0"/>
          <w14:ligatures w14:val="none"/>
        </w:rPr>
        <w:t>Pediatrics</w:t>
      </w:r>
      <w:proofErr w:type="spellEnd"/>
      <w:r w:rsidRPr="00613833">
        <w:rPr>
          <w:rFonts w:ascii="Book Antiqua" w:eastAsia="Times New Roman" w:hAnsi="Book Antiqua" w:cs="Times New Roman"/>
          <w:color w:val="000000"/>
          <w:kern w:val="0"/>
          <w14:ligatures w14:val="none"/>
        </w:rPr>
        <w:t xml:space="preserve"> ofrece guías y </w:t>
      </w:r>
      <w:r w:rsidR="00490EDB">
        <w:rPr>
          <w:rFonts w:ascii="Book Antiqua" w:eastAsia="Times New Roman" w:hAnsi="Book Antiqua" w:cs="Times New Roman"/>
          <w:color w:val="000000"/>
          <w:kern w:val="0"/>
          <w14:ligatures w14:val="none"/>
        </w:rPr>
        <w:t>“</w:t>
      </w:r>
      <w:proofErr w:type="spellStart"/>
      <w:r w:rsidRPr="00613833">
        <w:rPr>
          <w:rFonts w:ascii="Book Antiqua" w:eastAsia="Times New Roman" w:hAnsi="Book Antiqua" w:cs="Times New Roman"/>
          <w:color w:val="000000"/>
          <w:kern w:val="0"/>
          <w14:ligatures w14:val="none"/>
        </w:rPr>
        <w:t>toolkits</w:t>
      </w:r>
      <w:proofErr w:type="spellEnd"/>
      <w:r w:rsidR="00490EDB">
        <w:rPr>
          <w:rFonts w:ascii="Book Antiqua" w:eastAsia="Times New Roman" w:hAnsi="Book Antiqua" w:cs="Times New Roman"/>
          <w:color w:val="000000"/>
          <w:kern w:val="0"/>
          <w14:ligatures w14:val="none"/>
        </w:rPr>
        <w:t>”</w:t>
      </w:r>
      <w:r w:rsidRPr="00613833">
        <w:rPr>
          <w:rFonts w:ascii="Book Antiqua" w:eastAsia="Times New Roman" w:hAnsi="Book Antiqua" w:cs="Times New Roman"/>
          <w:color w:val="000000"/>
          <w:kern w:val="0"/>
          <w14:ligatures w14:val="none"/>
        </w:rPr>
        <w:t xml:space="preserve"> para escuelas y práctica clínica, que complementan el componente regulatorio con intervención práctica y sostenida en entornos donde </w:t>
      </w:r>
      <w:r w:rsidR="00490EDB">
        <w:rPr>
          <w:rFonts w:ascii="Book Antiqua" w:eastAsia="Times New Roman" w:hAnsi="Book Antiqua" w:cs="Times New Roman"/>
          <w:color w:val="000000"/>
          <w:kern w:val="0"/>
          <w14:ligatures w14:val="none"/>
        </w:rPr>
        <w:t>se encuentran</w:t>
      </w:r>
      <w:r w:rsidRPr="00613833">
        <w:rPr>
          <w:rFonts w:ascii="Book Antiqua" w:eastAsia="Times New Roman" w:hAnsi="Book Antiqua" w:cs="Times New Roman"/>
          <w:color w:val="000000"/>
          <w:kern w:val="0"/>
          <w14:ligatures w14:val="none"/>
        </w:rPr>
        <w:t xml:space="preserve"> los jóvenes.</w:t>
      </w:r>
      <w:r w:rsidR="00205036" w:rsidRPr="00205036">
        <w:t xml:space="preserve"> </w:t>
      </w:r>
      <w:r w:rsidR="002F54D3">
        <w:rPr>
          <w:rStyle w:val="FootnoteReference"/>
        </w:rPr>
        <w:footnoteReference w:id="5"/>
      </w:r>
    </w:p>
    <w:p w14:paraId="66A7A84F" w14:textId="77777777" w:rsidR="00490EDB" w:rsidRDefault="00490EDB" w:rsidP="00381990">
      <w:pPr>
        <w:rPr>
          <w:rFonts w:ascii="Book Antiqua" w:eastAsia="Times New Roman" w:hAnsi="Book Antiqua" w:cs="Times New Roman"/>
          <w:color w:val="000000"/>
          <w:kern w:val="0"/>
          <w14:ligatures w14:val="none"/>
        </w:rPr>
      </w:pPr>
    </w:p>
    <w:p w14:paraId="686487B4" w14:textId="699E3270" w:rsidR="00490EDB" w:rsidRPr="00490EDB" w:rsidRDefault="00490EDB" w:rsidP="00490EDB">
      <w:pPr>
        <w:jc w:val="center"/>
        <w:rPr>
          <w:rFonts w:ascii="Book Antiqua" w:eastAsia="Times New Roman" w:hAnsi="Book Antiqua" w:cs="Times New Roman"/>
          <w:b/>
          <w:bCs/>
          <w:color w:val="000000"/>
          <w:kern w:val="0"/>
          <w:sz w:val="28"/>
          <w:szCs w:val="28"/>
          <w14:ligatures w14:val="none"/>
        </w:rPr>
      </w:pPr>
      <w:r w:rsidRPr="00490EDB">
        <w:rPr>
          <w:rFonts w:ascii="Book Antiqua" w:eastAsia="Times New Roman" w:hAnsi="Book Antiqua" w:cs="Times New Roman"/>
          <w:b/>
          <w:bCs/>
          <w:color w:val="000000"/>
          <w:kern w:val="0"/>
          <w:sz w:val="28"/>
          <w:szCs w:val="28"/>
          <w14:ligatures w14:val="none"/>
        </w:rPr>
        <w:t>Impacto Fiscal e Informe de OPAL</w:t>
      </w:r>
    </w:p>
    <w:p w14:paraId="7EF05EFB" w14:textId="5E337388" w:rsidR="00205036" w:rsidRPr="00131F6D" w:rsidRDefault="00205036" w:rsidP="00490EDB">
      <w:pPr>
        <w:jc w:val="both"/>
        <w:rPr>
          <w:rFonts w:ascii="Book Antiqua" w:eastAsia="Times New Roman" w:hAnsi="Book Antiqua" w:cs="Times New Roman"/>
          <w:color w:val="000000"/>
          <w:kern w:val="0"/>
          <w14:ligatures w14:val="none"/>
        </w:rPr>
      </w:pPr>
      <w:r w:rsidRPr="00205036">
        <w:rPr>
          <w:rFonts w:ascii="Book Antiqua" w:eastAsia="Times New Roman" w:hAnsi="Book Antiqua" w:cs="Times New Roman"/>
          <w:color w:val="000000"/>
          <w:kern w:val="0"/>
          <w14:ligatures w14:val="none"/>
        </w:rPr>
        <w:t>La Oficina de Presupuesto de la Asamblea Legislativa</w:t>
      </w:r>
      <w:r w:rsidRPr="00205036">
        <w:rPr>
          <w:rFonts w:ascii="Book Antiqua" w:eastAsia="Times New Roman" w:hAnsi="Book Antiqua" w:cs="Times New Roman"/>
          <w:b/>
          <w:bCs/>
          <w:color w:val="000000"/>
          <w:kern w:val="0"/>
          <w14:ligatures w14:val="none"/>
        </w:rPr>
        <w:t xml:space="preserve"> (OPAL, Informe 2026-039)</w:t>
      </w:r>
      <w:r w:rsidRPr="00205036">
        <w:rPr>
          <w:rFonts w:ascii="Book Antiqua" w:eastAsia="Times New Roman" w:hAnsi="Book Antiqua" w:cs="Times New Roman"/>
          <w:color w:val="000000"/>
          <w:kern w:val="0"/>
          <w14:ligatures w14:val="none"/>
        </w:rPr>
        <w:t xml:space="preserve"> determinó que el P</w:t>
      </w:r>
      <w:r w:rsidR="00490EDB">
        <w:rPr>
          <w:rFonts w:ascii="Book Antiqua" w:eastAsia="Times New Roman" w:hAnsi="Book Antiqua" w:cs="Times New Roman"/>
          <w:color w:val="000000"/>
          <w:kern w:val="0"/>
          <w14:ligatures w14:val="none"/>
        </w:rPr>
        <w:t xml:space="preserve">. del </w:t>
      </w:r>
      <w:r w:rsidRPr="00205036">
        <w:rPr>
          <w:rFonts w:ascii="Book Antiqua" w:eastAsia="Times New Roman" w:hAnsi="Book Antiqua" w:cs="Times New Roman"/>
          <w:color w:val="000000"/>
          <w:kern w:val="0"/>
          <w14:ligatures w14:val="none"/>
        </w:rPr>
        <w:t>S</w:t>
      </w:r>
      <w:r w:rsidR="00490EDB">
        <w:rPr>
          <w:rFonts w:ascii="Book Antiqua" w:eastAsia="Times New Roman" w:hAnsi="Book Antiqua" w:cs="Times New Roman"/>
          <w:color w:val="000000"/>
          <w:kern w:val="0"/>
          <w14:ligatures w14:val="none"/>
        </w:rPr>
        <w:t>.</w:t>
      </w:r>
      <w:r w:rsidRPr="00205036">
        <w:rPr>
          <w:rFonts w:ascii="Book Antiqua" w:eastAsia="Times New Roman" w:hAnsi="Book Antiqua" w:cs="Times New Roman"/>
          <w:color w:val="000000"/>
          <w:kern w:val="0"/>
          <w14:ligatures w14:val="none"/>
        </w:rPr>
        <w:t xml:space="preserve"> 241 “No tiene Impacto Fiscal (NIF)” sobre el Fondo General, pues se trata de una regulación de conducta que no conlleva gastos públicos directos. Señala, además, que las multas administrativas pudieran producir recaudos adicionales no significativos, y clasifica la medida dentro de “Regulación/Reglamentación” sin crear gasto tributario. Esta evaluación fiscal externa valida que el enfoque sancionador del PS 241 es compatible con la disciplina presupuestaria y la sostenibilidad fiscal del Estado.</w:t>
      </w:r>
    </w:p>
    <w:p w14:paraId="2CB1C5CB" w14:textId="3E4F191D" w:rsidR="004A61AD" w:rsidRDefault="00613833" w:rsidP="00131F6D">
      <w:pPr>
        <w:spacing w:before="100" w:beforeAutospacing="1" w:after="100" w:afterAutospacing="1" w:line="240" w:lineRule="auto"/>
        <w:jc w:val="both"/>
        <w:rPr>
          <w:rFonts w:ascii="Book Antiqua" w:eastAsia="Times New Roman" w:hAnsi="Book Antiqua" w:cs="Times New Roman"/>
          <w:color w:val="000000"/>
          <w:kern w:val="0"/>
          <w14:ligatures w14:val="none"/>
        </w:rPr>
      </w:pPr>
      <w:r w:rsidRPr="00613833">
        <w:rPr>
          <w:rFonts w:ascii="Book Antiqua" w:eastAsia="Times New Roman" w:hAnsi="Book Antiqua" w:cs="Times New Roman"/>
          <w:color w:val="000000"/>
          <w:kern w:val="0"/>
          <w14:ligatures w14:val="none"/>
        </w:rPr>
        <w:t>En conjunto, el PS 241 se alinea con el marco federal de acceso restringido, converge con la práctica estatal predominante de sanciones y control de licencias, y se integra con recomendaciones profesionales que privilegian la prevención y la educación, potenciando su efectividad y legitimidad sanitaria.</w:t>
      </w:r>
    </w:p>
    <w:p w14:paraId="6010AF9D" w14:textId="77777777" w:rsidR="00C208DD" w:rsidRPr="00131F6D" w:rsidRDefault="00C208DD" w:rsidP="00131F6D">
      <w:pPr>
        <w:spacing w:before="100" w:beforeAutospacing="1" w:after="100" w:afterAutospacing="1" w:line="240" w:lineRule="auto"/>
        <w:jc w:val="both"/>
        <w:rPr>
          <w:rFonts w:ascii="Book Antiqua" w:eastAsia="Times New Roman" w:hAnsi="Book Antiqua" w:cs="Times New Roman"/>
          <w:color w:val="000000"/>
          <w:kern w:val="0"/>
          <w14:ligatures w14:val="none"/>
        </w:rPr>
      </w:pPr>
    </w:p>
    <w:p w14:paraId="3AFDD9E2" w14:textId="77777777" w:rsidR="004A61AD" w:rsidRPr="00490EDB" w:rsidRDefault="004A61AD" w:rsidP="004A61AD">
      <w:pPr>
        <w:suppressLineNumbers/>
        <w:spacing w:after="240" w:line="240" w:lineRule="auto"/>
        <w:jc w:val="center"/>
        <w:rPr>
          <w:rFonts w:ascii="Book Antiqua" w:eastAsia="Times New Roman" w:hAnsi="Book Antiqua" w:cs="AvenirNextLTPro"/>
          <w:b/>
          <w:smallCaps/>
          <w:color w:val="000000"/>
          <w:kern w:val="0"/>
          <w:sz w:val="28"/>
          <w:szCs w:val="22"/>
          <w14:ligatures w14:val="none"/>
        </w:rPr>
      </w:pPr>
      <w:r w:rsidRPr="00490EDB">
        <w:rPr>
          <w:rFonts w:ascii="Book Antiqua" w:eastAsia="Times New Roman" w:hAnsi="Book Antiqua" w:cs="AvenirNextLTPro"/>
          <w:b/>
          <w:smallCaps/>
          <w:color w:val="000000"/>
          <w:kern w:val="0"/>
          <w:sz w:val="28"/>
          <w:szCs w:val="22"/>
          <w14:ligatures w14:val="none"/>
        </w:rPr>
        <w:t>Conclusión</w:t>
      </w:r>
    </w:p>
    <w:p w14:paraId="11277592" w14:textId="77777777" w:rsidR="0071081B" w:rsidRDefault="004F2FC5" w:rsidP="004F2FC5">
      <w:pPr>
        <w:spacing w:after="240" w:line="240" w:lineRule="auto"/>
        <w:jc w:val="both"/>
        <w:rPr>
          <w:rFonts w:ascii="Book Antiqua" w:eastAsia="Times New Roman" w:hAnsi="Book Antiqua" w:cs="Times New Roman"/>
          <w:kern w:val="0"/>
          <w:shd w:val="clear" w:color="auto" w:fill="FFFFFF"/>
          <w14:ligatures w14:val="none"/>
        </w:rPr>
      </w:pPr>
      <w:r w:rsidRPr="004F2FC5">
        <w:rPr>
          <w:rFonts w:ascii="Book Antiqua" w:eastAsia="Times New Roman" w:hAnsi="Book Antiqua" w:cs="Times New Roman"/>
          <w:kern w:val="0"/>
          <w:shd w:val="clear" w:color="auto" w:fill="FFFFFF"/>
          <w14:ligatures w14:val="none"/>
        </w:rPr>
        <w:t xml:space="preserve">La aprobación del Proyecto del Senado 241 es indispensable para fortalecer la política pública de salud y prevención en Puerto Rico. La medida protege integralmente a los menores, establece sanciones proporcionales y disuasivas mediante suspensión de licencias y multas, y armoniza el régimen local con estándares federales y prácticas estatales predominantes. La evaluación de OPAL confirma su neutralidad fiscal, reforzando su viabilidad y coherencia con la disciplina presupuestaria. </w:t>
      </w:r>
    </w:p>
    <w:p w14:paraId="45F0567C" w14:textId="6D026D49" w:rsidR="004F2FC5" w:rsidRPr="004F2FC5" w:rsidRDefault="004F2FC5" w:rsidP="004F2FC5">
      <w:pPr>
        <w:spacing w:after="240" w:line="240" w:lineRule="auto"/>
        <w:jc w:val="both"/>
        <w:rPr>
          <w:rFonts w:ascii="Book Antiqua" w:eastAsia="Times New Roman" w:hAnsi="Book Antiqua" w:cs="Times New Roman"/>
          <w:kern w:val="0"/>
          <w:shd w:val="clear" w:color="auto" w:fill="FFFFFF"/>
          <w14:ligatures w14:val="none"/>
        </w:rPr>
      </w:pPr>
      <w:r w:rsidRPr="004F2FC5">
        <w:rPr>
          <w:rFonts w:ascii="Book Antiqua" w:eastAsia="Times New Roman" w:hAnsi="Book Antiqua" w:cs="Times New Roman"/>
          <w:kern w:val="0"/>
          <w:shd w:val="clear" w:color="auto" w:fill="FFFFFF"/>
          <w14:ligatures w14:val="none"/>
        </w:rPr>
        <w:t>Por los fundamentos expuestos, y tomando en consideración las observaciones emitidas por OPAL y el marco comparado federal</w:t>
      </w:r>
      <w:r w:rsidRPr="004F2FC5">
        <w:rPr>
          <w:rFonts w:ascii="Book Antiqua" w:eastAsia="Times New Roman" w:hAnsi="Book Antiqua" w:cs="Times New Roman"/>
          <w:kern w:val="0"/>
          <w:shd w:val="clear" w:color="auto" w:fill="FFFFFF"/>
          <w14:ligatures w14:val="none"/>
        </w:rPr>
        <w:noBreakHyphen/>
        <w:t>estatal, la Comisión de Hacienda, Presupuesto y PROMESA recomienda a este Honorable Cuerpo la aprobación del P. del S. 241, con enmiendas, reafirmando el compromiso del Gobierno de Puerto Rico con la salud pública, la protección de la niñez y la transparencia en la aplicación de sanciones.</w:t>
      </w:r>
    </w:p>
    <w:p w14:paraId="3C4BDD65" w14:textId="77777777" w:rsidR="004A61AD" w:rsidRPr="004A61AD" w:rsidRDefault="004A61AD" w:rsidP="004A61AD">
      <w:pPr>
        <w:spacing w:after="240" w:line="240" w:lineRule="auto"/>
        <w:jc w:val="both"/>
        <w:rPr>
          <w:rFonts w:ascii="Book Antiqua" w:eastAsia="Times New Roman" w:hAnsi="Book Antiqua" w:cs="Times New Roman"/>
          <w:kern w:val="0"/>
          <w:shd w:val="clear" w:color="auto" w:fill="FFFFFF"/>
          <w14:ligatures w14:val="none"/>
        </w:rPr>
      </w:pPr>
    </w:p>
    <w:p w14:paraId="457945C1" w14:textId="77777777" w:rsidR="004A61AD" w:rsidRPr="00131F6D" w:rsidRDefault="004A61AD" w:rsidP="004A61AD">
      <w:pPr>
        <w:spacing w:after="0" w:line="240" w:lineRule="auto"/>
        <w:jc w:val="both"/>
        <w:rPr>
          <w:rFonts w:ascii="Book Antiqua" w:eastAsia="Times New Roman" w:hAnsi="Book Antiqua" w:cs="Times New Roman"/>
          <w:kern w:val="0"/>
          <w:szCs w:val="20"/>
          <w:lang w:val="it-IT"/>
          <w14:ligatures w14:val="none"/>
        </w:rPr>
      </w:pPr>
      <w:r w:rsidRPr="00131F6D">
        <w:rPr>
          <w:rFonts w:ascii="Book Antiqua" w:eastAsia="Times New Roman" w:hAnsi="Book Antiqua" w:cs="Times New Roman"/>
          <w:kern w:val="0"/>
          <w:szCs w:val="20"/>
          <w:lang w:val="it-IT"/>
          <w14:ligatures w14:val="none"/>
        </w:rPr>
        <w:t>Respetuosamente sometido,</w:t>
      </w:r>
    </w:p>
    <w:p w14:paraId="5875E3B0" w14:textId="77777777" w:rsidR="004A61AD" w:rsidRPr="00131F6D" w:rsidRDefault="004A61AD" w:rsidP="004A61AD">
      <w:pPr>
        <w:spacing w:after="0" w:line="240" w:lineRule="auto"/>
        <w:jc w:val="both"/>
        <w:rPr>
          <w:rFonts w:ascii="Book Antiqua" w:eastAsia="Times New Roman" w:hAnsi="Book Antiqua" w:cs="Times New Roman"/>
          <w:kern w:val="0"/>
          <w:szCs w:val="20"/>
          <w:lang w:val="it-IT"/>
          <w14:ligatures w14:val="none"/>
        </w:rPr>
      </w:pPr>
    </w:p>
    <w:p w14:paraId="3DACCA54" w14:textId="77777777" w:rsidR="004A61AD" w:rsidRPr="00131F6D" w:rsidRDefault="004A61AD" w:rsidP="004A61AD">
      <w:pPr>
        <w:spacing w:after="0" w:line="240" w:lineRule="auto"/>
        <w:jc w:val="both"/>
        <w:rPr>
          <w:rFonts w:ascii="Book Antiqua" w:eastAsia="Times New Roman" w:hAnsi="Book Antiqua" w:cs="Times New Roman"/>
          <w:kern w:val="0"/>
          <w:szCs w:val="20"/>
          <w:lang w:val="it-IT"/>
          <w14:ligatures w14:val="none"/>
        </w:rPr>
      </w:pPr>
    </w:p>
    <w:p w14:paraId="28DAC7DE" w14:textId="77777777" w:rsidR="004A61AD" w:rsidRPr="00131F6D" w:rsidRDefault="004A61AD" w:rsidP="004A61AD">
      <w:pPr>
        <w:spacing w:after="0" w:line="240" w:lineRule="auto"/>
        <w:jc w:val="both"/>
        <w:rPr>
          <w:rFonts w:ascii="Book Antiqua" w:eastAsia="Times New Roman" w:hAnsi="Book Antiqua" w:cs="Times New Roman"/>
          <w:kern w:val="0"/>
          <w:szCs w:val="20"/>
          <w:lang w:val="it-IT"/>
          <w14:ligatures w14:val="none"/>
        </w:rPr>
      </w:pPr>
    </w:p>
    <w:p w14:paraId="6C3250D5" w14:textId="77777777" w:rsidR="004A61AD" w:rsidRPr="00ED5D0B" w:rsidRDefault="004A61AD" w:rsidP="004A61AD">
      <w:pPr>
        <w:spacing w:after="0" w:line="240" w:lineRule="auto"/>
        <w:jc w:val="both"/>
        <w:rPr>
          <w:rFonts w:ascii="Book Antiqua" w:eastAsia="Times New Roman" w:hAnsi="Book Antiqua" w:cs="Times New Roman"/>
          <w:bCs/>
          <w:iCs/>
          <w:kern w:val="0"/>
          <w:szCs w:val="20"/>
          <w:lang w:val="it-IT"/>
          <w14:ligatures w14:val="none"/>
        </w:rPr>
      </w:pPr>
      <w:r w:rsidRPr="00ED5D0B">
        <w:rPr>
          <w:rFonts w:ascii="Book Antiqua" w:eastAsia="Times New Roman" w:hAnsi="Book Antiqua" w:cs="Times New Roman"/>
          <w:bCs/>
          <w:iCs/>
          <w:kern w:val="0"/>
          <w:szCs w:val="20"/>
          <w:lang w:val="it-IT"/>
          <w14:ligatures w14:val="none"/>
        </w:rPr>
        <w:t>Eddie Charbonier Chinea</w:t>
      </w:r>
      <w:r w:rsidRPr="00ED5D0B">
        <w:rPr>
          <w:rFonts w:ascii="Book Antiqua" w:eastAsia="Times New Roman" w:hAnsi="Book Antiqua" w:cs="Times New Roman"/>
          <w:bCs/>
          <w:iCs/>
          <w:kern w:val="0"/>
          <w:szCs w:val="20"/>
          <w:lang w:val="it-IT"/>
          <w14:ligatures w14:val="none"/>
        </w:rPr>
        <w:tab/>
      </w:r>
    </w:p>
    <w:p w14:paraId="6153FCA1" w14:textId="77777777" w:rsidR="004A61AD" w:rsidRPr="004A61AD" w:rsidRDefault="004A61AD" w:rsidP="004A61AD">
      <w:pPr>
        <w:spacing w:after="0" w:line="240" w:lineRule="auto"/>
        <w:jc w:val="both"/>
        <w:rPr>
          <w:rFonts w:ascii="Book Antiqua" w:eastAsia="Times New Roman" w:hAnsi="Book Antiqua" w:cs="Times New Roman"/>
          <w:kern w:val="0"/>
          <w:szCs w:val="20"/>
          <w:lang w:val="es-ES"/>
          <w14:ligatures w14:val="none"/>
        </w:rPr>
      </w:pPr>
      <w:r w:rsidRPr="004A61AD">
        <w:rPr>
          <w:rFonts w:ascii="Book Antiqua" w:eastAsia="Times New Roman" w:hAnsi="Book Antiqua" w:cs="Times New Roman"/>
          <w:kern w:val="0"/>
          <w:szCs w:val="20"/>
          <w:lang w:val="es-ES"/>
          <w14:ligatures w14:val="none"/>
        </w:rPr>
        <w:t>Presidente</w:t>
      </w:r>
    </w:p>
    <w:p w14:paraId="05C27080" w14:textId="77777777" w:rsidR="0005089D" w:rsidRDefault="004A61AD" w:rsidP="004A61AD">
      <w:pPr>
        <w:spacing w:after="0" w:line="240" w:lineRule="auto"/>
        <w:jc w:val="both"/>
        <w:rPr>
          <w:rFonts w:ascii="Book Antiqua" w:eastAsia="Times New Roman" w:hAnsi="Book Antiqua" w:cs="Times New Roman"/>
          <w:kern w:val="0"/>
          <w:szCs w:val="20"/>
          <w:lang w:val="es-ES"/>
          <w14:ligatures w14:val="none"/>
        </w:rPr>
      </w:pPr>
      <w:r w:rsidRPr="004A61AD">
        <w:rPr>
          <w:rFonts w:ascii="Book Antiqua" w:eastAsia="Times New Roman" w:hAnsi="Book Antiqua" w:cs="Times New Roman"/>
          <w:kern w:val="0"/>
          <w:szCs w:val="20"/>
          <w:lang w:val="es-ES"/>
          <w14:ligatures w14:val="none"/>
        </w:rPr>
        <w:t xml:space="preserve">Comisión de Hacienda </w:t>
      </w:r>
    </w:p>
    <w:p w14:paraId="4D9F5A3D" w14:textId="77777777" w:rsidR="004A61AD" w:rsidRPr="004A61AD" w:rsidRDefault="004A61AD" w:rsidP="004A61AD">
      <w:pPr>
        <w:spacing w:after="0" w:line="240" w:lineRule="auto"/>
        <w:jc w:val="both"/>
        <w:rPr>
          <w:rFonts w:ascii="Book Antiqua" w:eastAsia="Times New Roman" w:hAnsi="Book Antiqua" w:cs="Times New Roman"/>
          <w:kern w:val="0"/>
          <w:szCs w:val="20"/>
          <w:lang w:val="es-ES"/>
          <w14:ligatures w14:val="none"/>
        </w:rPr>
      </w:pPr>
    </w:p>
    <w:p w14:paraId="7555BDB5" w14:textId="77777777" w:rsidR="004A61AD" w:rsidRPr="004A61AD" w:rsidRDefault="004A61AD" w:rsidP="004A61AD">
      <w:pPr>
        <w:spacing w:after="0" w:line="240" w:lineRule="auto"/>
        <w:jc w:val="both"/>
        <w:rPr>
          <w:rFonts w:ascii="Book Antiqua" w:eastAsia="Times New Roman" w:hAnsi="Book Antiqua" w:cs="Times New Roman"/>
          <w:kern w:val="0"/>
          <w:szCs w:val="20"/>
          <w:lang w:val="es-ES"/>
          <w14:ligatures w14:val="none"/>
        </w:rPr>
      </w:pPr>
    </w:p>
    <w:p w14:paraId="3D3C66C9" w14:textId="77777777" w:rsidR="004A61AD" w:rsidRDefault="004A61AD" w:rsidP="004A61AD">
      <w:pPr>
        <w:rPr>
          <w:b/>
          <w:bCs/>
        </w:rPr>
      </w:pPr>
    </w:p>
    <w:p w14:paraId="20D831A6" w14:textId="77777777" w:rsidR="004A61AD" w:rsidRDefault="004A61AD" w:rsidP="004A61AD">
      <w:pPr>
        <w:rPr>
          <w:b/>
          <w:bCs/>
        </w:rPr>
      </w:pPr>
    </w:p>
    <w:p w14:paraId="00D3A73A" w14:textId="77777777" w:rsidR="004A61AD" w:rsidRDefault="004A61AD" w:rsidP="004A61AD">
      <w:pPr>
        <w:rPr>
          <w:b/>
          <w:bCs/>
        </w:rPr>
      </w:pPr>
    </w:p>
    <w:p w14:paraId="777E59EE" w14:textId="77777777" w:rsidR="004A61AD" w:rsidRDefault="004A61AD" w:rsidP="004A61AD"/>
    <w:p w14:paraId="13D1819C" w14:textId="77777777" w:rsidR="00701A84" w:rsidRPr="004A61AD" w:rsidRDefault="00701A84"/>
    <w:sectPr w:rsidR="00701A84" w:rsidRPr="004A61AD" w:rsidSect="009A2B5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2FE46" w14:textId="77777777" w:rsidR="00A125D6" w:rsidRDefault="00A125D6" w:rsidP="00131F6D">
      <w:pPr>
        <w:spacing w:after="0" w:line="240" w:lineRule="auto"/>
      </w:pPr>
      <w:r>
        <w:separator/>
      </w:r>
    </w:p>
  </w:endnote>
  <w:endnote w:type="continuationSeparator" w:id="0">
    <w:p w14:paraId="710116D6" w14:textId="77777777" w:rsidR="00A125D6" w:rsidRDefault="00A125D6" w:rsidP="0013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C26A4" w14:textId="77777777" w:rsidR="00A125D6" w:rsidRDefault="00A125D6" w:rsidP="00131F6D">
      <w:pPr>
        <w:spacing w:after="0" w:line="240" w:lineRule="auto"/>
      </w:pPr>
      <w:r>
        <w:separator/>
      </w:r>
    </w:p>
  </w:footnote>
  <w:footnote w:type="continuationSeparator" w:id="0">
    <w:p w14:paraId="2D8C1CF1" w14:textId="77777777" w:rsidR="00A125D6" w:rsidRDefault="00A125D6" w:rsidP="00131F6D">
      <w:pPr>
        <w:spacing w:after="0" w:line="240" w:lineRule="auto"/>
      </w:pPr>
      <w:r>
        <w:continuationSeparator/>
      </w:r>
    </w:p>
  </w:footnote>
  <w:footnote w:id="1">
    <w:p w14:paraId="2D0699E6" w14:textId="77777777" w:rsidR="00131F6D" w:rsidRPr="00613833" w:rsidRDefault="00131F6D" w:rsidP="00131F6D">
      <w:pPr>
        <w:spacing w:before="100" w:beforeAutospacing="1" w:after="100" w:afterAutospacing="1" w:line="240" w:lineRule="auto"/>
        <w:jc w:val="both"/>
        <w:rPr>
          <w:rFonts w:ascii="Book Antiqua" w:eastAsia="Times New Roman" w:hAnsi="Book Antiqua" w:cs="Times New Roman"/>
          <w:color w:val="000000"/>
          <w:kern w:val="0"/>
          <w:lang w:val="en-US"/>
          <w14:ligatures w14:val="none"/>
        </w:rPr>
      </w:pPr>
      <w:r>
        <w:rPr>
          <w:rStyle w:val="FootnoteReference"/>
        </w:rPr>
        <w:footnoteRef/>
      </w:r>
      <w:r>
        <w:t xml:space="preserve"> </w:t>
      </w:r>
      <w:hyperlink r:id="rId1" w:history="1">
        <w:r w:rsidRPr="000054CC">
          <w:rPr>
            <w:rStyle w:val="Hyperlink"/>
            <w:rFonts w:ascii="Book Antiqua" w:eastAsia="Times New Roman" w:hAnsi="Book Antiqua" w:cs="Times New Roman"/>
            <w:kern w:val="0"/>
            <w14:ligatures w14:val="none"/>
          </w:rPr>
          <w:t>https://www.fda.gov/tobacco-products/retail-sales-tobacco-products/tobacco-21</w:t>
        </w:r>
      </w:hyperlink>
      <w:r w:rsidRPr="00613833">
        <w:rPr>
          <w:rFonts w:ascii="Book Antiqua" w:eastAsia="Times New Roman" w:hAnsi="Book Antiqua" w:cs="Times New Roman"/>
          <w:color w:val="000000"/>
          <w:kern w:val="0"/>
          <w14:ligatures w14:val="none"/>
        </w:rPr>
        <w:t>.</w:t>
      </w:r>
      <w:r w:rsidRPr="00381990">
        <w:t xml:space="preserve"> </w:t>
      </w:r>
      <w:r>
        <w:t xml:space="preserve"> </w:t>
      </w:r>
      <w:hyperlink r:id="rId2" w:history="1">
        <w:r w:rsidRPr="00381990">
          <w:rPr>
            <w:rStyle w:val="Hyperlink"/>
            <w:rFonts w:ascii="Book Antiqua" w:eastAsia="Times New Roman" w:hAnsi="Book Antiqua" w:cs="Times New Roman"/>
            <w:kern w:val="0"/>
            <w:lang w:val="en-US"/>
            <w14:ligatures w14:val="none"/>
          </w:rPr>
          <w:t xml:space="preserve">Federal </w:t>
        </w:r>
        <w:proofErr w:type="gramStart"/>
        <w:r w:rsidRPr="00381990">
          <w:rPr>
            <w:rStyle w:val="Hyperlink"/>
            <w:rFonts w:ascii="Book Antiqua" w:eastAsia="Times New Roman" w:hAnsi="Book Antiqua" w:cs="Times New Roman"/>
            <w:kern w:val="0"/>
            <w:lang w:val="en-US"/>
            <w14:ligatures w14:val="none"/>
          </w:rPr>
          <w:t>Register :</w:t>
        </w:r>
        <w:proofErr w:type="gramEnd"/>
        <w:r w:rsidRPr="00381990">
          <w:rPr>
            <w:rStyle w:val="Hyperlink"/>
            <w:rFonts w:ascii="Book Antiqua" w:eastAsia="Times New Roman" w:hAnsi="Book Antiqua" w:cs="Times New Roman"/>
            <w:kern w:val="0"/>
            <w:lang w:val="en-US"/>
            <w14:ligatures w14:val="none"/>
          </w:rPr>
          <w:t>: Prohibition of Sale of Tobacco Products to Persons Younger Than 21 Years of Age</w:t>
        </w:r>
      </w:hyperlink>
    </w:p>
    <w:p w14:paraId="7323F9A8" w14:textId="714ACF3D" w:rsidR="00131F6D" w:rsidRPr="00131F6D" w:rsidRDefault="00131F6D">
      <w:pPr>
        <w:pStyle w:val="FootnoteText"/>
        <w:rPr>
          <w:lang w:val="en-US"/>
        </w:rPr>
      </w:pPr>
    </w:p>
  </w:footnote>
  <w:footnote w:id="2">
    <w:p w14:paraId="0DFF4FE9" w14:textId="77777777" w:rsidR="00131F6D" w:rsidRPr="00131F6D" w:rsidRDefault="00131F6D" w:rsidP="00131F6D">
      <w:pPr>
        <w:spacing w:before="100" w:beforeAutospacing="1" w:after="100" w:afterAutospacing="1" w:line="240" w:lineRule="auto"/>
        <w:jc w:val="both"/>
        <w:rPr>
          <w:rFonts w:ascii="Book Antiqua" w:eastAsia="Times New Roman" w:hAnsi="Book Antiqua" w:cs="Times New Roman"/>
          <w:color w:val="000000"/>
          <w:kern w:val="0"/>
          <w:lang w:val="en-US"/>
          <w14:ligatures w14:val="none"/>
        </w:rPr>
      </w:pPr>
      <w:r>
        <w:rPr>
          <w:rStyle w:val="FootnoteReference"/>
        </w:rPr>
        <w:footnoteRef/>
      </w:r>
      <w:r w:rsidRPr="00131F6D">
        <w:rPr>
          <w:lang w:val="en-US"/>
        </w:rPr>
        <w:t xml:space="preserve"> </w:t>
      </w:r>
      <w:hyperlink r:id="rId3" w:history="1">
        <w:r w:rsidRPr="00131F6D">
          <w:rPr>
            <w:rStyle w:val="Hyperlink"/>
            <w:rFonts w:ascii="Book Antiqua" w:eastAsia="Times New Roman" w:hAnsi="Book Antiqua" w:cs="Times New Roman"/>
            <w:kern w:val="0"/>
            <w:lang w:val="en-US"/>
            <w14:ligatures w14:val="none"/>
          </w:rPr>
          <w:t>https://www.cdc.gov/statesystem/factsheets/mlsa/Minimum-Legal-Sales-Age.html</w:t>
        </w:r>
      </w:hyperlink>
      <w:r w:rsidRPr="00131F6D">
        <w:rPr>
          <w:rFonts w:ascii="Book Antiqua" w:eastAsia="Times New Roman" w:hAnsi="Book Antiqua" w:cs="Times New Roman"/>
          <w:color w:val="000000"/>
          <w:kern w:val="0"/>
          <w:lang w:val="en-US"/>
          <w14:ligatures w14:val="none"/>
        </w:rPr>
        <w:t xml:space="preserve"> </w:t>
      </w:r>
      <w:hyperlink r:id="rId4" w:history="1">
        <w:r w:rsidRPr="00131F6D">
          <w:rPr>
            <w:rStyle w:val="Hyperlink"/>
            <w:rFonts w:ascii="Book Antiqua" w:eastAsia="Times New Roman" w:hAnsi="Book Antiqua" w:cs="Times New Roman"/>
            <w:kern w:val="0"/>
            <w:lang w:val="en-US"/>
            <w14:ligatures w14:val="none"/>
          </w:rPr>
          <w:t>https://www.fda.gov/tobacco-products/retail-sales-tobacco-products/tobacco-21</w:t>
        </w:r>
      </w:hyperlink>
      <w:r w:rsidRPr="00131F6D">
        <w:rPr>
          <w:rFonts w:ascii="Book Antiqua" w:eastAsia="Times New Roman" w:hAnsi="Book Antiqua" w:cs="Times New Roman"/>
          <w:color w:val="000000"/>
          <w:kern w:val="0"/>
          <w:lang w:val="en-US"/>
          <w14:ligatures w14:val="none"/>
        </w:rPr>
        <w:t xml:space="preserve"> </w:t>
      </w:r>
    </w:p>
    <w:p w14:paraId="5B411A34" w14:textId="16A94403" w:rsidR="00131F6D" w:rsidRPr="00131F6D" w:rsidRDefault="00131F6D">
      <w:pPr>
        <w:pStyle w:val="FootnoteText"/>
        <w:rPr>
          <w:lang w:val="en-US"/>
        </w:rPr>
      </w:pPr>
    </w:p>
  </w:footnote>
  <w:footnote w:id="3">
    <w:p w14:paraId="60A7BE59" w14:textId="23EE56B7" w:rsidR="00131F6D" w:rsidRPr="00131F6D" w:rsidRDefault="00131F6D">
      <w:pPr>
        <w:pStyle w:val="FootnoteText"/>
        <w:rPr>
          <w:lang w:val="en-US"/>
        </w:rPr>
      </w:pPr>
      <w:r>
        <w:rPr>
          <w:rStyle w:val="FootnoteReference"/>
        </w:rPr>
        <w:footnoteRef/>
      </w:r>
      <w:r w:rsidRPr="00131F6D">
        <w:rPr>
          <w:lang w:val="en-US"/>
        </w:rPr>
        <w:t xml:space="preserve"> </w:t>
      </w:r>
      <w:hyperlink r:id="rId5" w:history="1">
        <w:r w:rsidRPr="00131F6D">
          <w:rPr>
            <w:rStyle w:val="Hyperlink"/>
            <w:rFonts w:ascii="Book Antiqua" w:eastAsia="Times New Roman" w:hAnsi="Book Antiqua" w:cs="Times New Roman"/>
            <w:kern w:val="0"/>
            <w:lang w:val="en-US"/>
            <w14:ligatures w14:val="none"/>
          </w:rPr>
          <w:t>https://www.cdc.gov/statesystem/factsheets/mlsa/Minimum-Legal-Sales-Age.html</w:t>
        </w:r>
      </w:hyperlink>
      <w:r w:rsidRPr="00131F6D">
        <w:rPr>
          <w:rFonts w:ascii="Book Antiqua" w:eastAsia="Times New Roman" w:hAnsi="Book Antiqua" w:cs="Times New Roman"/>
          <w:color w:val="000000"/>
          <w:kern w:val="0"/>
          <w:lang w:val="en-US"/>
          <w14:ligatures w14:val="none"/>
        </w:rPr>
        <w:t xml:space="preserve"> </w:t>
      </w:r>
    </w:p>
  </w:footnote>
  <w:footnote w:id="4">
    <w:p w14:paraId="747311EC" w14:textId="36ADA2E6" w:rsidR="00131F6D" w:rsidRPr="00131F6D" w:rsidRDefault="00131F6D">
      <w:pPr>
        <w:pStyle w:val="FootnoteText"/>
        <w:rPr>
          <w:lang w:val="en-US"/>
        </w:rPr>
      </w:pPr>
      <w:r>
        <w:rPr>
          <w:rStyle w:val="FootnoteReference"/>
        </w:rPr>
        <w:footnoteRef/>
      </w:r>
      <w:r w:rsidRPr="00131F6D">
        <w:rPr>
          <w:lang w:val="en-US"/>
        </w:rPr>
        <w:t xml:space="preserve"> </w:t>
      </w:r>
      <w:hyperlink r:id="rId6" w:history="1">
        <w:r w:rsidRPr="00131F6D">
          <w:rPr>
            <w:rStyle w:val="Hyperlink"/>
            <w:rFonts w:ascii="Book Antiqua" w:eastAsia="Times New Roman" w:hAnsi="Book Antiqua" w:cs="Times New Roman"/>
            <w:kern w:val="0"/>
            <w:lang w:val="en-US"/>
            <w14:ligatures w14:val="none"/>
          </w:rPr>
          <w:t>https://www.lung.org/getmedia/31d82593-3e38-4b34-bbc0-b6bcaa09982a/Addressing-Tobacco-Use-Among-Youth-and-Young-Adults.pdf</w:t>
        </w:r>
      </w:hyperlink>
      <w:r w:rsidRPr="00131F6D">
        <w:rPr>
          <w:rFonts w:ascii="Book Antiqua" w:eastAsia="Times New Roman" w:hAnsi="Book Antiqua" w:cs="Times New Roman"/>
          <w:color w:val="000000"/>
          <w:kern w:val="0"/>
          <w:lang w:val="en-US"/>
          <w14:ligatures w14:val="none"/>
        </w:rPr>
        <w:t xml:space="preserve"> </w:t>
      </w:r>
      <w:r>
        <w:fldChar w:fldCharType="begin"/>
      </w:r>
      <w:r w:rsidRPr="00053BA3">
        <w:rPr>
          <w:lang w:val="en-US"/>
        </w:rPr>
        <w:instrText>HYPERLINK "https://www.lung.org/getmedia/31d82593-3e38-4b34-bbc0-b6bcaa09982a/Addressing-Tobacco-Use-Among-Youth-and-Young-Adults.pdf"</w:instrText>
      </w:r>
      <w:r>
        <w:fldChar w:fldCharType="separate"/>
      </w:r>
      <w:r w:rsidRPr="00131F6D">
        <w:rPr>
          <w:rStyle w:val="Hyperlink"/>
          <w:rFonts w:ascii="Book Antiqua" w:eastAsia="Times New Roman" w:hAnsi="Book Antiqua" w:cs="Times New Roman"/>
          <w:kern w:val="0"/>
          <w:lang w:val="en-US"/>
          <w14:ligatures w14:val="none"/>
        </w:rPr>
        <w:t>https://www.lung.org/getmedia/31d82593-3e38-4b34-bbc0-b6bcaa09982a/Addressing-Tobacco-Use-Among-Youth-and-Young-Adults.pdf</w:t>
      </w:r>
      <w:r>
        <w:fldChar w:fldCharType="end"/>
      </w:r>
    </w:p>
  </w:footnote>
  <w:footnote w:id="5">
    <w:p w14:paraId="506C05E4" w14:textId="437CCBFC" w:rsidR="002F54D3" w:rsidRPr="002F54D3" w:rsidRDefault="002F54D3" w:rsidP="00490EDB">
      <w:pPr>
        <w:rPr>
          <w:lang w:val="en-US"/>
        </w:rPr>
      </w:pPr>
      <w:r>
        <w:rPr>
          <w:rStyle w:val="FootnoteReference"/>
        </w:rPr>
        <w:footnoteRef/>
      </w:r>
      <w:r w:rsidRPr="002F54D3">
        <w:rPr>
          <w:lang w:val="en-US"/>
        </w:rPr>
        <w:t xml:space="preserve"> </w:t>
      </w:r>
      <w:hyperlink r:id="rId7" w:history="1">
        <w:r w:rsidRPr="002F54D3">
          <w:rPr>
            <w:rStyle w:val="Hyperlink"/>
            <w:lang w:val="en-US"/>
          </w:rPr>
          <w:t>https://www.aap.org/en/patient-care/tobacco-control-and-prevention/youth-tobacco-cessation-toolkits/</w:t>
        </w:r>
      </w:hyperlink>
      <w:r w:rsidRPr="002F54D3">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390407"/>
      <w:docPartObj>
        <w:docPartGallery w:val="Page Numbers (Top of Page)"/>
        <w:docPartUnique/>
      </w:docPartObj>
    </w:sdtPr>
    <w:sdtEndPr>
      <w:rPr>
        <w:noProof/>
      </w:rPr>
    </w:sdtEndPr>
    <w:sdtContent>
      <w:p w14:paraId="1E37F5D7" w14:textId="33DB2514" w:rsidR="009A2B59" w:rsidRDefault="009A2B5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3B6812E" w14:textId="77777777" w:rsidR="009A2B59" w:rsidRDefault="009A2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2003"/>
    <w:multiLevelType w:val="multilevel"/>
    <w:tmpl w:val="8702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2D7360"/>
    <w:multiLevelType w:val="multilevel"/>
    <w:tmpl w:val="06F6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B2D84"/>
    <w:multiLevelType w:val="multilevel"/>
    <w:tmpl w:val="B224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6F59AB"/>
    <w:multiLevelType w:val="multilevel"/>
    <w:tmpl w:val="0A34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671BB0"/>
    <w:multiLevelType w:val="multilevel"/>
    <w:tmpl w:val="EA32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E21CE1"/>
    <w:multiLevelType w:val="multilevel"/>
    <w:tmpl w:val="33466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353691">
    <w:abstractNumId w:val="3"/>
  </w:num>
  <w:num w:numId="2" w16cid:durableId="538393103">
    <w:abstractNumId w:val="2"/>
  </w:num>
  <w:num w:numId="3" w16cid:durableId="53702540">
    <w:abstractNumId w:val="0"/>
  </w:num>
  <w:num w:numId="4" w16cid:durableId="841579325">
    <w:abstractNumId w:val="1"/>
  </w:num>
  <w:num w:numId="5" w16cid:durableId="235626454">
    <w:abstractNumId w:val="5"/>
  </w:num>
  <w:num w:numId="6" w16cid:durableId="8941940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1AD"/>
    <w:rsid w:val="000054CC"/>
    <w:rsid w:val="0000789E"/>
    <w:rsid w:val="0001494E"/>
    <w:rsid w:val="00034943"/>
    <w:rsid w:val="0005089D"/>
    <w:rsid w:val="00053BA3"/>
    <w:rsid w:val="000D4B37"/>
    <w:rsid w:val="00131F6D"/>
    <w:rsid w:val="001A0C38"/>
    <w:rsid w:val="001A4494"/>
    <w:rsid w:val="001E35F1"/>
    <w:rsid w:val="00205036"/>
    <w:rsid w:val="00270620"/>
    <w:rsid w:val="002C5BF7"/>
    <w:rsid w:val="002F54D3"/>
    <w:rsid w:val="00306D1F"/>
    <w:rsid w:val="0031283C"/>
    <w:rsid w:val="00381990"/>
    <w:rsid w:val="00397D6C"/>
    <w:rsid w:val="0041202C"/>
    <w:rsid w:val="00490EDB"/>
    <w:rsid w:val="004966B2"/>
    <w:rsid w:val="004A61AD"/>
    <w:rsid w:val="004D0F0C"/>
    <w:rsid w:val="004F0FF1"/>
    <w:rsid w:val="004F2FC5"/>
    <w:rsid w:val="004F4F02"/>
    <w:rsid w:val="00543E38"/>
    <w:rsid w:val="005A7DD9"/>
    <w:rsid w:val="005D7BC4"/>
    <w:rsid w:val="00613833"/>
    <w:rsid w:val="006C272A"/>
    <w:rsid w:val="00701A84"/>
    <w:rsid w:val="0071081B"/>
    <w:rsid w:val="0071641C"/>
    <w:rsid w:val="00751DC4"/>
    <w:rsid w:val="007A0169"/>
    <w:rsid w:val="00816B2A"/>
    <w:rsid w:val="008A3F36"/>
    <w:rsid w:val="008D4384"/>
    <w:rsid w:val="008F34E6"/>
    <w:rsid w:val="009973B3"/>
    <w:rsid w:val="009A2B59"/>
    <w:rsid w:val="009F0E30"/>
    <w:rsid w:val="00A125D6"/>
    <w:rsid w:val="00A24B05"/>
    <w:rsid w:val="00A961C2"/>
    <w:rsid w:val="00AD1EBD"/>
    <w:rsid w:val="00AE2940"/>
    <w:rsid w:val="00BE2914"/>
    <w:rsid w:val="00C208DD"/>
    <w:rsid w:val="00C35F9D"/>
    <w:rsid w:val="00CA42BB"/>
    <w:rsid w:val="00D043F3"/>
    <w:rsid w:val="00D1283B"/>
    <w:rsid w:val="00D8142C"/>
    <w:rsid w:val="00E74272"/>
    <w:rsid w:val="00E977A1"/>
    <w:rsid w:val="00ED5D0B"/>
    <w:rsid w:val="00F01F0D"/>
    <w:rsid w:val="00F5699D"/>
    <w:rsid w:val="00F60AED"/>
    <w:rsid w:val="00FC78ED"/>
    <w:rsid w:val="00FD2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2B371"/>
  <w15:chartTrackingRefBased/>
  <w15:docId w15:val="{1081AE2C-F232-456C-AF86-339EF541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4A6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1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1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1AD"/>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rsid w:val="004A61AD"/>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rsid w:val="004A61AD"/>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4A61AD"/>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4A61AD"/>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4A61AD"/>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4A61AD"/>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4A61AD"/>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4A61AD"/>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4A6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1AD"/>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4A61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1AD"/>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4A61AD"/>
    <w:pPr>
      <w:spacing w:before="160"/>
      <w:jc w:val="center"/>
    </w:pPr>
    <w:rPr>
      <w:i/>
      <w:iCs/>
      <w:color w:val="404040" w:themeColor="text1" w:themeTint="BF"/>
    </w:rPr>
  </w:style>
  <w:style w:type="character" w:customStyle="1" w:styleId="QuoteChar">
    <w:name w:val="Quote Char"/>
    <w:basedOn w:val="DefaultParagraphFont"/>
    <w:link w:val="Quote"/>
    <w:uiPriority w:val="29"/>
    <w:rsid w:val="004A61AD"/>
    <w:rPr>
      <w:i/>
      <w:iCs/>
      <w:color w:val="404040" w:themeColor="text1" w:themeTint="BF"/>
      <w:lang w:val="es-PR"/>
    </w:rPr>
  </w:style>
  <w:style w:type="paragraph" w:styleId="ListParagraph">
    <w:name w:val="List Paragraph"/>
    <w:basedOn w:val="Normal"/>
    <w:uiPriority w:val="34"/>
    <w:qFormat/>
    <w:rsid w:val="004A61AD"/>
    <w:pPr>
      <w:ind w:left="720"/>
      <w:contextualSpacing/>
    </w:pPr>
  </w:style>
  <w:style w:type="character" w:styleId="IntenseEmphasis">
    <w:name w:val="Intense Emphasis"/>
    <w:basedOn w:val="DefaultParagraphFont"/>
    <w:uiPriority w:val="21"/>
    <w:qFormat/>
    <w:rsid w:val="004A61AD"/>
    <w:rPr>
      <w:i/>
      <w:iCs/>
      <w:color w:val="0F4761" w:themeColor="accent1" w:themeShade="BF"/>
    </w:rPr>
  </w:style>
  <w:style w:type="paragraph" w:styleId="IntenseQuote">
    <w:name w:val="Intense Quote"/>
    <w:basedOn w:val="Normal"/>
    <w:next w:val="Normal"/>
    <w:link w:val="IntenseQuoteChar"/>
    <w:uiPriority w:val="30"/>
    <w:qFormat/>
    <w:rsid w:val="004A6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1AD"/>
    <w:rPr>
      <w:i/>
      <w:iCs/>
      <w:color w:val="0F4761" w:themeColor="accent1" w:themeShade="BF"/>
      <w:lang w:val="es-PR"/>
    </w:rPr>
  </w:style>
  <w:style w:type="character" w:styleId="IntenseReference">
    <w:name w:val="Intense Reference"/>
    <w:basedOn w:val="DefaultParagraphFont"/>
    <w:uiPriority w:val="32"/>
    <w:qFormat/>
    <w:rsid w:val="004A61AD"/>
    <w:rPr>
      <w:b/>
      <w:bCs/>
      <w:smallCaps/>
      <w:color w:val="0F4761" w:themeColor="accent1" w:themeShade="BF"/>
      <w:spacing w:val="5"/>
    </w:rPr>
  </w:style>
  <w:style w:type="paragraph" w:styleId="NormalWeb">
    <w:name w:val="Normal (Web)"/>
    <w:basedOn w:val="Normal"/>
    <w:uiPriority w:val="99"/>
    <w:semiHidden/>
    <w:unhideWhenUsed/>
    <w:rsid w:val="006138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13833"/>
    <w:rPr>
      <w:b/>
      <w:bCs/>
    </w:rPr>
  </w:style>
  <w:style w:type="character" w:styleId="Emphasis">
    <w:name w:val="Emphasis"/>
    <w:basedOn w:val="DefaultParagraphFont"/>
    <w:uiPriority w:val="20"/>
    <w:qFormat/>
    <w:rsid w:val="00613833"/>
    <w:rPr>
      <w:i/>
      <w:iCs/>
    </w:rPr>
  </w:style>
  <w:style w:type="character" w:styleId="Hyperlink">
    <w:name w:val="Hyperlink"/>
    <w:basedOn w:val="DefaultParagraphFont"/>
    <w:uiPriority w:val="99"/>
    <w:unhideWhenUsed/>
    <w:rsid w:val="00613833"/>
    <w:rPr>
      <w:color w:val="0000FF"/>
      <w:u w:val="single"/>
    </w:rPr>
  </w:style>
  <w:style w:type="character" w:styleId="UnresolvedMention">
    <w:name w:val="Unresolved Mention"/>
    <w:basedOn w:val="DefaultParagraphFont"/>
    <w:uiPriority w:val="99"/>
    <w:semiHidden/>
    <w:unhideWhenUsed/>
    <w:rsid w:val="00613833"/>
    <w:rPr>
      <w:color w:val="605E5C"/>
      <w:shd w:val="clear" w:color="auto" w:fill="E1DFDD"/>
    </w:rPr>
  </w:style>
  <w:style w:type="paragraph" w:styleId="EndnoteText">
    <w:name w:val="endnote text"/>
    <w:basedOn w:val="Normal"/>
    <w:link w:val="EndnoteTextChar"/>
    <w:uiPriority w:val="99"/>
    <w:semiHidden/>
    <w:unhideWhenUsed/>
    <w:rsid w:val="00131F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1F6D"/>
    <w:rPr>
      <w:sz w:val="20"/>
      <w:szCs w:val="20"/>
      <w:lang w:val="es-PR"/>
    </w:rPr>
  </w:style>
  <w:style w:type="character" w:styleId="EndnoteReference">
    <w:name w:val="endnote reference"/>
    <w:basedOn w:val="DefaultParagraphFont"/>
    <w:uiPriority w:val="99"/>
    <w:semiHidden/>
    <w:unhideWhenUsed/>
    <w:rsid w:val="00131F6D"/>
    <w:rPr>
      <w:vertAlign w:val="superscript"/>
    </w:rPr>
  </w:style>
  <w:style w:type="paragraph" w:styleId="FootnoteText">
    <w:name w:val="footnote text"/>
    <w:basedOn w:val="Normal"/>
    <w:link w:val="FootnoteTextChar"/>
    <w:uiPriority w:val="99"/>
    <w:semiHidden/>
    <w:unhideWhenUsed/>
    <w:rsid w:val="00131F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1F6D"/>
    <w:rPr>
      <w:sz w:val="20"/>
      <w:szCs w:val="20"/>
      <w:lang w:val="es-PR"/>
    </w:rPr>
  </w:style>
  <w:style w:type="character" w:styleId="FootnoteReference">
    <w:name w:val="footnote reference"/>
    <w:basedOn w:val="DefaultParagraphFont"/>
    <w:uiPriority w:val="99"/>
    <w:semiHidden/>
    <w:unhideWhenUsed/>
    <w:rsid w:val="00131F6D"/>
    <w:rPr>
      <w:vertAlign w:val="superscript"/>
    </w:rPr>
  </w:style>
  <w:style w:type="paragraph" w:styleId="Header">
    <w:name w:val="header"/>
    <w:basedOn w:val="Normal"/>
    <w:link w:val="HeaderChar"/>
    <w:uiPriority w:val="99"/>
    <w:unhideWhenUsed/>
    <w:rsid w:val="009A2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B59"/>
    <w:rPr>
      <w:lang w:val="es-PR"/>
    </w:rPr>
  </w:style>
  <w:style w:type="paragraph" w:styleId="Footer">
    <w:name w:val="footer"/>
    <w:basedOn w:val="Normal"/>
    <w:link w:val="FooterChar"/>
    <w:uiPriority w:val="99"/>
    <w:unhideWhenUsed/>
    <w:rsid w:val="009A2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B59"/>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dc.gov/statesystem/factsheets/mlsa/Minimum-Legal-Sales-Age.html" TargetMode="External"/><Relationship Id="rId7" Type="http://schemas.openxmlformats.org/officeDocument/2006/relationships/hyperlink" Target="https://www.aap.org/en/patient-care/tobacco-control-and-prevention/youth-tobacco-cessation-toolkits/" TargetMode="External"/><Relationship Id="rId2" Type="http://schemas.openxmlformats.org/officeDocument/2006/relationships/hyperlink" Target="https://www.federalregister.gov/documents/2024/08/30/2024-19481/prohibition-of-sale-of-tobacco-products-to-persons-younger-than-21-years-of-age" TargetMode="External"/><Relationship Id="rId1" Type="http://schemas.openxmlformats.org/officeDocument/2006/relationships/hyperlink" Target="https://www.fda.gov/tobacco-products/retail-sales-tobacco-products/tobacco-21" TargetMode="External"/><Relationship Id="rId6" Type="http://schemas.openxmlformats.org/officeDocument/2006/relationships/hyperlink" Target="https://www.lung.org/getmedia/31d82593-3e38-4b34-bbc0-b6bcaa09982a/Addressing-Tobacco-Use-Among-Youth-and-Young-Adults.pdf" TargetMode="External"/><Relationship Id="rId5" Type="http://schemas.openxmlformats.org/officeDocument/2006/relationships/hyperlink" Target="https://www.cdc.gov/statesystem/factsheets/mlsa/Minimum-Legal-Sales-Age.html" TargetMode="External"/><Relationship Id="rId4" Type="http://schemas.openxmlformats.org/officeDocument/2006/relationships/hyperlink" Target="https://www.fda.gov/tobacco-products/retail-sales-tobacco-products/tobacco-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3511A-EA50-49F8-A76F-10FAD04A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1299</Words>
  <Characters>7408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2025-10-15T17:56:00Z</cp:lastPrinted>
  <dcterms:created xsi:type="dcterms:W3CDTF">2025-10-15T18:02:00Z</dcterms:created>
  <dcterms:modified xsi:type="dcterms:W3CDTF">2025-10-15T18:02:00Z</dcterms:modified>
</cp:coreProperties>
</file>