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399E4" w14:textId="0388EFEF" w:rsidR="745CFA7C" w:rsidRDefault="745CFA7C" w:rsidP="44455D68">
      <w:pPr>
        <w:jc w:val="center"/>
        <w:rPr>
          <w:rFonts w:ascii="Book Antiqua" w:hAnsi="Book Antiqua"/>
          <w:b/>
          <w:bCs/>
          <w:sz w:val="28"/>
          <w:szCs w:val="28"/>
          <w:lang w:val="es-PR"/>
        </w:rPr>
      </w:pPr>
      <w:r w:rsidRPr="44455D68">
        <w:rPr>
          <w:rFonts w:ascii="Book Antiqua" w:hAnsi="Book Antiqua"/>
          <w:b/>
          <w:bCs/>
          <w:sz w:val="28"/>
          <w:szCs w:val="28"/>
          <w:lang w:val="es-PR"/>
        </w:rPr>
        <w:t>ENTIRILLADO ELECTRÓNICO</w:t>
      </w:r>
    </w:p>
    <w:p w14:paraId="66960BD5" w14:textId="77777777" w:rsidR="00B85AEE" w:rsidRPr="00587F94" w:rsidRDefault="00F24CC2" w:rsidP="004E7820">
      <w:pPr>
        <w:suppressAutoHyphens/>
        <w:jc w:val="center"/>
        <w:rPr>
          <w:rFonts w:ascii="Book Antiqua" w:hAnsi="Book Antiqua"/>
          <w:sz w:val="28"/>
          <w:szCs w:val="28"/>
          <w:lang w:val="es-PR"/>
        </w:rPr>
      </w:pPr>
      <w:bookmarkStart w:id="0" w:name="FolioHit45"/>
      <w:r>
        <w:rPr>
          <w:rFonts w:ascii="Book Antiqua" w:hAnsi="Book Antiqua"/>
          <w:sz w:val="28"/>
          <w:szCs w:val="28"/>
          <w:lang w:val="es-PR"/>
        </w:rPr>
        <w:t xml:space="preserve">GOBIERNO </w:t>
      </w:r>
      <w:r w:rsidR="00B85AEE" w:rsidRPr="00587F94">
        <w:rPr>
          <w:rFonts w:ascii="Book Antiqua" w:hAnsi="Book Antiqua"/>
          <w:sz w:val="28"/>
          <w:szCs w:val="28"/>
          <w:lang w:val="es-PR"/>
        </w:rPr>
        <w:t>DE PUERTO RICO</w:t>
      </w:r>
    </w:p>
    <w:p w14:paraId="672A6659" w14:textId="77777777" w:rsidR="00B85AEE" w:rsidRPr="00587F94" w:rsidRDefault="00B85AEE" w:rsidP="004E7820">
      <w:pPr>
        <w:ind w:firstLine="360"/>
        <w:jc w:val="center"/>
        <w:rPr>
          <w:rFonts w:ascii="Book Antiqua" w:hAnsi="Book Antiqua"/>
          <w:lang w:val="es-PR"/>
        </w:rPr>
      </w:pPr>
    </w:p>
    <w:p w14:paraId="5124DF63" w14:textId="3186016F" w:rsidR="00B85AEE" w:rsidRPr="00587F94" w:rsidRDefault="001C1446" w:rsidP="004E7820">
      <w:pPr>
        <w:pStyle w:val="Title2"/>
        <w:tabs>
          <w:tab w:val="clear" w:pos="648"/>
          <w:tab w:val="clear" w:pos="7776"/>
          <w:tab w:val="clear" w:pos="7848"/>
        </w:tabs>
        <w:jc w:val="both"/>
        <w:rPr>
          <w:rFonts w:ascii="Book Antiqua" w:hAnsi="Book Antiqua"/>
          <w:lang w:val="es-PR"/>
        </w:rPr>
      </w:pPr>
      <w:r w:rsidRPr="7252D677">
        <w:rPr>
          <w:rFonts w:ascii="Book Antiqua" w:hAnsi="Book Antiqua"/>
          <w:lang w:val="es-PR"/>
        </w:rPr>
        <w:t>20m</w:t>
      </w:r>
      <w:r w:rsidR="00B85AEE" w:rsidRPr="7252D677">
        <w:rPr>
          <w:rFonts w:ascii="Book Antiqua" w:hAnsi="Book Antiqua"/>
          <w:lang w:val="es-PR"/>
        </w:rPr>
        <w:t>a. Asamblea</w:t>
      </w:r>
      <w:r>
        <w:tab/>
      </w:r>
      <w:r>
        <w:tab/>
      </w:r>
      <w:r>
        <w:tab/>
      </w:r>
      <w:r>
        <w:tab/>
      </w:r>
      <w:r>
        <w:tab/>
      </w:r>
      <w:r>
        <w:tab/>
      </w:r>
      <w:r>
        <w:tab/>
      </w:r>
      <w:r>
        <w:tab/>
      </w:r>
      <w:r w:rsidR="00B85AEE" w:rsidRPr="7252D677">
        <w:rPr>
          <w:rFonts w:ascii="Book Antiqua" w:hAnsi="Book Antiqua"/>
          <w:lang w:val="es-PR"/>
        </w:rPr>
        <w:t xml:space="preserve">       </w:t>
      </w:r>
      <w:r>
        <w:tab/>
      </w:r>
      <w:r>
        <w:tab/>
      </w:r>
      <w:r w:rsidR="00B85AEE" w:rsidRPr="7252D677">
        <w:rPr>
          <w:rFonts w:ascii="Book Antiqua" w:hAnsi="Book Antiqua"/>
          <w:lang w:val="es-PR"/>
        </w:rPr>
        <w:t xml:space="preserve">  </w:t>
      </w:r>
      <w:r w:rsidR="2A0B7289" w:rsidRPr="7252D677">
        <w:rPr>
          <w:rFonts w:ascii="Book Antiqua" w:hAnsi="Book Antiqua"/>
          <w:lang w:val="es-PR"/>
        </w:rPr>
        <w:t xml:space="preserve">                                                                                    </w:t>
      </w:r>
      <w:r w:rsidR="11E08228" w:rsidRPr="7252D677">
        <w:rPr>
          <w:rFonts w:ascii="Book Antiqua" w:hAnsi="Book Antiqua"/>
          <w:lang w:val="es-PR"/>
        </w:rPr>
        <w:t xml:space="preserve">     </w:t>
      </w:r>
      <w:r w:rsidR="457F48DE" w:rsidRPr="7252D677">
        <w:rPr>
          <w:rFonts w:ascii="Book Antiqua" w:hAnsi="Book Antiqua"/>
          <w:lang w:val="es-PR"/>
        </w:rPr>
        <w:t xml:space="preserve">    3</w:t>
      </w:r>
      <w:r w:rsidRPr="7252D677">
        <w:rPr>
          <w:rFonts w:ascii="Book Antiqua" w:hAnsi="Book Antiqua"/>
          <w:lang w:val="es-PR"/>
        </w:rPr>
        <w:t>r</w:t>
      </w:r>
      <w:r w:rsidR="00B85AEE" w:rsidRPr="7252D677">
        <w:rPr>
          <w:rFonts w:ascii="Book Antiqua" w:hAnsi="Book Antiqua"/>
          <w:lang w:val="es-PR"/>
        </w:rPr>
        <w:t>a. Sesión</w:t>
      </w:r>
    </w:p>
    <w:p w14:paraId="636057A3" w14:textId="31EE5F8A" w:rsidR="00B85AEE" w:rsidRPr="00587F94" w:rsidRDefault="00B85AEE" w:rsidP="004E7820">
      <w:pPr>
        <w:pStyle w:val="Title2"/>
        <w:tabs>
          <w:tab w:val="clear" w:pos="648"/>
          <w:tab w:val="clear" w:pos="7776"/>
          <w:tab w:val="clear" w:pos="7848"/>
        </w:tabs>
        <w:jc w:val="both"/>
        <w:rPr>
          <w:rFonts w:ascii="Book Antiqua" w:hAnsi="Book Antiqua"/>
          <w:lang w:val="es-PR"/>
        </w:rPr>
      </w:pPr>
      <w:r w:rsidRPr="7252D677">
        <w:rPr>
          <w:rFonts w:ascii="Book Antiqua" w:hAnsi="Book Antiqua"/>
          <w:lang w:val="es-PR"/>
        </w:rPr>
        <w:t xml:space="preserve">            Legislativa</w:t>
      </w:r>
      <w:r w:rsidRPr="00A649FA">
        <w:rPr>
          <w:lang w:val="es-ES"/>
        </w:rPr>
        <w:tab/>
      </w:r>
      <w:r w:rsidRPr="00A649FA">
        <w:rPr>
          <w:lang w:val="es-ES"/>
        </w:rPr>
        <w:tab/>
      </w:r>
      <w:r w:rsidRPr="00A649FA">
        <w:rPr>
          <w:lang w:val="es-ES"/>
        </w:rPr>
        <w:tab/>
      </w:r>
      <w:r w:rsidRPr="00A649FA">
        <w:rPr>
          <w:lang w:val="es-ES"/>
        </w:rPr>
        <w:tab/>
      </w:r>
      <w:r w:rsidRPr="00A649FA">
        <w:rPr>
          <w:lang w:val="es-ES"/>
        </w:rPr>
        <w:tab/>
      </w:r>
      <w:r w:rsidRPr="00A649FA">
        <w:rPr>
          <w:lang w:val="es-ES"/>
        </w:rPr>
        <w:tab/>
      </w:r>
      <w:r w:rsidRPr="00A649FA">
        <w:rPr>
          <w:lang w:val="es-ES"/>
        </w:rPr>
        <w:tab/>
      </w:r>
      <w:r w:rsidRPr="00A649FA">
        <w:rPr>
          <w:lang w:val="es-ES"/>
        </w:rPr>
        <w:tab/>
      </w:r>
      <w:r w:rsidRPr="00A649FA">
        <w:rPr>
          <w:lang w:val="es-ES"/>
        </w:rPr>
        <w:tab/>
      </w:r>
      <w:r w:rsidRPr="7252D677">
        <w:rPr>
          <w:rFonts w:ascii="Book Antiqua" w:hAnsi="Book Antiqua"/>
          <w:lang w:val="es-PR"/>
        </w:rPr>
        <w:t xml:space="preserve">      </w:t>
      </w:r>
      <w:r w:rsidR="28F89F35" w:rsidRPr="7252D677">
        <w:rPr>
          <w:rFonts w:ascii="Book Antiqua" w:hAnsi="Book Antiqua"/>
          <w:lang w:val="es-PR"/>
        </w:rPr>
        <w:t xml:space="preserve">                                                                                            </w:t>
      </w:r>
      <w:r w:rsidR="6B9B68E4" w:rsidRPr="7252D677">
        <w:rPr>
          <w:rFonts w:ascii="Book Antiqua" w:hAnsi="Book Antiqua"/>
          <w:lang w:val="es-PR"/>
        </w:rPr>
        <w:t xml:space="preserve">     </w:t>
      </w:r>
      <w:r w:rsidRPr="7252D677">
        <w:rPr>
          <w:rFonts w:ascii="Book Antiqua" w:hAnsi="Book Antiqua"/>
          <w:lang w:val="es-PR"/>
        </w:rPr>
        <w:t>Ordinaria</w:t>
      </w:r>
    </w:p>
    <w:p w14:paraId="0A37501D" w14:textId="77777777" w:rsidR="00B85AEE" w:rsidRPr="00587F94" w:rsidRDefault="00B85AEE" w:rsidP="004E7820">
      <w:pPr>
        <w:rPr>
          <w:rFonts w:ascii="Book Antiqua" w:hAnsi="Book Antiqua"/>
          <w:lang w:val="es-PR"/>
        </w:rPr>
      </w:pPr>
    </w:p>
    <w:p w14:paraId="574874AE" w14:textId="77777777" w:rsidR="00B85AEE" w:rsidRPr="00587F94" w:rsidRDefault="00B85AEE" w:rsidP="004E7820">
      <w:pPr>
        <w:jc w:val="center"/>
        <w:rPr>
          <w:rFonts w:ascii="Book Antiqua" w:hAnsi="Book Antiqua"/>
          <w:b/>
          <w:sz w:val="36"/>
          <w:lang w:val="es-PR"/>
        </w:rPr>
      </w:pPr>
      <w:r w:rsidRPr="00587F94">
        <w:rPr>
          <w:rFonts w:ascii="Book Antiqua" w:hAnsi="Book Antiqua"/>
          <w:b/>
          <w:sz w:val="36"/>
          <w:lang w:val="es-PR"/>
        </w:rPr>
        <w:t>CÁMARA DE REPRESENTANTES</w:t>
      </w:r>
    </w:p>
    <w:p w14:paraId="5DAB6C7B" w14:textId="77777777" w:rsidR="00B85AEE" w:rsidRPr="00587F94" w:rsidRDefault="00B85AEE" w:rsidP="004E7820">
      <w:pPr>
        <w:jc w:val="center"/>
        <w:rPr>
          <w:rFonts w:ascii="Book Antiqua" w:hAnsi="Book Antiqua"/>
          <w:b/>
          <w:lang w:val="es-PR"/>
        </w:rPr>
      </w:pPr>
    </w:p>
    <w:p w14:paraId="7C9F0B38" w14:textId="77777777" w:rsidR="00B85AEE" w:rsidRPr="00587F94" w:rsidRDefault="00B85AEE" w:rsidP="004E7820">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E86F9E">
        <w:rPr>
          <w:rFonts w:ascii="Book Antiqua" w:hAnsi="Book Antiqua"/>
          <w:b/>
          <w:sz w:val="52"/>
          <w:szCs w:val="52"/>
          <w:lang w:val="es-PR"/>
        </w:rPr>
        <w:t>207</w:t>
      </w:r>
    </w:p>
    <w:p w14:paraId="02EB378F" w14:textId="77777777" w:rsidR="00B85AEE" w:rsidRPr="00587F94" w:rsidRDefault="00B85AEE" w:rsidP="004E7820">
      <w:pPr>
        <w:jc w:val="center"/>
        <w:rPr>
          <w:rFonts w:ascii="Book Antiqua" w:hAnsi="Book Antiqua"/>
          <w:b/>
          <w:lang w:val="es-PR"/>
        </w:rPr>
      </w:pPr>
    </w:p>
    <w:p w14:paraId="03C9C8B7" w14:textId="77777777" w:rsidR="00B85AEE" w:rsidRPr="00587F94" w:rsidRDefault="00E86F9E" w:rsidP="004E7820">
      <w:pPr>
        <w:jc w:val="center"/>
        <w:rPr>
          <w:rFonts w:ascii="Book Antiqua" w:hAnsi="Book Antiqua"/>
          <w:lang w:val="es-PR"/>
        </w:rPr>
      </w:pPr>
      <w:r>
        <w:rPr>
          <w:rFonts w:ascii="Book Antiqua" w:hAnsi="Book Antiqua"/>
          <w:lang w:val="es-PR"/>
        </w:rPr>
        <w:t>13</w:t>
      </w:r>
      <w:r w:rsidR="00B85AEE">
        <w:rPr>
          <w:rFonts w:ascii="Book Antiqua" w:hAnsi="Book Antiqua"/>
          <w:lang w:val="es-PR"/>
        </w:rPr>
        <w:t xml:space="preserve"> DE</w:t>
      </w:r>
      <w:r w:rsidR="00C37935">
        <w:rPr>
          <w:rFonts w:ascii="Book Antiqua" w:hAnsi="Book Antiqua"/>
          <w:lang w:val="es-PR"/>
        </w:rPr>
        <w:t xml:space="preserve"> </w:t>
      </w:r>
      <w:r w:rsidR="001C1446">
        <w:rPr>
          <w:rFonts w:ascii="Book Antiqua" w:hAnsi="Book Antiqua"/>
          <w:lang w:val="es-PR"/>
        </w:rPr>
        <w:t>ENERO</w:t>
      </w:r>
      <w:r w:rsidR="00C37935">
        <w:rPr>
          <w:rFonts w:ascii="Book Antiqua" w:hAnsi="Book Antiqua"/>
          <w:lang w:val="es-PR"/>
        </w:rPr>
        <w:t xml:space="preserve"> </w:t>
      </w:r>
      <w:r w:rsidR="00B85AEE">
        <w:rPr>
          <w:rFonts w:ascii="Book Antiqua" w:hAnsi="Book Antiqua"/>
          <w:lang w:val="es-PR"/>
        </w:rPr>
        <w:t>DE 202</w:t>
      </w:r>
      <w:r w:rsidR="001C1446">
        <w:rPr>
          <w:rFonts w:ascii="Book Antiqua" w:hAnsi="Book Antiqua"/>
          <w:lang w:val="es-PR"/>
        </w:rPr>
        <w:t>5</w:t>
      </w:r>
    </w:p>
    <w:p w14:paraId="6A05A809" w14:textId="77777777" w:rsidR="00B85AEE" w:rsidRPr="0031416B" w:rsidRDefault="00B85AEE" w:rsidP="004E7820">
      <w:pPr>
        <w:jc w:val="center"/>
        <w:rPr>
          <w:rFonts w:ascii="Book Antiqua" w:hAnsi="Book Antiqua"/>
          <w:lang w:val="es-ES"/>
        </w:rPr>
      </w:pPr>
    </w:p>
    <w:p w14:paraId="62D61EB4" w14:textId="77777777" w:rsidR="00B85AEE" w:rsidRPr="0031416B" w:rsidRDefault="00B85AEE" w:rsidP="004E7820">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Pr="0031416B">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5A39BBE3" w14:textId="77777777" w:rsidR="00B85AEE" w:rsidRPr="0031416B" w:rsidRDefault="00B85AEE" w:rsidP="004E7820">
      <w:pPr>
        <w:suppressLineNumbers/>
        <w:ind w:left="720" w:hanging="720"/>
        <w:jc w:val="both"/>
        <w:rPr>
          <w:rFonts w:ascii="Book Antiqua" w:hAnsi="Book Antiqua"/>
          <w:i/>
          <w:lang w:val="es-ES"/>
        </w:rPr>
      </w:pPr>
    </w:p>
    <w:p w14:paraId="4AD5EC8D" w14:textId="77777777" w:rsidR="00B85AEE" w:rsidRPr="006F6847" w:rsidRDefault="00B85AEE" w:rsidP="004E7820">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w:t>
      </w:r>
      <w:r w:rsidR="000A6FF3">
        <w:rPr>
          <w:rFonts w:ascii="Book Antiqua" w:hAnsi="Book Antiqua"/>
          <w:lang w:val="es-ES"/>
        </w:rPr>
        <w:t xml:space="preserve"> de Gobierno</w:t>
      </w:r>
    </w:p>
    <w:p w14:paraId="41C8F396" w14:textId="77777777" w:rsidR="00B85AEE" w:rsidRPr="00246CF5" w:rsidRDefault="00B85AEE" w:rsidP="004E7820">
      <w:pPr>
        <w:rPr>
          <w:rFonts w:ascii="Book Antiqua" w:hAnsi="Book Antiqua"/>
          <w:b/>
          <w:szCs w:val="24"/>
          <w:lang w:val="es-ES_tradnl"/>
        </w:rPr>
      </w:pPr>
    </w:p>
    <w:p w14:paraId="4AAD91F6" w14:textId="77777777" w:rsidR="00B85AEE" w:rsidRPr="00017016" w:rsidRDefault="00B85AEE" w:rsidP="004E7820">
      <w:pPr>
        <w:jc w:val="center"/>
        <w:rPr>
          <w:rFonts w:ascii="Book Antiqua" w:hAnsi="Book Antiqua"/>
          <w:b/>
          <w:sz w:val="28"/>
          <w:lang w:val="es-ES_tradnl"/>
        </w:rPr>
      </w:pPr>
      <w:r w:rsidRPr="00017016">
        <w:rPr>
          <w:rFonts w:ascii="Book Antiqua" w:hAnsi="Book Antiqua"/>
          <w:b/>
          <w:sz w:val="28"/>
          <w:lang w:val="es-ES_tradnl"/>
        </w:rPr>
        <w:t>LEY</w:t>
      </w:r>
    </w:p>
    <w:p w14:paraId="72A3D3EC" w14:textId="77777777" w:rsidR="00B85AEE" w:rsidRPr="0044376A" w:rsidRDefault="00B85AEE" w:rsidP="004E7820">
      <w:pPr>
        <w:jc w:val="both"/>
        <w:rPr>
          <w:rFonts w:ascii="Book Antiqua" w:hAnsi="Book Antiqua"/>
          <w:lang w:val="es-ES_tradnl"/>
        </w:rPr>
      </w:pPr>
    </w:p>
    <w:p w14:paraId="0A435F81" w14:textId="77777777" w:rsidR="00B85AEE" w:rsidRPr="00246CF5" w:rsidRDefault="00B85AEE" w:rsidP="004E7820">
      <w:pPr>
        <w:ind w:left="720" w:hanging="720"/>
        <w:jc w:val="both"/>
        <w:rPr>
          <w:rFonts w:ascii="Book Antiqua" w:hAnsi="Book Antiqua"/>
          <w:lang w:val="es-ES_tradnl"/>
        </w:rPr>
      </w:pPr>
      <w:r w:rsidRPr="00246CF5">
        <w:rPr>
          <w:rFonts w:ascii="Book Antiqua" w:hAnsi="Book Antiqua"/>
          <w:lang w:val="es-ES_tradnl"/>
        </w:rPr>
        <w:t xml:space="preserve">Para </w:t>
      </w:r>
      <w:r>
        <w:rPr>
          <w:rFonts w:ascii="Book Antiqua" w:hAnsi="Book Antiqua"/>
          <w:lang w:val="es-ES_tradnl"/>
        </w:rPr>
        <w:t xml:space="preserve">enmendar </w:t>
      </w:r>
      <w:bookmarkStart w:id="1" w:name="_Hlk177027910"/>
      <w:bookmarkStart w:id="2" w:name="_Hlk177029396"/>
      <w:r w:rsidRPr="00246CF5">
        <w:rPr>
          <w:rFonts w:ascii="Book Antiqua" w:hAnsi="Book Antiqua"/>
          <w:szCs w:val="24"/>
          <w:lang w:val="es-ES_tradnl"/>
        </w:rPr>
        <w:t xml:space="preserve">Artículo </w:t>
      </w:r>
      <w:r w:rsidR="00B86B2C">
        <w:rPr>
          <w:rFonts w:ascii="Book Antiqua" w:hAnsi="Book Antiqua"/>
          <w:szCs w:val="24"/>
          <w:lang w:val="es-ES_tradnl"/>
        </w:rPr>
        <w:t>1</w:t>
      </w:r>
      <w:r w:rsidR="00C37935">
        <w:rPr>
          <w:rFonts w:ascii="Book Antiqua" w:hAnsi="Book Antiqua"/>
          <w:szCs w:val="24"/>
          <w:lang w:val="es-ES_tradnl"/>
        </w:rPr>
        <w:t>2</w:t>
      </w:r>
      <w:r w:rsidR="00B86B2C">
        <w:rPr>
          <w:rFonts w:ascii="Book Antiqua" w:hAnsi="Book Antiqua"/>
          <w:szCs w:val="24"/>
          <w:lang w:val="es-ES_tradnl"/>
        </w:rPr>
        <w:t>.21</w:t>
      </w:r>
      <w:r w:rsidRPr="00246CF5">
        <w:rPr>
          <w:rFonts w:ascii="Book Antiqua" w:hAnsi="Book Antiqua"/>
          <w:szCs w:val="24"/>
          <w:lang w:val="es-ES_tradnl"/>
        </w:rPr>
        <w:t xml:space="preserve"> de la Ley </w:t>
      </w:r>
      <w:r w:rsidR="00B86B2C">
        <w:rPr>
          <w:rFonts w:ascii="Book Antiqua" w:hAnsi="Book Antiqua"/>
          <w:szCs w:val="24"/>
          <w:lang w:val="es-ES_tradnl"/>
        </w:rPr>
        <w:t>58</w:t>
      </w:r>
      <w:r w:rsidRPr="00246CF5">
        <w:rPr>
          <w:rFonts w:ascii="Book Antiqua" w:hAnsi="Book Antiqua"/>
          <w:szCs w:val="24"/>
          <w:lang w:val="es-ES_tradnl"/>
        </w:rPr>
        <w:t>-20</w:t>
      </w:r>
      <w:r w:rsidR="00B86B2C">
        <w:rPr>
          <w:rFonts w:ascii="Book Antiqua" w:hAnsi="Book Antiqua"/>
          <w:szCs w:val="24"/>
          <w:lang w:val="es-ES_tradnl"/>
        </w:rPr>
        <w:t>20</w:t>
      </w:r>
      <w:r w:rsidRPr="00246CF5">
        <w:rPr>
          <w:rFonts w:ascii="Book Antiqua" w:hAnsi="Book Antiqua"/>
          <w:szCs w:val="24"/>
          <w:lang w:val="es-ES_tradnl"/>
        </w:rPr>
        <w:t>, según enmendada, conocida como “</w:t>
      </w:r>
      <w:bookmarkEnd w:id="1"/>
      <w:r w:rsidR="00B86B2C" w:rsidRPr="00B86B2C">
        <w:rPr>
          <w:rFonts w:ascii="Book Antiqua" w:hAnsi="Book Antiqua"/>
          <w:lang w:val="es-PR"/>
        </w:rPr>
        <w:t>Código Electoral de Puerto Rico de 2020”</w:t>
      </w:r>
      <w:r w:rsidRPr="00246CF5">
        <w:rPr>
          <w:rFonts w:ascii="Book Antiqua" w:hAnsi="Book Antiqua"/>
          <w:lang w:val="es-PR"/>
        </w:rPr>
        <w:t xml:space="preserve">, </w:t>
      </w:r>
      <w:bookmarkEnd w:id="2"/>
      <w:r w:rsidRPr="00246CF5">
        <w:rPr>
          <w:rFonts w:ascii="Book Antiqua" w:hAnsi="Book Antiqua"/>
          <w:szCs w:val="24"/>
          <w:lang w:val="es-ES_tradnl"/>
        </w:rPr>
        <w:t xml:space="preserve">a los </w:t>
      </w:r>
      <w:r>
        <w:rPr>
          <w:rFonts w:ascii="Book Antiqua" w:hAnsi="Book Antiqua"/>
          <w:szCs w:val="24"/>
          <w:lang w:val="es-ES_tradnl"/>
        </w:rPr>
        <w:t>fines</w:t>
      </w:r>
      <w:r w:rsidR="00C37935">
        <w:rPr>
          <w:rFonts w:ascii="Book Antiqua" w:hAnsi="Book Antiqua"/>
          <w:szCs w:val="24"/>
          <w:lang w:val="es-ES_tradnl"/>
        </w:rPr>
        <w:t xml:space="preserve"> </w:t>
      </w:r>
      <w:r w:rsidR="00B86B2C">
        <w:rPr>
          <w:rFonts w:ascii="Book Antiqua" w:hAnsi="Book Antiqua"/>
          <w:szCs w:val="24"/>
          <w:lang w:val="es-ES_tradnl"/>
        </w:rPr>
        <w:t xml:space="preserve">de hacer mandatorio que todo Partido Político o Candidato a puesto electivo, </w:t>
      </w:r>
      <w:r w:rsidR="00B86B2C" w:rsidRPr="00B86B2C">
        <w:rPr>
          <w:rFonts w:ascii="Book Antiqua" w:hAnsi="Book Antiqua"/>
          <w:szCs w:val="24"/>
          <w:lang w:val="es-ES_tradnl"/>
        </w:rPr>
        <w:t>cualquier agencia estatal o municipal</w:t>
      </w:r>
      <w:r w:rsidR="00B86B2C">
        <w:rPr>
          <w:rFonts w:ascii="Book Antiqua" w:hAnsi="Book Antiqua"/>
          <w:szCs w:val="24"/>
          <w:lang w:val="es-ES_tradnl"/>
        </w:rPr>
        <w:t>,</w:t>
      </w:r>
      <w:r w:rsidR="00B86B2C" w:rsidRPr="00B86B2C">
        <w:rPr>
          <w:rFonts w:ascii="Book Antiqua" w:hAnsi="Book Antiqua"/>
          <w:szCs w:val="24"/>
          <w:lang w:val="es-ES_tradnl"/>
        </w:rPr>
        <w:t xml:space="preserve"> </w:t>
      </w:r>
      <w:r w:rsidR="00B86B2C">
        <w:rPr>
          <w:rFonts w:ascii="Book Antiqua" w:hAnsi="Book Antiqua"/>
          <w:szCs w:val="24"/>
          <w:lang w:val="es-ES_tradnl"/>
        </w:rPr>
        <w:t xml:space="preserve">al momento de </w:t>
      </w:r>
      <w:proofErr w:type="gramStart"/>
      <w:r w:rsidR="00B86B2C">
        <w:rPr>
          <w:rFonts w:ascii="Book Antiqua" w:hAnsi="Book Antiqua"/>
          <w:szCs w:val="24"/>
          <w:lang w:val="es-ES_tradnl"/>
        </w:rPr>
        <w:t>remover  propaganda</w:t>
      </w:r>
      <w:proofErr w:type="gramEnd"/>
      <w:r w:rsidR="00B86B2C">
        <w:rPr>
          <w:rFonts w:ascii="Book Antiqua" w:hAnsi="Book Antiqua"/>
          <w:szCs w:val="24"/>
          <w:lang w:val="es-ES_tradnl"/>
        </w:rPr>
        <w:t xml:space="preserve"> política, deberán realizar todos los esfuerzos necesarios para reciclar o reusar los componentes de </w:t>
      </w:r>
      <w:proofErr w:type="gramStart"/>
      <w:r w:rsidR="00B86B2C">
        <w:rPr>
          <w:rFonts w:ascii="Book Antiqua" w:hAnsi="Book Antiqua"/>
          <w:szCs w:val="24"/>
          <w:lang w:val="es-ES_tradnl"/>
        </w:rPr>
        <w:t>la misma</w:t>
      </w:r>
      <w:proofErr w:type="gramEnd"/>
      <w:r w:rsidR="00B86B2C">
        <w:rPr>
          <w:rFonts w:ascii="Book Antiqua" w:hAnsi="Book Antiqua"/>
          <w:szCs w:val="24"/>
          <w:lang w:val="es-ES_tradnl"/>
        </w:rPr>
        <w:t xml:space="preserve">; </w:t>
      </w:r>
      <w:r>
        <w:rPr>
          <w:rFonts w:ascii="Book Antiqua" w:hAnsi="Book Antiqua"/>
          <w:szCs w:val="24"/>
          <w:lang w:val="es-ES_tradnl"/>
        </w:rPr>
        <w:t xml:space="preserve">y para otros fines relacionados. </w:t>
      </w:r>
    </w:p>
    <w:p w14:paraId="0D0B940D" w14:textId="77777777" w:rsidR="00B85AEE" w:rsidRPr="00246CF5" w:rsidRDefault="00B85AEE" w:rsidP="004E7820">
      <w:pPr>
        <w:ind w:firstLine="360"/>
        <w:jc w:val="center"/>
        <w:rPr>
          <w:rFonts w:ascii="Book Antiqua" w:hAnsi="Book Antiqua"/>
          <w:lang w:val="es-ES_tradnl"/>
        </w:rPr>
      </w:pPr>
    </w:p>
    <w:p w14:paraId="70A2DEE5" w14:textId="77777777" w:rsidR="00B85AEE" w:rsidRPr="00246CF5" w:rsidRDefault="00B85AEE" w:rsidP="004E7820">
      <w:pPr>
        <w:jc w:val="center"/>
        <w:rPr>
          <w:rFonts w:ascii="Book Antiqua" w:hAnsi="Book Antiqua"/>
          <w:lang w:val="es-ES_tradnl"/>
        </w:rPr>
      </w:pPr>
      <w:r w:rsidRPr="00246CF5">
        <w:rPr>
          <w:rFonts w:ascii="Book Antiqua" w:hAnsi="Book Antiqua"/>
          <w:lang w:val="es-ES_tradnl"/>
        </w:rPr>
        <w:t>EXPOSICIÓN DE MOTIVOS</w:t>
      </w:r>
    </w:p>
    <w:p w14:paraId="0E27B00A" w14:textId="77777777" w:rsidR="00B85AEE" w:rsidRPr="00C37935" w:rsidRDefault="00B85AEE" w:rsidP="00C37935">
      <w:pPr>
        <w:suppressAutoHyphens/>
        <w:ind w:firstLine="360"/>
        <w:jc w:val="both"/>
        <w:rPr>
          <w:rFonts w:ascii="Book Antiqua" w:hAnsi="Book Antiqua"/>
          <w:szCs w:val="24"/>
          <w:lang w:val="es-PR"/>
        </w:rPr>
      </w:pPr>
    </w:p>
    <w:p w14:paraId="3ECE08A8" w14:textId="2336A090" w:rsidR="00B86B2C" w:rsidRPr="00B86B2C" w:rsidRDefault="00B86B2C" w:rsidP="7252D677">
      <w:pPr>
        <w:suppressAutoHyphens/>
        <w:ind w:firstLine="720"/>
        <w:jc w:val="both"/>
        <w:rPr>
          <w:rFonts w:ascii="Book Antiqua" w:hAnsi="Book Antiqua"/>
          <w:lang w:val="es-PR"/>
        </w:rPr>
      </w:pPr>
      <w:r w:rsidRPr="7252D677">
        <w:rPr>
          <w:rFonts w:ascii="Book Antiqua" w:hAnsi="Book Antiqua"/>
          <w:lang w:val="es-PR"/>
        </w:rPr>
        <w:t xml:space="preserve">La Asamblea Legislativa de Puerto Rico, consciente de los retos que enfrenta nuestro entorno ambiental y en sintonía con la política pública del </w:t>
      </w:r>
      <w:r w:rsidRPr="7252D677">
        <w:rPr>
          <w:rFonts w:ascii="Book Antiqua" w:hAnsi="Book Antiqua"/>
          <w:strike/>
          <w:lang w:val="es-PR"/>
        </w:rPr>
        <w:t>Estado Libre Asociado</w:t>
      </w:r>
      <w:r w:rsidRPr="7252D677">
        <w:rPr>
          <w:rFonts w:ascii="Book Antiqua" w:hAnsi="Book Antiqua"/>
          <w:lang w:val="es-PR"/>
        </w:rPr>
        <w:t xml:space="preserve"> </w:t>
      </w:r>
      <w:r w:rsidR="3AB811D8" w:rsidRPr="7252D677">
        <w:rPr>
          <w:rFonts w:ascii="Book Antiqua" w:hAnsi="Book Antiqua"/>
          <w:i/>
          <w:iCs/>
          <w:u w:val="single"/>
          <w:lang w:val="es-PR"/>
        </w:rPr>
        <w:t xml:space="preserve">Gobierno </w:t>
      </w:r>
      <w:r w:rsidRPr="7252D677">
        <w:rPr>
          <w:rFonts w:ascii="Book Antiqua" w:hAnsi="Book Antiqua"/>
          <w:lang w:val="es-PR"/>
        </w:rPr>
        <w:t>de Puerto Rico de promover la sostenibilidad y la protección de los recursos naturales, ha adoptado varias medidas dirigidas a minimizar el impacto negativo en nuestro ambiente. Entre estas medidas se encuentra la Ley Núm. 51-2022, conocida como la “Ley para Prohibir el Expendio y Utilización de Plásticos de un Solo Uso en Todo Local Comercial, de Venta y Distribución Autorizada a Realizar Negocios Conforme a las Leyes del Estado Libre Asociado de Puerto Rico,” que prohíbe el expendio y utilización de plásticos de un solo uso en establecimientos comerciales. Esta legislación es un paso significativo hacia la reducción de desechos no biodegradables y promueve la adopción de prácticas más sostenibles en nuestra sociedad.</w:t>
      </w:r>
    </w:p>
    <w:p w14:paraId="60061E4C" w14:textId="77777777" w:rsidR="00B86B2C" w:rsidRPr="00B86B2C" w:rsidRDefault="00B86B2C" w:rsidP="00B86B2C">
      <w:pPr>
        <w:suppressAutoHyphens/>
        <w:ind w:firstLine="720"/>
        <w:jc w:val="both"/>
        <w:rPr>
          <w:rFonts w:ascii="Book Antiqua" w:hAnsi="Book Antiqua"/>
          <w:szCs w:val="24"/>
          <w:lang w:val="es-PR"/>
        </w:rPr>
      </w:pPr>
    </w:p>
    <w:p w14:paraId="55967655" w14:textId="105615E7" w:rsidR="00B86B2C" w:rsidRPr="00B86B2C" w:rsidRDefault="00B86B2C" w:rsidP="7252D677">
      <w:pPr>
        <w:suppressAutoHyphens/>
        <w:ind w:firstLine="720"/>
        <w:jc w:val="both"/>
        <w:rPr>
          <w:rFonts w:ascii="Book Antiqua" w:hAnsi="Book Antiqua"/>
          <w:lang w:val="es-PR"/>
        </w:rPr>
      </w:pPr>
      <w:r w:rsidRPr="7252D677">
        <w:rPr>
          <w:rFonts w:ascii="Book Antiqua" w:hAnsi="Book Antiqua"/>
          <w:lang w:val="es-PR"/>
        </w:rPr>
        <w:lastRenderedPageBreak/>
        <w:t xml:space="preserve">En este mismo espíritu de fomentar la sostenibilidad y la conservación de recursos, la presente medida legislativa propone enmendar el "Código Electoral de Puerto Rico de 2020", Ley </w:t>
      </w:r>
      <w:r w:rsidRPr="7252D677">
        <w:rPr>
          <w:rFonts w:ascii="Book Antiqua" w:hAnsi="Book Antiqua"/>
          <w:strike/>
          <w:lang w:val="es-PR"/>
        </w:rPr>
        <w:t>Núm.</w:t>
      </w:r>
      <w:r w:rsidRPr="7252D677">
        <w:rPr>
          <w:rFonts w:ascii="Book Antiqua" w:hAnsi="Book Antiqua"/>
          <w:lang w:val="es-PR"/>
        </w:rPr>
        <w:t xml:space="preserve"> 58</w:t>
      </w:r>
      <w:r w:rsidR="2CE65E84" w:rsidRPr="7252D677">
        <w:rPr>
          <w:rFonts w:ascii="Book Antiqua" w:hAnsi="Book Antiqua"/>
          <w:i/>
          <w:iCs/>
          <w:u w:val="single"/>
          <w:lang w:val="es-PR"/>
        </w:rPr>
        <w:t>-</w:t>
      </w:r>
      <w:r w:rsidRPr="7252D677">
        <w:rPr>
          <w:rFonts w:ascii="Book Antiqua" w:hAnsi="Book Antiqua"/>
          <w:lang w:val="es-PR"/>
        </w:rPr>
        <w:t xml:space="preserve"> </w:t>
      </w:r>
      <w:r w:rsidRPr="7252D677">
        <w:rPr>
          <w:rFonts w:ascii="Book Antiqua" w:hAnsi="Book Antiqua"/>
          <w:strike/>
          <w:lang w:val="es-PR"/>
        </w:rPr>
        <w:t>de 20 de junio de</w:t>
      </w:r>
      <w:r w:rsidRPr="7252D677">
        <w:rPr>
          <w:rFonts w:ascii="Book Antiqua" w:hAnsi="Book Antiqua"/>
          <w:lang w:val="es-PR"/>
        </w:rPr>
        <w:t xml:space="preserve"> 2020, según enmendada, para establecer la obligación de que los partidos políticos y los candidatos que participen en eventos electorales en Puerto Rico tomen medidas activas y responsables en la gestión de su propaganda política. Específicamente, se propone que, al momento de remover toda propaganda colocada en lugares públicos, los partidos políticos y candidatos estén obligados a reciclar o tomar todos los esfuerzos prudentes y necesarios para reusar los componentes de dicha propaganda.</w:t>
      </w:r>
    </w:p>
    <w:p w14:paraId="44EAFD9C" w14:textId="77777777" w:rsidR="00B86B2C" w:rsidRPr="00B86B2C" w:rsidRDefault="00B86B2C" w:rsidP="00B86B2C">
      <w:pPr>
        <w:suppressAutoHyphens/>
        <w:ind w:firstLine="720"/>
        <w:jc w:val="both"/>
        <w:rPr>
          <w:rFonts w:ascii="Book Antiqua" w:hAnsi="Book Antiqua"/>
          <w:szCs w:val="24"/>
          <w:lang w:val="es-PR"/>
        </w:rPr>
      </w:pPr>
    </w:p>
    <w:p w14:paraId="2E645DA0" w14:textId="77777777" w:rsidR="00B86B2C" w:rsidRPr="00B86B2C" w:rsidRDefault="00B86B2C" w:rsidP="00B86B2C">
      <w:pPr>
        <w:suppressAutoHyphens/>
        <w:ind w:firstLine="720"/>
        <w:jc w:val="both"/>
        <w:rPr>
          <w:rFonts w:ascii="Book Antiqua" w:hAnsi="Book Antiqua"/>
          <w:szCs w:val="24"/>
          <w:lang w:val="es-PR"/>
        </w:rPr>
      </w:pPr>
      <w:r w:rsidRPr="00B86B2C">
        <w:rPr>
          <w:rFonts w:ascii="Book Antiqua" w:hAnsi="Book Antiqua"/>
          <w:szCs w:val="24"/>
          <w:lang w:val="es-PR"/>
        </w:rPr>
        <w:t>El impacto visual y ambiental de la propaganda electoral en espacios públicos es significativo. Cada ciclo electoral, las calles, puentes, postes, y árboles de Puerto Rico se ven inundados de afiches, pancartas, banderines y otros materiales publicitarios que, al concluir el evento electoral, terminan siendo desechados de manera ineficiente. Esta situación no solo representa un problema estético, sino que, además, genera un considerable volumen de desechos sólidos que podrían ser evitados si se adoptaran medidas efectivas de reciclaje y reutilización.</w:t>
      </w:r>
    </w:p>
    <w:p w14:paraId="4B94D5A5" w14:textId="77777777" w:rsidR="00B86B2C" w:rsidRPr="00B86B2C" w:rsidRDefault="00B86B2C" w:rsidP="00B86B2C">
      <w:pPr>
        <w:suppressAutoHyphens/>
        <w:ind w:firstLine="720"/>
        <w:jc w:val="both"/>
        <w:rPr>
          <w:rFonts w:ascii="Book Antiqua" w:hAnsi="Book Antiqua"/>
          <w:szCs w:val="24"/>
          <w:lang w:val="es-PR"/>
        </w:rPr>
      </w:pPr>
    </w:p>
    <w:p w14:paraId="4A9162CA" w14:textId="77777777" w:rsidR="00B86B2C" w:rsidRPr="00B86B2C" w:rsidRDefault="00B86B2C" w:rsidP="00B86B2C">
      <w:pPr>
        <w:suppressAutoHyphens/>
        <w:ind w:firstLine="720"/>
        <w:jc w:val="both"/>
        <w:rPr>
          <w:rFonts w:ascii="Book Antiqua" w:hAnsi="Book Antiqua"/>
          <w:szCs w:val="24"/>
          <w:lang w:val="es-PR"/>
        </w:rPr>
      </w:pPr>
      <w:r w:rsidRPr="00B86B2C">
        <w:rPr>
          <w:rFonts w:ascii="Book Antiqua" w:hAnsi="Book Antiqua"/>
          <w:szCs w:val="24"/>
          <w:lang w:val="es-PR"/>
        </w:rPr>
        <w:t>Es necesario que los partidos políticos y candidatos reconozcan la responsabilidad que tienen no solo con el electorado, sino también con el medio ambiente. La adopción de prácticas sostenibles en la gestión de la propaganda electoral no solo contribuye a la preservación de nuestros recursos naturales, sino que también representa un ejemplo de liderazgo y responsabilidad social. Con esta enmienda, se promueve que los actores políticos se alineen con los principios de sostenibilidad, reduciendo el impacto ambiental de sus actividades y fomentando una cultura de reciclaje y reutilización.</w:t>
      </w:r>
    </w:p>
    <w:p w14:paraId="3DEEC669" w14:textId="77777777" w:rsidR="00B86B2C" w:rsidRPr="00B86B2C" w:rsidRDefault="00B86B2C" w:rsidP="00B86B2C">
      <w:pPr>
        <w:suppressAutoHyphens/>
        <w:ind w:firstLine="720"/>
        <w:jc w:val="both"/>
        <w:rPr>
          <w:rFonts w:ascii="Book Antiqua" w:hAnsi="Book Antiqua"/>
          <w:szCs w:val="24"/>
          <w:lang w:val="es-PR"/>
        </w:rPr>
      </w:pPr>
    </w:p>
    <w:p w14:paraId="64EEE225" w14:textId="77777777" w:rsidR="00B86B2C" w:rsidRPr="00B86B2C" w:rsidRDefault="00B86B2C" w:rsidP="00B86B2C">
      <w:pPr>
        <w:suppressAutoHyphens/>
        <w:ind w:firstLine="720"/>
        <w:jc w:val="both"/>
        <w:rPr>
          <w:rFonts w:ascii="Book Antiqua" w:hAnsi="Book Antiqua"/>
          <w:szCs w:val="24"/>
          <w:lang w:val="es-PR"/>
        </w:rPr>
      </w:pPr>
      <w:r w:rsidRPr="00B86B2C">
        <w:rPr>
          <w:rFonts w:ascii="Book Antiqua" w:hAnsi="Book Antiqua"/>
          <w:szCs w:val="24"/>
          <w:lang w:val="es-PR"/>
        </w:rPr>
        <w:t>En virtud de lo anterior, esta Asamblea Legislativa entiende que es imperativo establecer medidas claras y específicas que obliguen a los partidos políticos y candidatos a gestionar de manera sostenible la propaganda electoral. Así, se asegura que, una vez culminado el evento electoral, se realicen todos los esfuerzos necesarios para que estos materiales no solo sean removidos de los espacios públicos, sino que también sean gestionados de manera responsable y amigable con el ambiente.</w:t>
      </w:r>
    </w:p>
    <w:p w14:paraId="3656B9AB" w14:textId="77777777" w:rsidR="00B86B2C" w:rsidRPr="00B86B2C" w:rsidRDefault="00B86B2C" w:rsidP="00B86B2C">
      <w:pPr>
        <w:suppressAutoHyphens/>
        <w:ind w:firstLine="720"/>
        <w:jc w:val="both"/>
        <w:rPr>
          <w:rFonts w:ascii="Book Antiqua" w:hAnsi="Book Antiqua"/>
          <w:szCs w:val="24"/>
          <w:lang w:val="es-PR"/>
        </w:rPr>
      </w:pPr>
    </w:p>
    <w:p w14:paraId="40BADBD5" w14:textId="77777777" w:rsidR="00B85AEE" w:rsidRPr="00A649FA" w:rsidRDefault="00B86B2C" w:rsidP="00B86B2C">
      <w:pPr>
        <w:suppressAutoHyphens/>
        <w:ind w:firstLine="720"/>
        <w:jc w:val="both"/>
        <w:rPr>
          <w:rFonts w:ascii="Book Antiqua" w:hAnsi="Book Antiqua"/>
          <w:lang w:val="es-ES"/>
        </w:rPr>
      </w:pPr>
      <w:r w:rsidRPr="00B86B2C">
        <w:rPr>
          <w:rFonts w:ascii="Book Antiqua" w:hAnsi="Book Antiqua"/>
          <w:szCs w:val="24"/>
          <w:lang w:val="es-PR"/>
        </w:rPr>
        <w:t>Con esta legislación, Puerto Rico sigue avanzando en la ruta hacia un futuro más sustentable, consciente de que cada acción, por pequeña que sea, suma al esfuerzo colectivo de proteger nuestro planeta y garantizar un ambiente saludable para las futuras generaciones. De este modo, esta Asamblea Legislativa reafirma su compromiso con el desarrollo sostenible, la responsabilidad ambiental y la promoción de prácticas que aseguren un mejor Puerto Rico para todos y todas.</w:t>
      </w:r>
    </w:p>
    <w:p w14:paraId="45FB0818" w14:textId="77777777" w:rsidR="005459DE" w:rsidRPr="00017016" w:rsidRDefault="005459DE" w:rsidP="004E7820">
      <w:pPr>
        <w:suppressAutoHyphens/>
        <w:ind w:firstLine="720"/>
        <w:jc w:val="both"/>
        <w:rPr>
          <w:rFonts w:ascii="Book Antiqua" w:hAnsi="Book Antiqua"/>
          <w:lang w:val="es-ES"/>
        </w:rPr>
      </w:pPr>
    </w:p>
    <w:bookmarkEnd w:id="0"/>
    <w:p w14:paraId="62108F8D" w14:textId="77777777" w:rsidR="0072795C" w:rsidRPr="00017016" w:rsidRDefault="0072795C" w:rsidP="004E7820">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049F31CB" w14:textId="77777777" w:rsidR="0072795C" w:rsidRPr="00017016" w:rsidRDefault="0072795C" w:rsidP="00AB51A2">
      <w:pPr>
        <w:spacing w:line="480" w:lineRule="auto"/>
        <w:jc w:val="both"/>
        <w:rPr>
          <w:rFonts w:ascii="Book Antiqua" w:hAnsi="Book Antiqua"/>
          <w:lang w:val="es-PR"/>
        </w:rPr>
        <w:sectPr w:rsidR="0072795C" w:rsidRPr="00017016" w:rsidSect="002F613C">
          <w:headerReference w:type="default" r:id="rId9"/>
          <w:type w:val="continuous"/>
          <w:pgSz w:w="12240" w:h="15840" w:code="1"/>
          <w:pgMar w:top="1440" w:right="1440" w:bottom="1440" w:left="1440" w:header="720" w:footer="720" w:gutter="0"/>
          <w:cols w:space="720"/>
          <w:titlePg/>
          <w:docGrid w:linePitch="326"/>
        </w:sectPr>
      </w:pPr>
    </w:p>
    <w:p w14:paraId="461D6912" w14:textId="77777777" w:rsidR="00B85AEE" w:rsidRPr="0044376A" w:rsidRDefault="00B85AEE" w:rsidP="00B85AEE">
      <w:pPr>
        <w:spacing w:line="480" w:lineRule="auto"/>
        <w:ind w:firstLine="720"/>
        <w:jc w:val="both"/>
        <w:rPr>
          <w:rFonts w:ascii="Book Antiqua" w:hAnsi="Book Antiqua"/>
          <w:szCs w:val="24"/>
          <w:lang w:val="es-ES_tradnl"/>
        </w:rPr>
      </w:pPr>
      <w:r w:rsidRPr="00B85AEE">
        <w:rPr>
          <w:rFonts w:ascii="Book Antiqua" w:hAnsi="Book Antiqua"/>
          <w:szCs w:val="24"/>
          <w:lang w:val="es-PR"/>
        </w:rPr>
        <w:lastRenderedPageBreak/>
        <w:t>Sección 1.-</w:t>
      </w:r>
      <w:r w:rsidR="00DF1A8F">
        <w:rPr>
          <w:rFonts w:ascii="Book Antiqua" w:hAnsi="Book Antiqua"/>
          <w:szCs w:val="24"/>
          <w:lang w:val="es-PR"/>
        </w:rPr>
        <w:t>Se enmienda</w:t>
      </w:r>
      <w:r w:rsidR="00DF1A8F" w:rsidRPr="00DF1A8F">
        <w:rPr>
          <w:lang w:val="es-ES"/>
        </w:rPr>
        <w:t xml:space="preserve"> </w:t>
      </w:r>
      <w:r w:rsidR="00B86B2C" w:rsidRPr="00B86B2C">
        <w:rPr>
          <w:rFonts w:ascii="Book Antiqua" w:hAnsi="Book Antiqua"/>
          <w:szCs w:val="24"/>
          <w:lang w:val="es-PR"/>
        </w:rPr>
        <w:t>Artículo 12.21 de la Ley 58-2020, según enmendada, conocida como “Código Electoral de Puerto Rico de 2020”</w:t>
      </w:r>
      <w:r w:rsidRPr="00B85AEE">
        <w:rPr>
          <w:rFonts w:ascii="Book Antiqua" w:hAnsi="Book Antiqua"/>
          <w:szCs w:val="24"/>
          <w:lang w:val="es-PR"/>
        </w:rPr>
        <w:t xml:space="preserve">, para que lea como sigue: </w:t>
      </w:r>
    </w:p>
    <w:p w14:paraId="59CEBEC8" w14:textId="77777777" w:rsidR="00B85AEE" w:rsidRPr="0044376A" w:rsidRDefault="00B85AEE" w:rsidP="00B85AEE">
      <w:pPr>
        <w:autoSpaceDE w:val="0"/>
        <w:autoSpaceDN w:val="0"/>
        <w:adjustRightInd w:val="0"/>
        <w:spacing w:line="480" w:lineRule="auto"/>
        <w:ind w:left="720" w:firstLine="720"/>
        <w:rPr>
          <w:rFonts w:ascii="Book Antiqua" w:hAnsi="Book Antiqua" w:cs="Verdana"/>
          <w:szCs w:val="24"/>
          <w:lang w:val="es-PR"/>
        </w:rPr>
      </w:pPr>
      <w:r w:rsidRPr="0044376A">
        <w:rPr>
          <w:rFonts w:ascii="Book Antiqua" w:hAnsi="Book Antiqua"/>
          <w:szCs w:val="24"/>
          <w:lang w:val="es-ES_tradnl"/>
        </w:rPr>
        <w:t>“</w:t>
      </w:r>
      <w:r w:rsidR="00B86B2C" w:rsidRPr="00B86B2C">
        <w:rPr>
          <w:rFonts w:ascii="Book Antiqua" w:hAnsi="Book Antiqua"/>
          <w:szCs w:val="24"/>
          <w:lang w:val="es-ES_tradnl"/>
        </w:rPr>
        <w:t>Artículo 12.21. — Obligación de Remoción de Propaganda. — (16 L.P.R.A. § 4821)</w:t>
      </w:r>
    </w:p>
    <w:p w14:paraId="26E42DEE" w14:textId="7BF379B5" w:rsidR="00B85AEE" w:rsidRPr="00B86B2C" w:rsidRDefault="00B86B2C" w:rsidP="7252D677">
      <w:pPr>
        <w:spacing w:line="480" w:lineRule="auto"/>
        <w:ind w:left="720" w:firstLine="720"/>
        <w:jc w:val="both"/>
        <w:rPr>
          <w:rFonts w:ascii="Book Antiqua" w:hAnsi="Book Antiqua"/>
          <w:lang w:val="es-PR"/>
        </w:rPr>
      </w:pPr>
      <w:r w:rsidRPr="7252D677">
        <w:rPr>
          <w:rFonts w:ascii="Book Antiqua" w:hAnsi="Book Antiqua"/>
          <w:lang w:val="es-PR"/>
        </w:rPr>
        <w:t xml:space="preserve">Terminado cada evento electoral, todo </w:t>
      </w:r>
      <w:bookmarkStart w:id="3" w:name="_Hlk177029490"/>
      <w:r w:rsidRPr="7252D677">
        <w:rPr>
          <w:rFonts w:ascii="Book Antiqua" w:hAnsi="Book Antiqua"/>
          <w:lang w:val="es-PR"/>
        </w:rPr>
        <w:t>Partido Político o Candidato a puesto electivo</w:t>
      </w:r>
      <w:bookmarkEnd w:id="3"/>
      <w:r w:rsidRPr="7252D677">
        <w:rPr>
          <w:rFonts w:ascii="Book Antiqua" w:hAnsi="Book Antiqua"/>
          <w:lang w:val="es-PR"/>
        </w:rPr>
        <w:t xml:space="preserve"> vendrá obligado a remover toda propaganda política que hay sido colocada en lugares públicos tales como calles, puentes, postes, árboles o en cualquier espacio público. Dicha remoción de propaganda electoral deberá realizarse en un término de treinta (30) días contados a partir del día de las elecciones. Transcurrido el referido término de treinta (30) días, sin que el partido político o candidato a puesto electivo hayan removido la propaganda política, cualquier agencia estatal o municipal que realice la remoción le requerirá el pago razonable de la labor de remoción realizada. </w:t>
      </w:r>
      <w:r w:rsidRPr="7252D677">
        <w:rPr>
          <w:rFonts w:ascii="Book Antiqua" w:hAnsi="Book Antiqua"/>
          <w:i/>
          <w:iCs/>
          <w:strike/>
          <w:lang w:val="es-PR"/>
        </w:rPr>
        <w:t>El Partido Político o Candidato a puesto electivo, cualquier agencia estatal o municipal que realice la remoción vendrán a obligados a realizar todos los esfuerzos necesarios para reciclar o reusar los componentes de dicha propaganda.”</w:t>
      </w:r>
      <w:r w:rsidRPr="7252D677">
        <w:rPr>
          <w:rFonts w:ascii="Book Antiqua" w:hAnsi="Book Antiqua"/>
          <w:i/>
          <w:iCs/>
          <w:lang w:val="es-PR"/>
        </w:rPr>
        <w:t xml:space="preserve"> </w:t>
      </w:r>
      <w:r w:rsidR="7463DE22" w:rsidRPr="7252D677">
        <w:rPr>
          <w:rFonts w:ascii="Book Antiqua" w:hAnsi="Book Antiqua"/>
          <w:lang w:val="es-PR"/>
        </w:rPr>
        <w:t xml:space="preserve"> </w:t>
      </w:r>
      <w:r w:rsidR="7463DE22" w:rsidRPr="7252D677">
        <w:rPr>
          <w:rFonts w:ascii="Book Antiqua" w:eastAsia="Book Antiqua" w:hAnsi="Book Antiqua" w:cs="Book Antiqua"/>
          <w:i/>
          <w:iCs/>
          <w:szCs w:val="24"/>
          <w:u w:val="single"/>
          <w:lang w:val="es-PR"/>
        </w:rPr>
        <w:t>El Partido Político o Candidato a puesto electivo, así como cualquier agencia estatal o municipal que realice la remoción,</w:t>
      </w:r>
      <w:r w:rsidR="7463DE22" w:rsidRPr="7252D677">
        <w:rPr>
          <w:rFonts w:ascii="Book Antiqua" w:eastAsia="Book Antiqua" w:hAnsi="Book Antiqua" w:cs="Book Antiqua"/>
          <w:szCs w:val="24"/>
          <w:lang w:val="es-PR"/>
        </w:rPr>
        <w:t xml:space="preserve"> </w:t>
      </w:r>
      <w:r w:rsidR="7463DE22" w:rsidRPr="7252D677">
        <w:rPr>
          <w:rFonts w:ascii="Book Antiqua" w:eastAsia="Book Antiqua" w:hAnsi="Book Antiqua" w:cs="Book Antiqua"/>
          <w:i/>
          <w:iCs/>
          <w:szCs w:val="24"/>
          <w:u w:val="single"/>
          <w:lang w:val="es-PR"/>
        </w:rPr>
        <w:t>vendrán obligados a realizar todos los esfuerzos razonables y necesarios para reciclar o reusar los componentes de dicha propaganda, conforme a la reglamentación que se adopte para esos fines.</w:t>
      </w:r>
    </w:p>
    <w:p w14:paraId="1BC11053" w14:textId="332ADB07" w:rsidR="051B8A69" w:rsidRDefault="051B8A69" w:rsidP="7252D677">
      <w:pPr>
        <w:spacing w:line="480" w:lineRule="auto"/>
        <w:ind w:left="720" w:firstLine="720"/>
        <w:jc w:val="both"/>
        <w:rPr>
          <w:rFonts w:ascii="Book Antiqua" w:eastAsia="Book Antiqua" w:hAnsi="Book Antiqua" w:cs="Book Antiqua"/>
          <w:i/>
          <w:iCs/>
          <w:szCs w:val="24"/>
          <w:u w:val="single"/>
          <w:lang w:val="es-PR"/>
        </w:rPr>
      </w:pPr>
      <w:r w:rsidRPr="7252D677">
        <w:rPr>
          <w:rFonts w:ascii="Book Antiqua" w:eastAsia="Book Antiqua" w:hAnsi="Book Antiqua" w:cs="Book Antiqua"/>
          <w:i/>
          <w:iCs/>
          <w:szCs w:val="24"/>
          <w:u w:val="single"/>
          <w:lang w:val="es-PR"/>
        </w:rPr>
        <w:t>El Departamento de Recursos Naturales y Ambientales, en coordinación con la Comisión Estatal de Elecciones, establecerá mediante reglamento los mecanismos que permitan evidenciar el cumplimiento de las disposiciones de este Artículo.</w:t>
      </w:r>
    </w:p>
    <w:p w14:paraId="2C211F77" w14:textId="7CB77F80" w:rsidR="00B86B2C" w:rsidRDefault="007165D2" w:rsidP="7252D677">
      <w:pPr>
        <w:autoSpaceDE w:val="0"/>
        <w:autoSpaceDN w:val="0"/>
        <w:adjustRightInd w:val="0"/>
        <w:spacing w:line="480" w:lineRule="auto"/>
        <w:ind w:left="720" w:firstLine="720"/>
        <w:jc w:val="both"/>
        <w:rPr>
          <w:rFonts w:ascii="Book Antiqua" w:eastAsia="Book Antiqua" w:hAnsi="Book Antiqua" w:cs="Book Antiqua"/>
          <w:i/>
          <w:iCs/>
          <w:szCs w:val="24"/>
          <w:u w:val="single"/>
          <w:lang w:val="es-ES"/>
        </w:rPr>
      </w:pPr>
      <w:r w:rsidRPr="7252D677">
        <w:rPr>
          <w:rFonts w:ascii="Book Antiqua" w:hAnsi="Book Antiqua"/>
          <w:lang w:val="es-PR"/>
        </w:rPr>
        <w:lastRenderedPageBreak/>
        <w:t>Sección</w:t>
      </w:r>
      <w:r w:rsidR="007249C4" w:rsidRPr="7252D677">
        <w:rPr>
          <w:rFonts w:ascii="Book Antiqua" w:hAnsi="Book Antiqua"/>
          <w:lang w:val="es-ES"/>
        </w:rPr>
        <w:t xml:space="preserve"> </w:t>
      </w:r>
      <w:r w:rsidR="00C37935" w:rsidRPr="7252D677">
        <w:rPr>
          <w:rFonts w:ascii="Book Antiqua" w:hAnsi="Book Antiqua"/>
          <w:lang w:val="es-ES"/>
        </w:rPr>
        <w:t>2</w:t>
      </w:r>
      <w:r w:rsidR="00777DE5" w:rsidRPr="7252D677">
        <w:rPr>
          <w:rFonts w:ascii="Book Antiqua" w:hAnsi="Book Antiqua"/>
          <w:lang w:val="es-ES"/>
        </w:rPr>
        <w:t>.</w:t>
      </w:r>
      <w:r w:rsidR="00B86B2C" w:rsidRPr="7252D677">
        <w:rPr>
          <w:rFonts w:ascii="Book Antiqua" w:hAnsi="Book Antiqua"/>
          <w:lang w:val="es-ES"/>
        </w:rPr>
        <w:t xml:space="preserve"> </w:t>
      </w:r>
      <w:r w:rsidR="00B86B2C" w:rsidRPr="7252D677">
        <w:rPr>
          <w:rFonts w:ascii="Book Antiqua" w:hAnsi="Book Antiqua"/>
          <w:strike/>
          <w:lang w:val="es-ES"/>
        </w:rPr>
        <w:t>Se ordena a la Comisión Estatal de Elección o las agencias pertinentes a tomar todas las medidas necesarias para la implementación esta Ley, incluyendo, pero sin limitarse adoptar la reglamentación pertinente.</w:t>
      </w:r>
      <w:r w:rsidR="6B8D91EE" w:rsidRPr="7252D677">
        <w:rPr>
          <w:rFonts w:ascii="Book Antiqua" w:hAnsi="Book Antiqua"/>
          <w:lang w:val="es-ES"/>
        </w:rPr>
        <w:t xml:space="preserve"> </w:t>
      </w:r>
      <w:r w:rsidR="6B8D91EE" w:rsidRPr="7252D677">
        <w:rPr>
          <w:rFonts w:ascii="Book Antiqua" w:eastAsia="Book Antiqua" w:hAnsi="Book Antiqua" w:cs="Book Antiqua"/>
          <w:i/>
          <w:iCs/>
          <w:szCs w:val="24"/>
          <w:u w:val="single"/>
          <w:lang w:val="es-ES"/>
        </w:rPr>
        <w:t>Se ordena al Departamento de Recursos Naturales y Ambientales, en coordinación con la Comisión Estatal de Elecciones y las demás agencias concernidas, a tomar todas las medidas necesarias para la implementación de esta Ley, incluyendo, sin limitarse a ello, la adopción de la reglamentación necesaria para su cumplimiento.</w:t>
      </w:r>
    </w:p>
    <w:p w14:paraId="017E4E73" w14:textId="77777777" w:rsidR="001F59C9" w:rsidRPr="00017016" w:rsidRDefault="00B86B2C" w:rsidP="00B86B2C">
      <w:pPr>
        <w:autoSpaceDE w:val="0"/>
        <w:autoSpaceDN w:val="0"/>
        <w:adjustRightInd w:val="0"/>
        <w:spacing w:line="480" w:lineRule="auto"/>
        <w:ind w:left="720" w:firstLine="720"/>
        <w:rPr>
          <w:rFonts w:ascii="Book Antiqua" w:hAnsi="Book Antiqua"/>
          <w:lang w:val="es-ES_tradnl"/>
        </w:rPr>
      </w:pPr>
      <w:r>
        <w:rPr>
          <w:rFonts w:ascii="Book Antiqua" w:hAnsi="Book Antiqua"/>
          <w:szCs w:val="24"/>
          <w:lang w:val="es-PR"/>
        </w:rPr>
        <w:t>Sección</w:t>
      </w:r>
      <w:r>
        <w:rPr>
          <w:rFonts w:ascii="Book Antiqua" w:hAnsi="Book Antiqua"/>
          <w:lang w:val="es-ES_tradnl"/>
        </w:rPr>
        <w:t xml:space="preserve"> 3.</w:t>
      </w:r>
      <w:r w:rsidR="00777DE5">
        <w:rPr>
          <w:rFonts w:ascii="Book Antiqua" w:hAnsi="Book Antiqua"/>
          <w:lang w:val="es-ES_tradnl"/>
        </w:rPr>
        <w:t>-</w:t>
      </w:r>
      <w:r w:rsidR="001F59C9" w:rsidRPr="00017016">
        <w:rPr>
          <w:rFonts w:ascii="Book Antiqua" w:hAnsi="Book Antiqua"/>
          <w:spacing w:val="-3"/>
          <w:lang w:val="es-PR"/>
        </w:rPr>
        <w:t xml:space="preserve">Esta Ley entrará en vigor </w:t>
      </w:r>
      <w:r w:rsidR="00DE651D" w:rsidRPr="00017016">
        <w:rPr>
          <w:rFonts w:ascii="Book Antiqua" w:hAnsi="Book Antiqua"/>
          <w:spacing w:val="-3"/>
          <w:lang w:val="es-PR"/>
        </w:rPr>
        <w:t>inmediatamente después de su aprobación.</w:t>
      </w:r>
    </w:p>
    <w:sectPr w:rsidR="001F59C9" w:rsidRPr="0001701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D6346" w14:textId="77777777" w:rsidR="000C28B3" w:rsidRDefault="000C28B3">
      <w:r>
        <w:separator/>
      </w:r>
    </w:p>
  </w:endnote>
  <w:endnote w:type="continuationSeparator" w:id="0">
    <w:p w14:paraId="6875D5C2" w14:textId="77777777" w:rsidR="000C28B3" w:rsidRDefault="000C2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BFEC0" w14:textId="77777777" w:rsidR="000C28B3" w:rsidRDefault="000C28B3">
      <w:r>
        <w:separator/>
      </w:r>
    </w:p>
  </w:footnote>
  <w:footnote w:type="continuationSeparator" w:id="0">
    <w:p w14:paraId="334DA897" w14:textId="77777777" w:rsidR="000C28B3" w:rsidRDefault="000C2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1C83"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1412267348">
    <w:abstractNumId w:val="2"/>
  </w:num>
  <w:num w:numId="2" w16cid:durableId="1489588199">
    <w:abstractNumId w:val="3"/>
  </w:num>
  <w:num w:numId="3" w16cid:durableId="624235714">
    <w:abstractNumId w:val="1"/>
  </w:num>
  <w:num w:numId="4" w16cid:durableId="2016180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37E07"/>
    <w:rsid w:val="00043555"/>
    <w:rsid w:val="0004414E"/>
    <w:rsid w:val="00051EED"/>
    <w:rsid w:val="00052E09"/>
    <w:rsid w:val="00053DF9"/>
    <w:rsid w:val="000575EE"/>
    <w:rsid w:val="000746E1"/>
    <w:rsid w:val="00080F28"/>
    <w:rsid w:val="000877B6"/>
    <w:rsid w:val="00094570"/>
    <w:rsid w:val="00095D0F"/>
    <w:rsid w:val="000A6FF3"/>
    <w:rsid w:val="000B4208"/>
    <w:rsid w:val="000C12F5"/>
    <w:rsid w:val="000C28B3"/>
    <w:rsid w:val="001143D2"/>
    <w:rsid w:val="001726B6"/>
    <w:rsid w:val="00196EDB"/>
    <w:rsid w:val="001A4F81"/>
    <w:rsid w:val="001B358D"/>
    <w:rsid w:val="001C1446"/>
    <w:rsid w:val="001C7BBB"/>
    <w:rsid w:val="001F59C9"/>
    <w:rsid w:val="00204DD2"/>
    <w:rsid w:val="00223DA9"/>
    <w:rsid w:val="00227256"/>
    <w:rsid w:val="00260939"/>
    <w:rsid w:val="002654C5"/>
    <w:rsid w:val="00283136"/>
    <w:rsid w:val="002A1556"/>
    <w:rsid w:val="002B296F"/>
    <w:rsid w:val="002B4447"/>
    <w:rsid w:val="002E0299"/>
    <w:rsid w:val="002E0668"/>
    <w:rsid w:val="002F613C"/>
    <w:rsid w:val="002F7EEE"/>
    <w:rsid w:val="00302067"/>
    <w:rsid w:val="003052AF"/>
    <w:rsid w:val="003060CE"/>
    <w:rsid w:val="00313B12"/>
    <w:rsid w:val="003359C0"/>
    <w:rsid w:val="0035791A"/>
    <w:rsid w:val="00370EA7"/>
    <w:rsid w:val="003711C1"/>
    <w:rsid w:val="0038658D"/>
    <w:rsid w:val="003A7159"/>
    <w:rsid w:val="003B09ED"/>
    <w:rsid w:val="003B0DA3"/>
    <w:rsid w:val="003C6052"/>
    <w:rsid w:val="003D4880"/>
    <w:rsid w:val="003F127B"/>
    <w:rsid w:val="00415ECB"/>
    <w:rsid w:val="00435594"/>
    <w:rsid w:val="00440A18"/>
    <w:rsid w:val="00451485"/>
    <w:rsid w:val="00483668"/>
    <w:rsid w:val="004A02F3"/>
    <w:rsid w:val="004E7820"/>
    <w:rsid w:val="004F01E1"/>
    <w:rsid w:val="00520B22"/>
    <w:rsid w:val="005459DE"/>
    <w:rsid w:val="00573C2F"/>
    <w:rsid w:val="005756D9"/>
    <w:rsid w:val="005A08C1"/>
    <w:rsid w:val="005E44A0"/>
    <w:rsid w:val="005F09CA"/>
    <w:rsid w:val="00610478"/>
    <w:rsid w:val="00613581"/>
    <w:rsid w:val="00631133"/>
    <w:rsid w:val="00647A2C"/>
    <w:rsid w:val="00672854"/>
    <w:rsid w:val="006912DF"/>
    <w:rsid w:val="006C468E"/>
    <w:rsid w:val="006C5A2D"/>
    <w:rsid w:val="006E1C02"/>
    <w:rsid w:val="006F0B1A"/>
    <w:rsid w:val="006F6847"/>
    <w:rsid w:val="00700815"/>
    <w:rsid w:val="00715B08"/>
    <w:rsid w:val="007165D2"/>
    <w:rsid w:val="007249C4"/>
    <w:rsid w:val="0072795C"/>
    <w:rsid w:val="00745AA1"/>
    <w:rsid w:val="00770D2A"/>
    <w:rsid w:val="00777DE5"/>
    <w:rsid w:val="007A37EB"/>
    <w:rsid w:val="007C23C1"/>
    <w:rsid w:val="007C2DA3"/>
    <w:rsid w:val="007D2F04"/>
    <w:rsid w:val="007E5E21"/>
    <w:rsid w:val="00803787"/>
    <w:rsid w:val="00812A9C"/>
    <w:rsid w:val="00855E49"/>
    <w:rsid w:val="0086006D"/>
    <w:rsid w:val="00861645"/>
    <w:rsid w:val="00866100"/>
    <w:rsid w:val="008707F6"/>
    <w:rsid w:val="008A485C"/>
    <w:rsid w:val="008A5914"/>
    <w:rsid w:val="008F7381"/>
    <w:rsid w:val="009035D8"/>
    <w:rsid w:val="0092791C"/>
    <w:rsid w:val="0093137D"/>
    <w:rsid w:val="00993A8C"/>
    <w:rsid w:val="009A5972"/>
    <w:rsid w:val="00A31BDE"/>
    <w:rsid w:val="00A37BA4"/>
    <w:rsid w:val="00A46BB2"/>
    <w:rsid w:val="00A649FA"/>
    <w:rsid w:val="00A764B2"/>
    <w:rsid w:val="00AB51A2"/>
    <w:rsid w:val="00B32972"/>
    <w:rsid w:val="00B60512"/>
    <w:rsid w:val="00B70608"/>
    <w:rsid w:val="00B76AD2"/>
    <w:rsid w:val="00B84FBC"/>
    <w:rsid w:val="00B85AEE"/>
    <w:rsid w:val="00B86B2C"/>
    <w:rsid w:val="00BD1861"/>
    <w:rsid w:val="00BD3897"/>
    <w:rsid w:val="00BD4764"/>
    <w:rsid w:val="00BD584C"/>
    <w:rsid w:val="00BE1F6C"/>
    <w:rsid w:val="00BE5B33"/>
    <w:rsid w:val="00BF7ACE"/>
    <w:rsid w:val="00C117BE"/>
    <w:rsid w:val="00C17EE7"/>
    <w:rsid w:val="00C3174A"/>
    <w:rsid w:val="00C37935"/>
    <w:rsid w:val="00C53C24"/>
    <w:rsid w:val="00C6018C"/>
    <w:rsid w:val="00C7017F"/>
    <w:rsid w:val="00C7702E"/>
    <w:rsid w:val="00C96E0D"/>
    <w:rsid w:val="00CA29E5"/>
    <w:rsid w:val="00CD1333"/>
    <w:rsid w:val="00CF1EC5"/>
    <w:rsid w:val="00CF20A5"/>
    <w:rsid w:val="00D10CF1"/>
    <w:rsid w:val="00D3292B"/>
    <w:rsid w:val="00D67794"/>
    <w:rsid w:val="00D703CB"/>
    <w:rsid w:val="00D70EFD"/>
    <w:rsid w:val="00D7555D"/>
    <w:rsid w:val="00D97789"/>
    <w:rsid w:val="00DC68F0"/>
    <w:rsid w:val="00DC6A16"/>
    <w:rsid w:val="00DD546F"/>
    <w:rsid w:val="00DE4C3B"/>
    <w:rsid w:val="00DE651D"/>
    <w:rsid w:val="00DF1A8F"/>
    <w:rsid w:val="00E03289"/>
    <w:rsid w:val="00E25229"/>
    <w:rsid w:val="00E43C88"/>
    <w:rsid w:val="00E679C3"/>
    <w:rsid w:val="00E807B8"/>
    <w:rsid w:val="00E828D9"/>
    <w:rsid w:val="00E84369"/>
    <w:rsid w:val="00E86CC8"/>
    <w:rsid w:val="00E86F9E"/>
    <w:rsid w:val="00E900F9"/>
    <w:rsid w:val="00E90BC3"/>
    <w:rsid w:val="00EB36C6"/>
    <w:rsid w:val="00EC33B5"/>
    <w:rsid w:val="00EC5DE7"/>
    <w:rsid w:val="00ED412C"/>
    <w:rsid w:val="00EE4A74"/>
    <w:rsid w:val="00F200E3"/>
    <w:rsid w:val="00F22930"/>
    <w:rsid w:val="00F22A8C"/>
    <w:rsid w:val="00F24CC2"/>
    <w:rsid w:val="00F425CE"/>
    <w:rsid w:val="00F4346D"/>
    <w:rsid w:val="00F64A87"/>
    <w:rsid w:val="00F657E8"/>
    <w:rsid w:val="00F96CED"/>
    <w:rsid w:val="00FA0467"/>
    <w:rsid w:val="00FB40AD"/>
    <w:rsid w:val="00FE159D"/>
    <w:rsid w:val="00FE6411"/>
    <w:rsid w:val="00FF43C5"/>
    <w:rsid w:val="051B8A69"/>
    <w:rsid w:val="11E08228"/>
    <w:rsid w:val="1FA3710D"/>
    <w:rsid w:val="28F89F35"/>
    <w:rsid w:val="2A0B7289"/>
    <w:rsid w:val="2CE65E84"/>
    <w:rsid w:val="3AB811D8"/>
    <w:rsid w:val="3AFC1DE0"/>
    <w:rsid w:val="44455D68"/>
    <w:rsid w:val="457F48DE"/>
    <w:rsid w:val="4F074377"/>
    <w:rsid w:val="5D7BF7F7"/>
    <w:rsid w:val="603EC89F"/>
    <w:rsid w:val="64B0EACD"/>
    <w:rsid w:val="6B8D91EE"/>
    <w:rsid w:val="6B9B68E4"/>
    <w:rsid w:val="70E0F6C4"/>
    <w:rsid w:val="7252D677"/>
    <w:rsid w:val="725BA67D"/>
    <w:rsid w:val="745CFA7C"/>
    <w:rsid w:val="7463DE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AEEF3"/>
  <w15:chartTrackingRefBased/>
  <w15:docId w15:val="{F9FAF596-7E7C-4FD7-9DA4-885E05FB4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eastAsia="en-US"/>
    </w:rPr>
  </w:style>
  <w:style w:type="paragraph" w:customStyle="1" w:styleId="CodeSegment">
    <w:name w:val="Code Segment"/>
    <w:rsid w:val="00DE651D"/>
    <w:pPr>
      <w:widowControl w:val="0"/>
      <w:autoSpaceDE w:val="0"/>
      <w:autoSpaceDN w:val="0"/>
      <w:adjustRightInd w:val="0"/>
      <w:jc w:val="both"/>
    </w:pPr>
    <w:rPr>
      <w:vanish/>
      <w:sz w:val="8"/>
      <w:szCs w:val="8"/>
      <w:lang w:eastAsia="en-US"/>
    </w:rPr>
  </w:style>
  <w:style w:type="paragraph" w:customStyle="1" w:styleId="sectext">
    <w:name w:val="sectext"/>
    <w:rsid w:val="00DE651D"/>
    <w:pPr>
      <w:widowControl w:val="0"/>
      <w:autoSpaceDE w:val="0"/>
      <w:autoSpaceDN w:val="0"/>
      <w:adjustRightInd w:val="0"/>
    </w:pPr>
    <w:rPr>
      <w:szCs w:val="24"/>
      <w:lang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ba3a3de3c721a5cc2326827055f7ccd7">
  <xsd:schema xmlns:xsd="http://www.w3.org/2001/XMLSchema" xmlns:xs="http://www.w3.org/2001/XMLSchema" xmlns:p="http://schemas.microsoft.com/office/2006/metadata/properties" xmlns:ns3="b20568bb-8a44-41e3-8663-d9335b56bb9c" targetNamespace="http://schemas.microsoft.com/office/2006/metadata/properties" ma:root="true" ma:fieldsID="0e231994a83c94a198756ad49cbcf926"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8190B2-A61D-4A1D-8954-333C01229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53CAA-1B0F-4A04-BA06-1141076F93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1049</Words>
  <Characters>5982</Characters>
  <Application>Microsoft Office Word</Application>
  <DocSecurity>4</DocSecurity>
  <Lines>49</Lines>
  <Paragraphs>14</Paragraphs>
  <ScaleCrop>false</ScaleCrop>
  <Company>Microsoft</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2022-06-15T16:25:00Z</cp:lastPrinted>
  <dcterms:created xsi:type="dcterms:W3CDTF">2026-06-22T17:09:00Z</dcterms:created>
  <dcterms:modified xsi:type="dcterms:W3CDTF">2026-06-22T17:09:00Z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y fmtid="{D5CDD505-2E9C-101B-9397-08002B2CF9AE}" pid="3" name="ContentTypeId">
    <vt:lpwstr>0x0101002498DBEDCFFE484B93AE96CE1F188E14</vt:lpwstr>
  </property>
  <property fmtid="{D5CDD505-2E9C-101B-9397-08002B2CF9AE}" pid="4" name="_activity">
    <vt:lpwstr/>
  </property>
</Properties>
</file>