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A9FA3" w14:textId="77777777" w:rsidR="00D723FE" w:rsidRPr="003052D8" w:rsidRDefault="00D723FE" w:rsidP="00D723FE">
      <w:pPr>
        <w:tabs>
          <w:tab w:val="right" w:pos="709"/>
        </w:tabs>
        <w:spacing w:line="276" w:lineRule="auto"/>
        <w:jc w:val="center"/>
        <w:rPr>
          <w:rFonts w:ascii="Book Antiqua" w:hAnsi="Book Antiqua"/>
          <w:b/>
          <w:sz w:val="28"/>
          <w:szCs w:val="28"/>
          <w:lang w:val="es-ES"/>
        </w:rPr>
      </w:pPr>
      <w:r w:rsidRPr="003052D8">
        <w:rPr>
          <w:rFonts w:ascii="Book Antiqua" w:hAnsi="Book Antiqua"/>
          <w:b/>
          <w:sz w:val="28"/>
          <w:szCs w:val="28"/>
          <w:lang w:val="es-ES"/>
        </w:rPr>
        <w:t>GOBIERNO DE PUERTO RICO</w:t>
      </w:r>
    </w:p>
    <w:p w14:paraId="3C3B216F" w14:textId="65F150FD" w:rsidR="00D723FE" w:rsidRPr="003052D8" w:rsidRDefault="00D723FE" w:rsidP="00D723FE">
      <w:pPr>
        <w:suppressLineNumbers/>
        <w:tabs>
          <w:tab w:val="left" w:pos="7560"/>
        </w:tabs>
        <w:spacing w:line="276" w:lineRule="auto"/>
        <w:jc w:val="both"/>
        <w:rPr>
          <w:rFonts w:ascii="Book Antiqua" w:hAnsi="Book Antiqua"/>
          <w:szCs w:val="24"/>
          <w:lang w:val="es-ES"/>
        </w:rPr>
      </w:pPr>
      <w:r w:rsidRPr="003052D8">
        <w:rPr>
          <w:rFonts w:ascii="Book Antiqua" w:hAnsi="Book Antiqua"/>
          <w:szCs w:val="24"/>
          <w:lang w:val="es-ES"/>
        </w:rPr>
        <w:t>20</w:t>
      </w:r>
      <w:r w:rsidRPr="003052D8">
        <w:rPr>
          <w:rFonts w:ascii="Book Antiqua" w:hAnsi="Book Antiqua"/>
          <w:szCs w:val="24"/>
          <w:vertAlign w:val="superscript"/>
          <w:lang w:val="es-ES"/>
        </w:rPr>
        <w:t>ma.</w:t>
      </w:r>
      <w:r w:rsidRPr="003052D8">
        <w:rPr>
          <w:rFonts w:ascii="Book Antiqua" w:hAnsi="Book Antiqua"/>
          <w:szCs w:val="24"/>
          <w:lang w:val="es-ES"/>
        </w:rPr>
        <w:t xml:space="preserve"> Asamblea</w:t>
      </w:r>
      <w:r w:rsidRPr="003052D8">
        <w:rPr>
          <w:rFonts w:ascii="Book Antiqua" w:hAnsi="Book Antiqua"/>
          <w:szCs w:val="24"/>
          <w:lang w:val="es-ES"/>
        </w:rPr>
        <w:tab/>
        <w:t xml:space="preserve">   </w:t>
      </w:r>
      <w:r>
        <w:rPr>
          <w:rFonts w:ascii="Book Antiqua" w:hAnsi="Book Antiqua"/>
          <w:szCs w:val="24"/>
          <w:lang w:val="es-ES"/>
        </w:rPr>
        <w:t>3</w:t>
      </w:r>
      <w:r>
        <w:rPr>
          <w:rFonts w:ascii="Book Antiqua" w:hAnsi="Book Antiqua"/>
          <w:szCs w:val="24"/>
          <w:vertAlign w:val="superscript"/>
          <w:lang w:val="es-ES"/>
        </w:rPr>
        <w:t>r</w:t>
      </w:r>
      <w:r w:rsidRPr="003052D8">
        <w:rPr>
          <w:rFonts w:ascii="Book Antiqua" w:hAnsi="Book Antiqua"/>
          <w:szCs w:val="24"/>
          <w:vertAlign w:val="superscript"/>
          <w:lang w:val="es-ES"/>
        </w:rPr>
        <w:t>a.</w:t>
      </w:r>
      <w:r w:rsidRPr="003052D8">
        <w:rPr>
          <w:rFonts w:ascii="Book Antiqua" w:hAnsi="Book Antiqua"/>
          <w:szCs w:val="24"/>
          <w:lang w:val="es-ES"/>
        </w:rPr>
        <w:t xml:space="preserve">  Sesión </w:t>
      </w:r>
    </w:p>
    <w:p w14:paraId="437E6469" w14:textId="30E896E3" w:rsidR="00D723FE" w:rsidRPr="003052D8" w:rsidRDefault="00D723FE" w:rsidP="00D723FE">
      <w:pPr>
        <w:spacing w:line="276" w:lineRule="auto"/>
        <w:rPr>
          <w:rFonts w:ascii="Book Antiqua" w:hAnsi="Book Antiqua"/>
          <w:b/>
          <w:szCs w:val="24"/>
          <w:lang w:val="es-ES"/>
        </w:rPr>
      </w:pPr>
      <w:r w:rsidRPr="003052D8">
        <w:rPr>
          <w:rFonts w:ascii="Book Antiqua" w:hAnsi="Book Antiqua"/>
          <w:szCs w:val="24"/>
          <w:lang w:val="es-ES"/>
        </w:rPr>
        <w:t xml:space="preserve">      </w:t>
      </w:r>
      <w:r w:rsidR="0029376F">
        <w:rPr>
          <w:rFonts w:ascii="Book Antiqua" w:hAnsi="Book Antiqua"/>
          <w:szCs w:val="24"/>
          <w:lang w:val="es-ES"/>
        </w:rPr>
        <w:t xml:space="preserve">   </w:t>
      </w:r>
      <w:r w:rsidRPr="003052D8">
        <w:rPr>
          <w:rFonts w:ascii="Book Antiqua" w:hAnsi="Book Antiqua"/>
          <w:szCs w:val="24"/>
          <w:lang w:val="es-ES"/>
        </w:rPr>
        <w:t>Legislativa</w:t>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r>
      <w:r w:rsidRPr="003052D8">
        <w:rPr>
          <w:rFonts w:ascii="Book Antiqua" w:hAnsi="Book Antiqua"/>
          <w:szCs w:val="24"/>
          <w:lang w:val="es-ES"/>
        </w:rPr>
        <w:tab/>
        <w:t xml:space="preserve">      Ordinaria</w:t>
      </w:r>
    </w:p>
    <w:p w14:paraId="62DED5C0" w14:textId="77777777" w:rsidR="00D723FE" w:rsidRPr="003052D8" w:rsidRDefault="00D723FE" w:rsidP="00D723FE">
      <w:pPr>
        <w:spacing w:line="276" w:lineRule="auto"/>
        <w:jc w:val="center"/>
        <w:rPr>
          <w:rFonts w:ascii="Book Antiqua" w:hAnsi="Book Antiqua"/>
          <w:b/>
          <w:sz w:val="36"/>
          <w:szCs w:val="36"/>
          <w:lang w:val="es-ES"/>
        </w:rPr>
      </w:pPr>
    </w:p>
    <w:p w14:paraId="19BB1D24" w14:textId="77777777" w:rsidR="00D723FE" w:rsidRPr="003052D8" w:rsidRDefault="00D723FE" w:rsidP="00D723FE">
      <w:pPr>
        <w:spacing w:line="360" w:lineRule="auto"/>
        <w:jc w:val="center"/>
        <w:rPr>
          <w:rFonts w:ascii="Book Antiqua" w:hAnsi="Book Antiqua"/>
          <w:b/>
          <w:sz w:val="36"/>
          <w:szCs w:val="36"/>
          <w:lang w:val="es-ES"/>
        </w:rPr>
      </w:pPr>
      <w:r w:rsidRPr="003052D8">
        <w:rPr>
          <w:rFonts w:ascii="Book Antiqua" w:hAnsi="Book Antiqua"/>
          <w:b/>
          <w:sz w:val="36"/>
          <w:szCs w:val="36"/>
          <w:lang w:val="es-ES"/>
        </w:rPr>
        <w:t>CÁMARA DE REPRESENTANTES</w:t>
      </w:r>
    </w:p>
    <w:p w14:paraId="3A59A141" w14:textId="00BFF1FE" w:rsidR="00D723FE" w:rsidRPr="003052D8" w:rsidRDefault="00D723FE" w:rsidP="00D723FE">
      <w:pPr>
        <w:spacing w:line="360" w:lineRule="auto"/>
        <w:jc w:val="center"/>
        <w:rPr>
          <w:rFonts w:ascii="Book Antiqua" w:hAnsi="Book Antiqua"/>
          <w:b/>
          <w:sz w:val="52"/>
          <w:szCs w:val="52"/>
          <w:lang w:val="es-ES"/>
        </w:rPr>
      </w:pPr>
      <w:r w:rsidRPr="003052D8">
        <w:rPr>
          <w:rFonts w:ascii="Book Antiqua" w:hAnsi="Book Antiqua"/>
          <w:b/>
          <w:sz w:val="52"/>
          <w:szCs w:val="52"/>
          <w:lang w:val="es-ES"/>
        </w:rPr>
        <w:t xml:space="preserve">P. del C. </w:t>
      </w:r>
      <w:r>
        <w:rPr>
          <w:rFonts w:ascii="Book Antiqua" w:hAnsi="Book Antiqua"/>
          <w:b/>
          <w:sz w:val="52"/>
          <w:szCs w:val="52"/>
          <w:lang w:val="es-ES"/>
        </w:rPr>
        <w:t>209</w:t>
      </w:r>
    </w:p>
    <w:p w14:paraId="1B8C16C7" w14:textId="77777777" w:rsidR="00D723FE" w:rsidRPr="003052D8" w:rsidRDefault="00D723FE" w:rsidP="00D723FE">
      <w:pPr>
        <w:jc w:val="center"/>
        <w:rPr>
          <w:rFonts w:ascii="Book Antiqua" w:hAnsi="Book Antiqua"/>
          <w:b/>
          <w:sz w:val="28"/>
          <w:szCs w:val="28"/>
          <w:lang w:val="es-PR"/>
        </w:rPr>
      </w:pPr>
      <w:r w:rsidRPr="003052D8">
        <w:rPr>
          <w:rFonts w:ascii="Book Antiqua" w:hAnsi="Book Antiqua"/>
          <w:b/>
          <w:sz w:val="28"/>
          <w:szCs w:val="28"/>
          <w:lang w:val="es-PR"/>
        </w:rPr>
        <w:t xml:space="preserve">INFORME </w:t>
      </w:r>
      <w:r>
        <w:rPr>
          <w:rFonts w:ascii="Book Antiqua" w:hAnsi="Book Antiqua"/>
          <w:b/>
          <w:sz w:val="28"/>
          <w:szCs w:val="28"/>
          <w:lang w:val="es-PR"/>
        </w:rPr>
        <w:t>POSITIVO</w:t>
      </w:r>
    </w:p>
    <w:p w14:paraId="685293CD" w14:textId="77777777" w:rsidR="00D723FE" w:rsidRPr="003052D8" w:rsidRDefault="00D723FE" w:rsidP="00D723FE">
      <w:pPr>
        <w:tabs>
          <w:tab w:val="left" w:pos="6180"/>
        </w:tabs>
        <w:spacing w:line="276" w:lineRule="auto"/>
        <w:rPr>
          <w:rFonts w:ascii="Book Antiqua" w:hAnsi="Book Antiqua"/>
          <w:b/>
          <w:sz w:val="28"/>
          <w:szCs w:val="28"/>
          <w:lang w:val="es-PR"/>
        </w:rPr>
      </w:pPr>
      <w:r w:rsidRPr="003052D8">
        <w:rPr>
          <w:rFonts w:ascii="Book Antiqua" w:hAnsi="Book Antiqua"/>
          <w:b/>
          <w:sz w:val="28"/>
          <w:szCs w:val="28"/>
          <w:lang w:val="es-PR"/>
        </w:rPr>
        <w:tab/>
      </w:r>
    </w:p>
    <w:p w14:paraId="42FD1290" w14:textId="31629A76" w:rsidR="00D723FE" w:rsidRPr="003052D8" w:rsidRDefault="00BD4B17" w:rsidP="0029376F">
      <w:pPr>
        <w:contextualSpacing/>
        <w:jc w:val="center"/>
        <w:rPr>
          <w:rFonts w:ascii="Book Antiqua" w:hAnsi="Book Antiqua"/>
          <w:szCs w:val="24"/>
          <w:lang w:val="es-PR"/>
        </w:rPr>
      </w:pPr>
      <w:r>
        <w:rPr>
          <w:rFonts w:ascii="Book Antiqua" w:hAnsi="Book Antiqua"/>
          <w:szCs w:val="24"/>
          <w:lang w:val="es-PR"/>
        </w:rPr>
        <w:t>16</w:t>
      </w:r>
      <w:r w:rsidR="00D723FE" w:rsidRPr="003052D8">
        <w:rPr>
          <w:rFonts w:ascii="Book Antiqua" w:hAnsi="Book Antiqua"/>
          <w:szCs w:val="24"/>
          <w:lang w:val="es-PR"/>
        </w:rPr>
        <w:t xml:space="preserve"> de </w:t>
      </w:r>
      <w:r w:rsidR="00D723FE">
        <w:rPr>
          <w:rFonts w:ascii="Book Antiqua" w:hAnsi="Book Antiqua"/>
          <w:szCs w:val="24"/>
          <w:lang w:val="es-PR"/>
        </w:rPr>
        <w:t>marzo</w:t>
      </w:r>
      <w:r w:rsidR="00D723FE" w:rsidRPr="003052D8">
        <w:rPr>
          <w:rFonts w:ascii="Book Antiqua" w:hAnsi="Book Antiqua"/>
          <w:szCs w:val="24"/>
          <w:lang w:val="es-PR"/>
        </w:rPr>
        <w:t xml:space="preserve"> de 202</w:t>
      </w:r>
      <w:r w:rsidR="00D723FE">
        <w:rPr>
          <w:rFonts w:ascii="Book Antiqua" w:hAnsi="Book Antiqua"/>
          <w:szCs w:val="24"/>
          <w:lang w:val="es-PR"/>
        </w:rPr>
        <w:t>6</w:t>
      </w:r>
    </w:p>
    <w:p w14:paraId="01BDF828" w14:textId="77777777" w:rsidR="00D723FE" w:rsidRDefault="00D723FE" w:rsidP="0029376F">
      <w:pPr>
        <w:contextualSpacing/>
        <w:rPr>
          <w:rFonts w:ascii="Book Antiqua" w:hAnsi="Book Antiqua"/>
          <w:b/>
          <w:szCs w:val="24"/>
          <w:lang w:val="es-PR"/>
        </w:rPr>
      </w:pPr>
    </w:p>
    <w:p w14:paraId="597EBC53" w14:textId="77777777" w:rsidR="0029376F" w:rsidRPr="003052D8" w:rsidRDefault="0029376F" w:rsidP="0029376F">
      <w:pPr>
        <w:contextualSpacing/>
        <w:rPr>
          <w:rFonts w:ascii="Book Antiqua" w:hAnsi="Book Antiqua"/>
          <w:b/>
          <w:szCs w:val="24"/>
          <w:lang w:val="es-PR"/>
        </w:rPr>
      </w:pPr>
    </w:p>
    <w:p w14:paraId="6FE5C1D6" w14:textId="77777777" w:rsidR="00D723FE" w:rsidRDefault="00D723FE" w:rsidP="0029376F">
      <w:pPr>
        <w:contextualSpacing/>
        <w:rPr>
          <w:rFonts w:ascii="Book Antiqua" w:hAnsi="Book Antiqua"/>
          <w:b/>
          <w:szCs w:val="24"/>
          <w:lang w:val="es-ES"/>
        </w:rPr>
      </w:pPr>
      <w:r w:rsidRPr="003052D8">
        <w:rPr>
          <w:rFonts w:ascii="Book Antiqua" w:hAnsi="Book Antiqua"/>
          <w:b/>
          <w:szCs w:val="24"/>
          <w:lang w:val="es-ES"/>
        </w:rPr>
        <w:t>A LA CÁMARA DE REPRESENTANTES:</w:t>
      </w:r>
    </w:p>
    <w:p w14:paraId="5C4A2E7F" w14:textId="77777777" w:rsidR="00D723FE" w:rsidRPr="003052D8" w:rsidRDefault="00D723FE" w:rsidP="0029376F">
      <w:pPr>
        <w:contextualSpacing/>
        <w:rPr>
          <w:rFonts w:ascii="Book Antiqua" w:hAnsi="Book Antiqua"/>
          <w:b/>
          <w:szCs w:val="24"/>
          <w:lang w:val="es-ES"/>
        </w:rPr>
      </w:pPr>
    </w:p>
    <w:p w14:paraId="0E0C2DBD" w14:textId="7A575CED" w:rsidR="007B4FC6" w:rsidRPr="007B4FC6" w:rsidRDefault="007B4FC6" w:rsidP="0029376F">
      <w:pPr>
        <w:ind w:firstLine="720"/>
        <w:contextualSpacing/>
        <w:jc w:val="both"/>
        <w:rPr>
          <w:rFonts w:ascii="Book Antiqua" w:hAnsi="Book Antiqua"/>
          <w:szCs w:val="24"/>
          <w:lang w:val="es-PR"/>
        </w:rPr>
      </w:pPr>
      <w:r w:rsidRPr="007B4FC6">
        <w:rPr>
          <w:rFonts w:ascii="Book Antiqua" w:hAnsi="Book Antiqua"/>
          <w:szCs w:val="24"/>
          <w:lang w:val="es-PR"/>
        </w:rPr>
        <w:t xml:space="preserve">La Comisión de Gobierno de la Cámara de Representantes de Puerto Rico, previo estudio y consideración del Proyecto de la Cámara 209, </w:t>
      </w:r>
      <w:r w:rsidR="002D389A">
        <w:rPr>
          <w:rFonts w:ascii="Book Antiqua" w:hAnsi="Book Antiqua"/>
          <w:szCs w:val="24"/>
          <w:lang w:val="es-PR"/>
        </w:rPr>
        <w:t>rinde</w:t>
      </w:r>
      <w:r w:rsidR="0029376F">
        <w:rPr>
          <w:rFonts w:ascii="Book Antiqua" w:hAnsi="Book Antiqua"/>
          <w:szCs w:val="24"/>
          <w:lang w:val="es-PR"/>
        </w:rPr>
        <w:t xml:space="preserve"> el</w:t>
      </w:r>
      <w:r w:rsidR="002D389A">
        <w:rPr>
          <w:rFonts w:ascii="Book Antiqua" w:hAnsi="Book Antiqua"/>
          <w:szCs w:val="24"/>
          <w:lang w:val="es-PR"/>
        </w:rPr>
        <w:t xml:space="preserve"> Informe Positivo y </w:t>
      </w:r>
      <w:r w:rsidRPr="007B4FC6">
        <w:rPr>
          <w:rFonts w:ascii="Book Antiqua" w:hAnsi="Book Antiqua"/>
          <w:szCs w:val="24"/>
          <w:lang w:val="es-PR"/>
        </w:rPr>
        <w:t>recomienda su aprobación con las enmiendas contenidas en el entirillado electrónico que se acompaña.</w:t>
      </w:r>
      <w:r w:rsidRPr="007B4FC6">
        <w:rPr>
          <w:rFonts w:eastAsia="Times New Roman"/>
          <w:szCs w:val="24"/>
          <w:lang w:val="es-PR" w:eastAsia="es-PR"/>
        </w:rPr>
        <w:t xml:space="preserve"> </w:t>
      </w:r>
    </w:p>
    <w:p w14:paraId="41C4005A" w14:textId="77777777" w:rsidR="002D389A" w:rsidRDefault="002D389A" w:rsidP="0029376F">
      <w:pPr>
        <w:contextualSpacing/>
        <w:jc w:val="center"/>
        <w:rPr>
          <w:rFonts w:ascii="Book Antiqua" w:hAnsi="Book Antiqua"/>
          <w:b/>
          <w:bCs/>
          <w:lang w:val="es-ES"/>
        </w:rPr>
      </w:pPr>
    </w:p>
    <w:p w14:paraId="15DAD74C" w14:textId="0F5EC54E" w:rsidR="007B4FC6" w:rsidRPr="003052D8" w:rsidRDefault="007B4FC6" w:rsidP="0029376F">
      <w:pPr>
        <w:contextualSpacing/>
        <w:jc w:val="center"/>
        <w:rPr>
          <w:rFonts w:ascii="Book Antiqua" w:hAnsi="Book Antiqua"/>
          <w:b/>
          <w:bCs/>
          <w:lang w:val="es-ES"/>
        </w:rPr>
      </w:pPr>
      <w:r w:rsidRPr="003052D8">
        <w:rPr>
          <w:rFonts w:ascii="Book Antiqua" w:hAnsi="Book Antiqua"/>
          <w:b/>
          <w:bCs/>
          <w:lang w:val="es-ES"/>
        </w:rPr>
        <w:t>ALCANCE DE LA MEDIDA</w:t>
      </w:r>
    </w:p>
    <w:p w14:paraId="09CCEE33" w14:textId="77777777" w:rsidR="007B4FC6" w:rsidRDefault="007B4FC6" w:rsidP="0029376F">
      <w:pPr>
        <w:contextualSpacing/>
        <w:jc w:val="both"/>
        <w:rPr>
          <w:rFonts w:ascii="Book Antiqua" w:hAnsi="Book Antiqua"/>
          <w:lang w:val="es-PR"/>
        </w:rPr>
      </w:pPr>
    </w:p>
    <w:p w14:paraId="05E5D6FD" w14:textId="358D5399" w:rsidR="007B4FC6" w:rsidRDefault="007B4FC6" w:rsidP="0029376F">
      <w:pPr>
        <w:ind w:firstLine="720"/>
        <w:contextualSpacing/>
        <w:jc w:val="both"/>
        <w:rPr>
          <w:rFonts w:ascii="Book Antiqua" w:hAnsi="Book Antiqua"/>
          <w:lang w:val="es-PR"/>
        </w:rPr>
      </w:pPr>
      <w:r w:rsidRPr="007B4FC6">
        <w:rPr>
          <w:rFonts w:ascii="Book Antiqua" w:hAnsi="Book Antiqua"/>
          <w:lang w:val="es-PR"/>
        </w:rPr>
        <w:t>El Proyecto de la Cámara 209 propone enmendar el Artículo 4.5, inciso (3) de la Ley 58-2020, según enmendada, conocida como el “Código Electoral de Puerto Rico de 2020”, a los fines de corregir su lenguaje y establecer que, cuando se apele la decisión del Presidente de una Comisión Local ante la Comisión Estatal por cualquiera de los Comisionados Locales dentro de los treinta (30) días previos a una votación, la decisión apelada será vinculante para las partes hasta tanto la Comisión Estatal resuelva la apelación; y para otros fines relacionados.</w:t>
      </w:r>
    </w:p>
    <w:p w14:paraId="2A91531A" w14:textId="77777777" w:rsidR="007B4FC6" w:rsidRPr="007B4FC6" w:rsidRDefault="007B4FC6" w:rsidP="0029376F">
      <w:pPr>
        <w:ind w:firstLine="720"/>
        <w:contextualSpacing/>
        <w:jc w:val="both"/>
        <w:rPr>
          <w:rFonts w:ascii="Book Antiqua" w:hAnsi="Book Antiqua"/>
          <w:lang w:val="es-PR"/>
        </w:rPr>
      </w:pPr>
    </w:p>
    <w:p w14:paraId="5D75534B" w14:textId="174E4D52" w:rsidR="007B4FC6" w:rsidRDefault="007B4FC6" w:rsidP="0029376F">
      <w:pPr>
        <w:ind w:firstLine="720"/>
        <w:contextualSpacing/>
        <w:jc w:val="both"/>
        <w:rPr>
          <w:rFonts w:ascii="Book Antiqua" w:hAnsi="Book Antiqua"/>
          <w:szCs w:val="24"/>
          <w:lang w:val="es-PR"/>
        </w:rPr>
      </w:pPr>
      <w:r w:rsidRPr="007B4FC6">
        <w:rPr>
          <w:rFonts w:ascii="Book Antiqua" w:hAnsi="Book Antiqua"/>
          <w:szCs w:val="24"/>
          <w:lang w:val="es-PR"/>
        </w:rPr>
        <w:t xml:space="preserve">La medida busca evitar que </w:t>
      </w:r>
      <w:r w:rsidR="002D389A">
        <w:rPr>
          <w:rFonts w:ascii="Book Antiqua" w:hAnsi="Book Antiqua"/>
          <w:szCs w:val="24"/>
          <w:lang w:val="es-PR"/>
        </w:rPr>
        <w:t xml:space="preserve">las </w:t>
      </w:r>
      <w:r w:rsidRPr="007B4FC6">
        <w:rPr>
          <w:rFonts w:ascii="Book Antiqua" w:hAnsi="Book Antiqua"/>
          <w:szCs w:val="24"/>
          <w:lang w:val="es-PR"/>
        </w:rPr>
        <w:t>decisiones adoptadas en el ámbito de las Comisiones Locales queden sin efecto durante el período crítico previo a un evento electoral como consecuencia de la presentación de apelaciones. De esta forma, se procura garantizar mayor certeza y estabilidad administrativa en la conducción del proceso electoral mientras se atienden las controversias que puedan surgir en dicho período.</w:t>
      </w:r>
    </w:p>
    <w:p w14:paraId="0F613646" w14:textId="77777777" w:rsidR="007B4FC6" w:rsidRPr="007B4FC6" w:rsidRDefault="007B4FC6" w:rsidP="0029376F">
      <w:pPr>
        <w:ind w:firstLine="720"/>
        <w:contextualSpacing/>
        <w:jc w:val="both"/>
        <w:rPr>
          <w:rFonts w:ascii="Book Antiqua" w:hAnsi="Book Antiqua"/>
          <w:szCs w:val="24"/>
          <w:lang w:val="es-PR"/>
        </w:rPr>
      </w:pPr>
    </w:p>
    <w:p w14:paraId="7909449A" w14:textId="77777777" w:rsidR="007B4FC6" w:rsidRPr="007B4FC6" w:rsidRDefault="007B4FC6" w:rsidP="0029376F">
      <w:pPr>
        <w:ind w:firstLine="720"/>
        <w:contextualSpacing/>
        <w:jc w:val="both"/>
        <w:rPr>
          <w:rFonts w:ascii="Book Antiqua" w:hAnsi="Book Antiqua"/>
          <w:szCs w:val="24"/>
          <w:lang w:val="es-PR"/>
        </w:rPr>
      </w:pPr>
      <w:r w:rsidRPr="007B4FC6">
        <w:rPr>
          <w:rFonts w:ascii="Book Antiqua" w:hAnsi="Book Antiqua"/>
          <w:szCs w:val="24"/>
          <w:lang w:val="es-PR"/>
        </w:rPr>
        <w:t>En ese sentido, la enmienda propuesta pretende aclarar el efecto de las apelaciones presentadas dentro del periodo inmediatamente anterior a una votación, de modo que se preserve la continuidad de las determinaciones administrativas hasta tanto la Comisión Estatal de Elecciones emita una resolución final sobre la controversia planteada.</w:t>
      </w:r>
    </w:p>
    <w:p w14:paraId="63071723" w14:textId="75CF8CF9" w:rsidR="00D723FE" w:rsidRPr="003052D8" w:rsidRDefault="00D723FE" w:rsidP="0029376F">
      <w:pPr>
        <w:contextualSpacing/>
        <w:jc w:val="center"/>
        <w:rPr>
          <w:rFonts w:ascii="Book Antiqua" w:hAnsi="Book Antiqua"/>
          <w:b/>
          <w:caps/>
          <w:szCs w:val="24"/>
          <w:lang w:val="es-ES"/>
        </w:rPr>
      </w:pPr>
      <w:r w:rsidRPr="003052D8">
        <w:rPr>
          <w:rFonts w:ascii="Book Antiqua" w:hAnsi="Book Antiqua"/>
          <w:b/>
          <w:caps/>
          <w:szCs w:val="24"/>
          <w:lang w:val="es-ES"/>
        </w:rPr>
        <w:lastRenderedPageBreak/>
        <w:t>AnÁlisis de la Medida</w:t>
      </w:r>
    </w:p>
    <w:p w14:paraId="220F773A" w14:textId="77777777" w:rsidR="00D723FE" w:rsidRPr="003052D8" w:rsidRDefault="00D723FE" w:rsidP="0029376F">
      <w:pPr>
        <w:contextualSpacing/>
        <w:jc w:val="both"/>
        <w:rPr>
          <w:rFonts w:ascii="Book Antiqua" w:hAnsi="Book Antiqua"/>
          <w:szCs w:val="24"/>
          <w:lang w:val="es-ES"/>
        </w:rPr>
      </w:pPr>
    </w:p>
    <w:p w14:paraId="3CEC4FB2" w14:textId="66E82453" w:rsid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t>El Código Electoral de Puerto Rico de 2020</w:t>
      </w:r>
      <w:r>
        <w:rPr>
          <w:rFonts w:ascii="Book Antiqua" w:hAnsi="Book Antiqua"/>
          <w:szCs w:val="24"/>
          <w:lang w:val="es-PR"/>
        </w:rPr>
        <w:t>, antes citado,</w:t>
      </w:r>
      <w:r w:rsidRPr="007B4FC6">
        <w:rPr>
          <w:rFonts w:ascii="Book Antiqua" w:hAnsi="Book Antiqua"/>
          <w:szCs w:val="24"/>
          <w:lang w:val="es-PR"/>
        </w:rPr>
        <w:t xml:space="preserve"> establece la estructura y los procedimientos que rigen la administración de los procesos electorales en Puerto Rico. Dentro de dicho marco, las Comisiones Locales desempeñan un rol fundamental en la supervisión y </w:t>
      </w:r>
      <w:r w:rsidR="005C776F">
        <w:rPr>
          <w:rFonts w:ascii="Book Antiqua" w:hAnsi="Book Antiqua"/>
          <w:szCs w:val="24"/>
          <w:lang w:val="es-PR"/>
        </w:rPr>
        <w:t xml:space="preserve">el </w:t>
      </w:r>
      <w:r w:rsidRPr="007B4FC6">
        <w:rPr>
          <w:rFonts w:ascii="Book Antiqua" w:hAnsi="Book Antiqua"/>
          <w:szCs w:val="24"/>
          <w:lang w:val="es-PR"/>
        </w:rPr>
        <w:t>manejo de múltiples transacciones electorales, incluyendo los trabajos de las Juntas de Inscripción Permanente y otros asuntos operacionales relacionados con la organización de los eventos electorales.</w:t>
      </w:r>
    </w:p>
    <w:p w14:paraId="00F290EA" w14:textId="77777777" w:rsidR="007B4FC6" w:rsidRPr="007B4FC6" w:rsidRDefault="007B4FC6" w:rsidP="0029376F">
      <w:pPr>
        <w:ind w:firstLine="708"/>
        <w:contextualSpacing/>
        <w:jc w:val="both"/>
        <w:rPr>
          <w:rFonts w:ascii="Book Antiqua" w:hAnsi="Book Antiqua"/>
          <w:szCs w:val="24"/>
          <w:lang w:val="es-PR"/>
        </w:rPr>
      </w:pPr>
    </w:p>
    <w:p w14:paraId="50BA24BF" w14:textId="48E81E25" w:rsid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t xml:space="preserve">Conforme al </w:t>
      </w:r>
      <w:r w:rsidR="00A153BF">
        <w:rPr>
          <w:rFonts w:ascii="Book Antiqua" w:hAnsi="Book Antiqua"/>
          <w:szCs w:val="24"/>
          <w:lang w:val="es-PR"/>
        </w:rPr>
        <w:t xml:space="preserve">lenguaje </w:t>
      </w:r>
      <w:r w:rsidRPr="007B4FC6">
        <w:rPr>
          <w:rFonts w:ascii="Book Antiqua" w:hAnsi="Book Antiqua"/>
          <w:szCs w:val="24"/>
          <w:lang w:val="es-PR"/>
        </w:rPr>
        <w:t>vigente del Artículo 4.5, inciso (3), las decisiones del Presidente de la Comisión Local pueden ser apeladas ante la Comisión Estatal de Elecciones por cualquiera de los Comisionados Locales. En tales casos, la decisión apelada queda sin efecto hasta tanto la Comisión Estatal resuelva la controversia.</w:t>
      </w:r>
    </w:p>
    <w:p w14:paraId="568E139E" w14:textId="77777777" w:rsidR="007B4FC6" w:rsidRPr="007B4FC6" w:rsidRDefault="007B4FC6" w:rsidP="0029376F">
      <w:pPr>
        <w:ind w:firstLine="708"/>
        <w:contextualSpacing/>
        <w:jc w:val="both"/>
        <w:rPr>
          <w:rFonts w:ascii="Book Antiqua" w:hAnsi="Book Antiqua"/>
          <w:szCs w:val="24"/>
          <w:lang w:val="es-PR"/>
        </w:rPr>
      </w:pPr>
    </w:p>
    <w:p w14:paraId="10209F5D" w14:textId="124D4B5A" w:rsid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t>No obstante, la experiencia en la administración de los procesos electorales ha evidenciado que esta disposición puede generar dificultades prácticas cuando las apelaciones se presentan durante el per</w:t>
      </w:r>
      <w:r w:rsidR="00A153BF">
        <w:rPr>
          <w:rFonts w:ascii="Book Antiqua" w:hAnsi="Book Antiqua"/>
          <w:szCs w:val="24"/>
          <w:lang w:val="es-PR"/>
        </w:rPr>
        <w:t>í</w:t>
      </w:r>
      <w:r w:rsidRPr="007B4FC6">
        <w:rPr>
          <w:rFonts w:ascii="Book Antiqua" w:hAnsi="Book Antiqua"/>
          <w:szCs w:val="24"/>
          <w:lang w:val="es-PR"/>
        </w:rPr>
        <w:t>odo inmediatamente previo a un evento electoral. En tales circunstancias, la falta de una determinación final antes de la celebración de la votación puede provocar que la controversia se torne académica una vez concluido el evento electoral, generando</w:t>
      </w:r>
      <w:r w:rsidR="005C776F">
        <w:rPr>
          <w:rFonts w:ascii="Book Antiqua" w:hAnsi="Book Antiqua"/>
          <w:szCs w:val="24"/>
          <w:lang w:val="es-PR"/>
        </w:rPr>
        <w:t>, a su vez,</w:t>
      </w:r>
      <w:r w:rsidRPr="007B4FC6">
        <w:rPr>
          <w:rFonts w:ascii="Book Antiqua" w:hAnsi="Book Antiqua"/>
          <w:szCs w:val="24"/>
          <w:lang w:val="es-PR"/>
        </w:rPr>
        <w:t xml:space="preserve"> incertidumbre en la administración del proceso.</w:t>
      </w:r>
    </w:p>
    <w:p w14:paraId="6D1DC79E" w14:textId="77777777" w:rsidR="007B4FC6" w:rsidRPr="007B4FC6" w:rsidRDefault="007B4FC6" w:rsidP="0029376F">
      <w:pPr>
        <w:ind w:firstLine="708"/>
        <w:contextualSpacing/>
        <w:jc w:val="both"/>
        <w:rPr>
          <w:rFonts w:ascii="Book Antiqua" w:hAnsi="Book Antiqua"/>
          <w:szCs w:val="24"/>
          <w:lang w:val="es-PR"/>
        </w:rPr>
      </w:pPr>
    </w:p>
    <w:p w14:paraId="4E8E5C72" w14:textId="3DF2DF90" w:rsidR="007B4FC6" w:rsidRDefault="00A153BF" w:rsidP="0029376F">
      <w:pPr>
        <w:ind w:firstLine="708"/>
        <w:contextualSpacing/>
        <w:jc w:val="both"/>
        <w:rPr>
          <w:rFonts w:ascii="Book Antiqua" w:hAnsi="Book Antiqua"/>
          <w:szCs w:val="24"/>
          <w:lang w:val="es-PR"/>
        </w:rPr>
      </w:pPr>
      <w:r>
        <w:rPr>
          <w:rFonts w:ascii="Book Antiqua" w:hAnsi="Book Antiqua"/>
          <w:szCs w:val="24"/>
          <w:lang w:val="es-PR"/>
        </w:rPr>
        <w:t xml:space="preserve">Cónsono con </w:t>
      </w:r>
      <w:r w:rsidR="007B4FC6" w:rsidRPr="007B4FC6">
        <w:rPr>
          <w:rFonts w:ascii="Book Antiqua" w:hAnsi="Book Antiqua"/>
          <w:szCs w:val="24"/>
          <w:lang w:val="es-PR"/>
        </w:rPr>
        <w:t>lo anterior, la medida propone establecer una excepción para los casos en que la apelación se presente dentro de los treinta (30) días previos a una votación. Bajo este escenario, la decisión del Presidente de la Comisión Local permanecería vigente y sería vinculante hasta tanto la Comisión Estatal de Elecciones emita una resolución final sobre la apelación presentada.</w:t>
      </w:r>
    </w:p>
    <w:p w14:paraId="09ECC3A5" w14:textId="77777777" w:rsidR="007B4FC6" w:rsidRPr="007B4FC6" w:rsidRDefault="007B4FC6" w:rsidP="0029376F">
      <w:pPr>
        <w:ind w:firstLine="708"/>
        <w:contextualSpacing/>
        <w:jc w:val="both"/>
        <w:rPr>
          <w:rFonts w:ascii="Book Antiqua" w:hAnsi="Book Antiqua"/>
          <w:szCs w:val="24"/>
          <w:lang w:val="es-PR"/>
        </w:rPr>
      </w:pPr>
    </w:p>
    <w:p w14:paraId="467D5AF4" w14:textId="67B825C4" w:rsidR="007B4FC6" w:rsidRP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t>A juicio de esta Comisión, la enmienda propuesta aporta mayor claridad normativa al marco procesal establecido en el Código Electoral, particularmente en lo relacionado con la administración de controversias durante el per</w:t>
      </w:r>
      <w:r w:rsidR="00A153BF">
        <w:rPr>
          <w:rFonts w:ascii="Book Antiqua" w:hAnsi="Book Antiqua"/>
          <w:szCs w:val="24"/>
          <w:lang w:val="es-PR"/>
        </w:rPr>
        <w:t>í</w:t>
      </w:r>
      <w:r w:rsidRPr="007B4FC6">
        <w:rPr>
          <w:rFonts w:ascii="Book Antiqua" w:hAnsi="Book Antiqua"/>
          <w:szCs w:val="24"/>
          <w:lang w:val="es-PR"/>
        </w:rPr>
        <w:t>odo crítico previo a un evento electoral. De esta forma, se promueve mayor estabilidad administrativa en la conducción del proceso electoral sin menoscabar el derecho de las partes a solicitar la revisión de las decisiones ante la Comisión Estatal de Elecciones.</w:t>
      </w:r>
    </w:p>
    <w:p w14:paraId="14B26203" w14:textId="77777777" w:rsidR="00D723FE" w:rsidRPr="007B4FC6" w:rsidRDefault="00D723FE" w:rsidP="0029376F">
      <w:pPr>
        <w:ind w:firstLine="708"/>
        <w:contextualSpacing/>
        <w:jc w:val="both"/>
        <w:rPr>
          <w:rFonts w:ascii="Book Antiqua" w:hAnsi="Book Antiqua"/>
          <w:szCs w:val="24"/>
          <w:lang w:val="es-PR"/>
        </w:rPr>
      </w:pPr>
    </w:p>
    <w:p w14:paraId="1A66C750" w14:textId="77777777" w:rsidR="00D723FE" w:rsidRPr="003052D8" w:rsidRDefault="00D723FE" w:rsidP="0029376F">
      <w:pPr>
        <w:contextualSpacing/>
        <w:jc w:val="center"/>
        <w:rPr>
          <w:rFonts w:ascii="Book Antiqua" w:hAnsi="Book Antiqua"/>
          <w:b/>
          <w:bCs/>
          <w:szCs w:val="24"/>
          <w:lang w:val="es-ES"/>
        </w:rPr>
      </w:pPr>
      <w:r w:rsidRPr="003052D8">
        <w:rPr>
          <w:rFonts w:ascii="Book Antiqua" w:hAnsi="Book Antiqua"/>
          <w:b/>
          <w:bCs/>
          <w:szCs w:val="24"/>
          <w:lang w:val="es-ES"/>
        </w:rPr>
        <w:t>ALCANCE DEL INFORME</w:t>
      </w:r>
    </w:p>
    <w:p w14:paraId="73F900B5" w14:textId="77777777" w:rsidR="00D723FE" w:rsidRPr="003052D8" w:rsidRDefault="00D723FE" w:rsidP="0029376F">
      <w:pPr>
        <w:ind w:firstLine="708"/>
        <w:contextualSpacing/>
        <w:jc w:val="both"/>
        <w:rPr>
          <w:rFonts w:ascii="Book Antiqua" w:hAnsi="Book Antiqua"/>
          <w:szCs w:val="24"/>
          <w:lang w:val="es-ES"/>
        </w:rPr>
      </w:pPr>
    </w:p>
    <w:p w14:paraId="1E197A99" w14:textId="77777777" w:rsid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t>Para el estudio y evaluación del Proyecto de la Cámara 209, la Comisión de Gobierno de la Cámara de Representantes solicitó comentarios y ponencias a las siguientes entidades:</w:t>
      </w:r>
    </w:p>
    <w:p w14:paraId="45F739BE" w14:textId="77777777" w:rsidR="007B4FC6" w:rsidRPr="007B4FC6" w:rsidRDefault="007B4FC6" w:rsidP="0029376F">
      <w:pPr>
        <w:ind w:firstLine="708"/>
        <w:contextualSpacing/>
        <w:jc w:val="both"/>
        <w:rPr>
          <w:rFonts w:ascii="Book Antiqua" w:hAnsi="Book Antiqua"/>
          <w:szCs w:val="24"/>
          <w:lang w:val="es-PR"/>
        </w:rPr>
      </w:pPr>
    </w:p>
    <w:p w14:paraId="52810FC1" w14:textId="77777777" w:rsidR="007B4FC6" w:rsidRPr="007B4FC6" w:rsidRDefault="007B4FC6" w:rsidP="0029376F">
      <w:pPr>
        <w:numPr>
          <w:ilvl w:val="0"/>
          <w:numId w:val="2"/>
        </w:numPr>
        <w:tabs>
          <w:tab w:val="num" w:pos="720"/>
        </w:tabs>
        <w:contextualSpacing/>
        <w:jc w:val="both"/>
        <w:rPr>
          <w:rFonts w:ascii="Book Antiqua" w:hAnsi="Book Antiqua"/>
          <w:szCs w:val="24"/>
          <w:lang w:val="es-PR"/>
        </w:rPr>
      </w:pPr>
      <w:r w:rsidRPr="007B4FC6">
        <w:rPr>
          <w:rFonts w:ascii="Book Antiqua" w:hAnsi="Book Antiqua"/>
          <w:szCs w:val="24"/>
          <w:lang w:val="es-PR"/>
        </w:rPr>
        <w:t>Departamento de Justicia (DJ)</w:t>
      </w:r>
    </w:p>
    <w:p w14:paraId="3C464697" w14:textId="77777777" w:rsidR="007B4FC6" w:rsidRPr="007B4FC6" w:rsidRDefault="007B4FC6" w:rsidP="0029376F">
      <w:pPr>
        <w:numPr>
          <w:ilvl w:val="0"/>
          <w:numId w:val="2"/>
        </w:numPr>
        <w:tabs>
          <w:tab w:val="num" w:pos="720"/>
        </w:tabs>
        <w:contextualSpacing/>
        <w:jc w:val="both"/>
        <w:rPr>
          <w:rFonts w:ascii="Book Antiqua" w:hAnsi="Book Antiqua"/>
          <w:szCs w:val="24"/>
          <w:lang w:val="es-PR"/>
        </w:rPr>
      </w:pPr>
      <w:r w:rsidRPr="007B4FC6">
        <w:rPr>
          <w:rFonts w:ascii="Book Antiqua" w:hAnsi="Book Antiqua"/>
          <w:szCs w:val="24"/>
          <w:lang w:val="es-PR"/>
        </w:rPr>
        <w:t>Comisión Estatal de Elecciones (CEE)</w:t>
      </w:r>
    </w:p>
    <w:p w14:paraId="4DE03B77" w14:textId="77777777" w:rsidR="007B4FC6" w:rsidRDefault="007B4FC6" w:rsidP="0029376F">
      <w:pPr>
        <w:ind w:firstLine="708"/>
        <w:contextualSpacing/>
        <w:jc w:val="both"/>
        <w:rPr>
          <w:rFonts w:ascii="Book Antiqua" w:hAnsi="Book Antiqua"/>
          <w:szCs w:val="24"/>
          <w:lang w:val="es-PR"/>
        </w:rPr>
      </w:pPr>
    </w:p>
    <w:p w14:paraId="6F0EE2C6" w14:textId="5B365177" w:rsidR="007B4FC6" w:rsidRPr="007B4FC6" w:rsidRDefault="007B4FC6" w:rsidP="0029376F">
      <w:pPr>
        <w:ind w:firstLine="708"/>
        <w:contextualSpacing/>
        <w:jc w:val="both"/>
        <w:rPr>
          <w:rFonts w:ascii="Book Antiqua" w:hAnsi="Book Antiqua"/>
          <w:szCs w:val="24"/>
          <w:lang w:val="es-PR"/>
        </w:rPr>
      </w:pPr>
      <w:r w:rsidRPr="007B4FC6">
        <w:rPr>
          <w:rFonts w:ascii="Book Antiqua" w:hAnsi="Book Antiqua"/>
          <w:szCs w:val="24"/>
          <w:lang w:val="es-PR"/>
        </w:rPr>
        <w:lastRenderedPageBreak/>
        <w:t>Al momento de la consideración de este informe, se recibió y consideró el memorial explicativo de la Comisión Estatal de Elecciones (CEE).</w:t>
      </w:r>
    </w:p>
    <w:p w14:paraId="7B0D3102" w14:textId="77777777" w:rsidR="00ED3AA4" w:rsidRDefault="00ED3AA4" w:rsidP="00ED3AA4">
      <w:pPr>
        <w:contextualSpacing/>
        <w:rPr>
          <w:rFonts w:ascii="Book Antiqua" w:hAnsi="Book Antiqua"/>
          <w:b/>
          <w:bCs/>
          <w:szCs w:val="24"/>
          <w:lang w:val="es-ES"/>
        </w:rPr>
      </w:pPr>
    </w:p>
    <w:p w14:paraId="26F6166B" w14:textId="1A16E2F3" w:rsidR="00D723FE" w:rsidRPr="00011C78" w:rsidRDefault="007B4FC6" w:rsidP="00ED3AA4">
      <w:pPr>
        <w:contextualSpacing/>
        <w:jc w:val="center"/>
        <w:rPr>
          <w:rFonts w:ascii="Book Antiqua" w:hAnsi="Book Antiqua"/>
          <w:b/>
          <w:bCs/>
          <w:szCs w:val="24"/>
          <w:lang w:val="es-PR"/>
        </w:rPr>
      </w:pPr>
      <w:r>
        <w:rPr>
          <w:rFonts w:ascii="Book Antiqua" w:hAnsi="Book Antiqua"/>
          <w:b/>
          <w:bCs/>
          <w:szCs w:val="24"/>
          <w:lang w:val="es-PR"/>
        </w:rPr>
        <w:t>Comisión Estatal de Elecciones</w:t>
      </w:r>
    </w:p>
    <w:p w14:paraId="49C6E0C9" w14:textId="77777777" w:rsidR="00D723FE" w:rsidRDefault="00D723FE" w:rsidP="0029376F">
      <w:pPr>
        <w:ind w:firstLine="708"/>
        <w:contextualSpacing/>
        <w:jc w:val="both"/>
        <w:rPr>
          <w:rFonts w:ascii="Book Antiqua" w:hAnsi="Book Antiqua"/>
          <w:szCs w:val="24"/>
          <w:lang w:val="es-PR"/>
        </w:rPr>
      </w:pPr>
    </w:p>
    <w:p w14:paraId="0826B901" w14:textId="74158068" w:rsidR="00A109B7" w:rsidRDefault="00A109B7" w:rsidP="0029376F">
      <w:pPr>
        <w:ind w:firstLine="708"/>
        <w:contextualSpacing/>
        <w:jc w:val="both"/>
        <w:rPr>
          <w:rFonts w:ascii="Book Antiqua" w:hAnsi="Book Antiqua"/>
          <w:szCs w:val="24"/>
          <w:lang w:val="es-PR"/>
        </w:rPr>
      </w:pPr>
      <w:r w:rsidRPr="00A109B7">
        <w:rPr>
          <w:rFonts w:ascii="Book Antiqua" w:hAnsi="Book Antiqua"/>
          <w:szCs w:val="24"/>
          <w:lang w:val="es-PR"/>
        </w:rPr>
        <w:t xml:space="preserve">La </w:t>
      </w:r>
      <w:r>
        <w:rPr>
          <w:rFonts w:ascii="Book Antiqua" w:hAnsi="Book Antiqua"/>
          <w:szCs w:val="24"/>
          <w:lang w:val="es-PR"/>
        </w:rPr>
        <w:t>CEE</w:t>
      </w:r>
      <w:r w:rsidRPr="00A109B7">
        <w:rPr>
          <w:rFonts w:ascii="Book Antiqua" w:hAnsi="Book Antiqua"/>
          <w:szCs w:val="24"/>
          <w:lang w:val="es-PR"/>
        </w:rPr>
        <w:t xml:space="preserve"> expresó que la medida atiende una situación que puede surgir cuando las apelaciones de decisiones de las Comisiones Locales no se resuelven antes de la celebración de un evento electoral. En ese contexto, explicó que </w:t>
      </w:r>
      <w:r w:rsidR="00A153BF">
        <w:rPr>
          <w:rFonts w:ascii="Book Antiqua" w:hAnsi="Book Antiqua"/>
          <w:szCs w:val="24"/>
          <w:lang w:val="es-PR"/>
        </w:rPr>
        <w:t xml:space="preserve">el estado de derecho </w:t>
      </w:r>
      <w:r w:rsidRPr="00A109B7">
        <w:rPr>
          <w:rFonts w:ascii="Book Antiqua" w:hAnsi="Book Antiqua"/>
          <w:szCs w:val="24"/>
          <w:lang w:val="es-PR"/>
        </w:rPr>
        <w:t xml:space="preserve">vigente </w:t>
      </w:r>
      <w:r w:rsidR="00A153BF">
        <w:rPr>
          <w:rFonts w:ascii="Book Antiqua" w:hAnsi="Book Antiqua"/>
          <w:szCs w:val="24"/>
          <w:lang w:val="es-PR"/>
        </w:rPr>
        <w:t xml:space="preserve">que establece </w:t>
      </w:r>
      <w:r w:rsidRPr="00A109B7">
        <w:rPr>
          <w:rFonts w:ascii="Book Antiqua" w:hAnsi="Book Antiqua"/>
          <w:szCs w:val="24"/>
          <w:lang w:val="es-PR"/>
        </w:rPr>
        <w:t xml:space="preserve">el Código </w:t>
      </w:r>
      <w:proofErr w:type="gramStart"/>
      <w:r w:rsidRPr="00A109B7">
        <w:rPr>
          <w:rFonts w:ascii="Book Antiqua" w:hAnsi="Book Antiqua"/>
          <w:szCs w:val="24"/>
          <w:lang w:val="es-PR"/>
        </w:rPr>
        <w:t>Electoral</w:t>
      </w:r>
      <w:r w:rsidR="00A153BF">
        <w:rPr>
          <w:rFonts w:ascii="Book Antiqua" w:hAnsi="Book Antiqua"/>
          <w:szCs w:val="24"/>
          <w:lang w:val="es-PR"/>
        </w:rPr>
        <w:t>,</w:t>
      </w:r>
      <w:proofErr w:type="gramEnd"/>
      <w:r w:rsidR="00A153BF">
        <w:rPr>
          <w:rFonts w:ascii="Book Antiqua" w:hAnsi="Book Antiqua"/>
          <w:szCs w:val="24"/>
          <w:lang w:val="es-PR"/>
        </w:rPr>
        <w:t xml:space="preserve"> </w:t>
      </w:r>
      <w:r w:rsidRPr="00A109B7">
        <w:rPr>
          <w:rFonts w:ascii="Book Antiqua" w:hAnsi="Book Antiqua"/>
          <w:szCs w:val="24"/>
          <w:lang w:val="es-PR"/>
        </w:rPr>
        <w:t>dispone que una decisión apelada queda sin efecto mientras se atiende la controversia, lo cual puede generar incertidumbre administrativa cuando dichas apelaciones se presentan en los días inmediatamente previos a una votación.</w:t>
      </w:r>
    </w:p>
    <w:p w14:paraId="13D85335" w14:textId="77777777" w:rsidR="00A109B7" w:rsidRPr="00A109B7" w:rsidRDefault="00A109B7" w:rsidP="0029376F">
      <w:pPr>
        <w:ind w:firstLine="708"/>
        <w:contextualSpacing/>
        <w:jc w:val="both"/>
        <w:rPr>
          <w:rFonts w:ascii="Book Antiqua" w:hAnsi="Book Antiqua"/>
          <w:szCs w:val="24"/>
          <w:lang w:val="es-PR"/>
        </w:rPr>
      </w:pPr>
    </w:p>
    <w:p w14:paraId="509400C0" w14:textId="355C6A28" w:rsidR="00A109B7" w:rsidRDefault="00A109B7" w:rsidP="0029376F">
      <w:pPr>
        <w:ind w:firstLine="708"/>
        <w:contextualSpacing/>
        <w:jc w:val="both"/>
        <w:rPr>
          <w:rFonts w:ascii="Book Antiqua" w:hAnsi="Book Antiqua"/>
          <w:szCs w:val="24"/>
          <w:lang w:val="es-PR"/>
        </w:rPr>
      </w:pPr>
      <w:r w:rsidRPr="00A109B7">
        <w:rPr>
          <w:rFonts w:ascii="Book Antiqua" w:hAnsi="Book Antiqua"/>
          <w:szCs w:val="24"/>
          <w:lang w:val="es-PR"/>
        </w:rPr>
        <w:t>La CEE indicó que los días anteriores a un evento electoral constituyen un per</w:t>
      </w:r>
      <w:r>
        <w:rPr>
          <w:rFonts w:ascii="Book Antiqua" w:hAnsi="Book Antiqua"/>
          <w:szCs w:val="24"/>
          <w:lang w:val="es-PR"/>
        </w:rPr>
        <w:t>í</w:t>
      </w:r>
      <w:r w:rsidRPr="00A109B7">
        <w:rPr>
          <w:rFonts w:ascii="Book Antiqua" w:hAnsi="Book Antiqua"/>
          <w:szCs w:val="24"/>
          <w:lang w:val="es-PR"/>
        </w:rPr>
        <w:t>odo particularmente sensitivo dentro de la administración del proceso electoral, por lo que los asuntos que surjan durante ese per</w:t>
      </w:r>
      <w:r w:rsidR="00A153BF">
        <w:rPr>
          <w:rFonts w:ascii="Book Antiqua" w:hAnsi="Book Antiqua"/>
          <w:szCs w:val="24"/>
          <w:lang w:val="es-PR"/>
        </w:rPr>
        <w:t>í</w:t>
      </w:r>
      <w:r w:rsidRPr="00A109B7">
        <w:rPr>
          <w:rFonts w:ascii="Book Antiqua" w:hAnsi="Book Antiqua"/>
          <w:szCs w:val="24"/>
          <w:lang w:val="es-PR"/>
        </w:rPr>
        <w:t>odo deben atenderse de forma ágil y con reglas claras que permitan la continuidad de los trabajos electorales.</w:t>
      </w:r>
    </w:p>
    <w:p w14:paraId="3BCCB7D4" w14:textId="77777777" w:rsidR="00A109B7" w:rsidRPr="00A109B7" w:rsidRDefault="00A109B7" w:rsidP="0029376F">
      <w:pPr>
        <w:ind w:firstLine="708"/>
        <w:contextualSpacing/>
        <w:jc w:val="both"/>
        <w:rPr>
          <w:rFonts w:ascii="Book Antiqua" w:hAnsi="Book Antiqua"/>
          <w:szCs w:val="24"/>
          <w:lang w:val="es-PR"/>
        </w:rPr>
      </w:pPr>
    </w:p>
    <w:p w14:paraId="58EDB817" w14:textId="77777777" w:rsidR="00A109B7" w:rsidRDefault="00A109B7" w:rsidP="0029376F">
      <w:pPr>
        <w:ind w:firstLine="708"/>
        <w:contextualSpacing/>
        <w:jc w:val="both"/>
        <w:rPr>
          <w:rFonts w:ascii="Book Antiqua" w:hAnsi="Book Antiqua"/>
          <w:szCs w:val="24"/>
          <w:lang w:val="es-PR"/>
        </w:rPr>
      </w:pPr>
      <w:r w:rsidRPr="00A109B7">
        <w:rPr>
          <w:rFonts w:ascii="Book Antiqua" w:hAnsi="Book Antiqua"/>
          <w:szCs w:val="24"/>
          <w:lang w:val="es-PR"/>
        </w:rPr>
        <w:t>Asimismo, la Comisión destacó que la Asamblea Legislativa cuenta con la facultad constitucional para legislar en materia electoral y modificar las disposiciones contenidas en el Código Electoral de Puerto Rico, siempre que dichas modificaciones se encaminen a fortalecer la estabilidad, el orden y la integridad del proceso electoral.</w:t>
      </w:r>
    </w:p>
    <w:p w14:paraId="365ADE83" w14:textId="77777777" w:rsidR="00A109B7" w:rsidRPr="00A109B7" w:rsidRDefault="00A109B7" w:rsidP="0029376F">
      <w:pPr>
        <w:ind w:firstLine="708"/>
        <w:contextualSpacing/>
        <w:jc w:val="both"/>
        <w:rPr>
          <w:rFonts w:ascii="Book Antiqua" w:hAnsi="Book Antiqua"/>
          <w:szCs w:val="24"/>
          <w:lang w:val="es-PR"/>
        </w:rPr>
      </w:pPr>
    </w:p>
    <w:p w14:paraId="32BC2B3D" w14:textId="480E1870" w:rsidR="00A109B7" w:rsidRDefault="009B4460" w:rsidP="0029376F">
      <w:pPr>
        <w:ind w:firstLine="708"/>
        <w:contextualSpacing/>
        <w:jc w:val="both"/>
        <w:rPr>
          <w:rFonts w:ascii="Book Antiqua" w:hAnsi="Book Antiqua"/>
          <w:szCs w:val="24"/>
          <w:lang w:val="es-PR"/>
        </w:rPr>
      </w:pPr>
      <w:r>
        <w:rPr>
          <w:rFonts w:ascii="Book Antiqua" w:hAnsi="Book Antiqua"/>
          <w:szCs w:val="24"/>
          <w:lang w:val="es-PR"/>
        </w:rPr>
        <w:t>Desde esa perspectiva</w:t>
      </w:r>
      <w:r w:rsidR="00A109B7" w:rsidRPr="00A109B7">
        <w:rPr>
          <w:rFonts w:ascii="Book Antiqua" w:hAnsi="Book Antiqua"/>
          <w:szCs w:val="24"/>
          <w:lang w:val="es-PR"/>
        </w:rPr>
        <w:t>, la CEE señaló que la medida establece una distinción razonable entre las apelaciones presentadas dentro de los treinta (30) días previos a un evento electoral y aquellas presentadas fuera de dicho per</w:t>
      </w:r>
      <w:r w:rsidR="00A109B7">
        <w:rPr>
          <w:rFonts w:ascii="Book Antiqua" w:hAnsi="Book Antiqua"/>
          <w:szCs w:val="24"/>
          <w:lang w:val="es-PR"/>
        </w:rPr>
        <w:t>í</w:t>
      </w:r>
      <w:r w:rsidR="00A109B7" w:rsidRPr="00A109B7">
        <w:rPr>
          <w:rFonts w:ascii="Book Antiqua" w:hAnsi="Book Antiqua"/>
          <w:szCs w:val="24"/>
          <w:lang w:val="es-PR"/>
        </w:rPr>
        <w:t>odo. Según expuso la Comisión, permitir que la decisión del Presidente de la Comisión Local permanezca vigente hasta que la Comisión Estatal resuelva la apelación contribuye a evitar vacíos administrativos durante el per</w:t>
      </w:r>
      <w:r>
        <w:rPr>
          <w:rFonts w:ascii="Book Antiqua" w:hAnsi="Book Antiqua"/>
          <w:szCs w:val="24"/>
          <w:lang w:val="es-PR"/>
        </w:rPr>
        <w:t>í</w:t>
      </w:r>
      <w:r w:rsidR="00A109B7" w:rsidRPr="00A109B7">
        <w:rPr>
          <w:rFonts w:ascii="Book Antiqua" w:hAnsi="Book Antiqua"/>
          <w:szCs w:val="24"/>
          <w:lang w:val="es-PR"/>
        </w:rPr>
        <w:t>odo crítico previo a una votación.</w:t>
      </w:r>
    </w:p>
    <w:p w14:paraId="2C2E18DC" w14:textId="77777777" w:rsidR="00A109B7" w:rsidRPr="00A109B7" w:rsidRDefault="00A109B7" w:rsidP="0029376F">
      <w:pPr>
        <w:ind w:firstLine="708"/>
        <w:contextualSpacing/>
        <w:jc w:val="both"/>
        <w:rPr>
          <w:rFonts w:ascii="Book Antiqua" w:hAnsi="Book Antiqua"/>
          <w:szCs w:val="24"/>
          <w:lang w:val="es-PR"/>
        </w:rPr>
      </w:pPr>
    </w:p>
    <w:p w14:paraId="77D397AD" w14:textId="1C3E2244" w:rsidR="00A109B7" w:rsidRDefault="00A153BF" w:rsidP="0029376F">
      <w:pPr>
        <w:ind w:firstLine="708"/>
        <w:contextualSpacing/>
        <w:jc w:val="both"/>
        <w:rPr>
          <w:rFonts w:ascii="Book Antiqua" w:hAnsi="Book Antiqua"/>
          <w:szCs w:val="24"/>
          <w:lang w:val="es-PR"/>
        </w:rPr>
      </w:pPr>
      <w:r>
        <w:rPr>
          <w:rFonts w:ascii="Book Antiqua" w:hAnsi="Book Antiqua"/>
          <w:szCs w:val="24"/>
          <w:lang w:val="es-PR"/>
        </w:rPr>
        <w:t>Ante ello</w:t>
      </w:r>
      <w:r w:rsidR="00A109B7" w:rsidRPr="00A109B7">
        <w:rPr>
          <w:rFonts w:ascii="Book Antiqua" w:hAnsi="Book Antiqua"/>
          <w:szCs w:val="24"/>
          <w:lang w:val="es-PR"/>
        </w:rPr>
        <w:t>, la Comisión Estatal de Elecciones concluyó que no tiene objeción a la enmienda propuesta, al entender que la misma es cónsona con los principios de estabilidad y orden que deben regir la administración del proceso electoral.</w:t>
      </w:r>
    </w:p>
    <w:p w14:paraId="1ACCD741" w14:textId="77777777" w:rsidR="00ED3AA4" w:rsidRDefault="00ED3AA4" w:rsidP="00ED3AA4">
      <w:pPr>
        <w:contextualSpacing/>
        <w:jc w:val="center"/>
        <w:rPr>
          <w:rFonts w:ascii="Book Antiqua" w:hAnsi="Book Antiqua"/>
          <w:szCs w:val="24"/>
          <w:lang w:val="es-PR"/>
        </w:rPr>
      </w:pPr>
    </w:p>
    <w:p w14:paraId="214B1083" w14:textId="222E3DDD" w:rsidR="00A109B7" w:rsidRDefault="00A109B7" w:rsidP="00380152">
      <w:pPr>
        <w:contextualSpacing/>
        <w:jc w:val="center"/>
        <w:rPr>
          <w:rFonts w:ascii="Book Antiqua" w:hAnsi="Book Antiqua"/>
          <w:b/>
          <w:bCs/>
          <w:szCs w:val="24"/>
          <w:lang w:val="es-PR"/>
        </w:rPr>
      </w:pPr>
      <w:r w:rsidRPr="00A109B7">
        <w:rPr>
          <w:rFonts w:ascii="Book Antiqua" w:hAnsi="Book Antiqua"/>
          <w:b/>
          <w:bCs/>
          <w:szCs w:val="24"/>
          <w:lang w:val="es-PR"/>
        </w:rPr>
        <w:t>IMPACTO FISCAL</w:t>
      </w:r>
    </w:p>
    <w:p w14:paraId="47259A3D" w14:textId="77777777" w:rsidR="00380152" w:rsidRPr="00A109B7" w:rsidRDefault="00380152" w:rsidP="00380152">
      <w:pPr>
        <w:contextualSpacing/>
        <w:jc w:val="center"/>
        <w:rPr>
          <w:rFonts w:ascii="Book Antiqua" w:hAnsi="Book Antiqua"/>
          <w:b/>
          <w:bCs/>
          <w:szCs w:val="24"/>
          <w:lang w:val="es-PR"/>
        </w:rPr>
      </w:pPr>
    </w:p>
    <w:p w14:paraId="0CEB09B0" w14:textId="77777777" w:rsidR="00A109B7" w:rsidRPr="00A109B7" w:rsidRDefault="00A109B7" w:rsidP="0029376F">
      <w:pPr>
        <w:ind w:firstLine="708"/>
        <w:contextualSpacing/>
        <w:jc w:val="both"/>
        <w:rPr>
          <w:rFonts w:ascii="Book Antiqua" w:hAnsi="Book Antiqua"/>
          <w:szCs w:val="24"/>
          <w:lang w:val="es-PR"/>
        </w:rPr>
      </w:pPr>
      <w:r w:rsidRPr="00A109B7">
        <w:rPr>
          <w:rFonts w:ascii="Book Antiqua" w:hAnsi="Book Antiqua"/>
          <w:szCs w:val="24"/>
          <w:lang w:val="es-PR"/>
        </w:rPr>
        <w:t>La Comisión de Gobierno no identificó que el Proyecto de la Cámara 209 tenga impacto fiscal sobre el Fondo General del Gobierno de Puerto Rico, toda vez que la medida se limita a establecer una norma procesal relacionada con el efecto de las apelaciones dentro de la estructura administrativa de la Comisión Estatal de Elecciones.</w:t>
      </w:r>
    </w:p>
    <w:p w14:paraId="19FD6A54" w14:textId="407F7D81" w:rsidR="00D723FE" w:rsidRPr="00011C78" w:rsidRDefault="00D723FE" w:rsidP="0029376F">
      <w:pPr>
        <w:contextualSpacing/>
        <w:jc w:val="both"/>
        <w:rPr>
          <w:rFonts w:ascii="Book Antiqua" w:hAnsi="Book Antiqua"/>
          <w:szCs w:val="24"/>
          <w:lang w:val="es-PR"/>
        </w:rPr>
      </w:pPr>
    </w:p>
    <w:p w14:paraId="29E4EA6A" w14:textId="77777777" w:rsidR="00D723FE" w:rsidRDefault="00D723FE" w:rsidP="0029376F">
      <w:pPr>
        <w:pStyle w:val="ColorfulList-Accent11"/>
        <w:keepNext/>
        <w:ind w:left="0"/>
        <w:jc w:val="center"/>
        <w:rPr>
          <w:rFonts w:ascii="Book Antiqua" w:hAnsi="Book Antiqua"/>
          <w:b/>
          <w:szCs w:val="24"/>
          <w:lang w:val="es-ES"/>
        </w:rPr>
      </w:pPr>
      <w:r w:rsidRPr="003052D8">
        <w:rPr>
          <w:rFonts w:ascii="Book Antiqua" w:hAnsi="Book Antiqua"/>
          <w:b/>
          <w:szCs w:val="24"/>
          <w:lang w:val="es-ES"/>
        </w:rPr>
        <w:lastRenderedPageBreak/>
        <w:t>CONCLUSIÓN</w:t>
      </w:r>
    </w:p>
    <w:p w14:paraId="4E01AC70" w14:textId="77777777" w:rsidR="00D723FE" w:rsidRPr="003052D8" w:rsidRDefault="00D723FE" w:rsidP="0029376F">
      <w:pPr>
        <w:pStyle w:val="ColorfulList-Accent11"/>
        <w:keepNext/>
        <w:ind w:left="0"/>
        <w:jc w:val="center"/>
        <w:rPr>
          <w:rFonts w:ascii="Book Antiqua" w:hAnsi="Book Antiqua"/>
          <w:b/>
          <w:szCs w:val="24"/>
          <w:lang w:val="es-ES"/>
        </w:rPr>
      </w:pPr>
    </w:p>
    <w:p w14:paraId="22BD6AF7" w14:textId="77777777" w:rsidR="009B4460" w:rsidRDefault="009B4460" w:rsidP="0029376F">
      <w:pPr>
        <w:ind w:firstLine="720"/>
        <w:contextualSpacing/>
        <w:jc w:val="both"/>
        <w:rPr>
          <w:rFonts w:ascii="Book Antiqua" w:hAnsi="Book Antiqua"/>
          <w:bCs/>
          <w:szCs w:val="24"/>
          <w:lang w:val="es-PR"/>
        </w:rPr>
      </w:pPr>
      <w:r w:rsidRPr="009B4460">
        <w:rPr>
          <w:rFonts w:ascii="Book Antiqua" w:hAnsi="Book Antiqua"/>
          <w:bCs/>
          <w:szCs w:val="24"/>
          <w:lang w:val="es-PR"/>
        </w:rPr>
        <w:t>La Comisión de Gobierno concluye que el Proyecto de la Cámara 209 atiende una situación práctica dentro del funcionamiento del sistema electoral al establecer mayor claridad sobre el efecto de las apelaciones presentadas contra decisiones de las Comisiones Locales durante el periodo previo a una votación.</w:t>
      </w:r>
    </w:p>
    <w:p w14:paraId="2A635536" w14:textId="77777777" w:rsidR="009B4460" w:rsidRPr="009B4460" w:rsidRDefault="009B4460" w:rsidP="0029376F">
      <w:pPr>
        <w:ind w:firstLine="720"/>
        <w:contextualSpacing/>
        <w:jc w:val="both"/>
        <w:rPr>
          <w:rFonts w:ascii="Book Antiqua" w:hAnsi="Book Antiqua"/>
          <w:bCs/>
          <w:szCs w:val="24"/>
          <w:lang w:val="es-PR"/>
        </w:rPr>
      </w:pPr>
    </w:p>
    <w:p w14:paraId="57BD3E9A" w14:textId="77777777" w:rsidR="009B4460" w:rsidRPr="009B4460" w:rsidRDefault="009B4460" w:rsidP="0029376F">
      <w:pPr>
        <w:ind w:firstLine="720"/>
        <w:contextualSpacing/>
        <w:jc w:val="both"/>
        <w:rPr>
          <w:rFonts w:ascii="Book Antiqua" w:hAnsi="Book Antiqua"/>
          <w:bCs/>
          <w:szCs w:val="24"/>
          <w:lang w:val="es-PR"/>
        </w:rPr>
      </w:pPr>
      <w:r w:rsidRPr="009B4460">
        <w:rPr>
          <w:rFonts w:ascii="Book Antiqua" w:hAnsi="Book Antiqua"/>
          <w:bCs/>
          <w:szCs w:val="24"/>
          <w:lang w:val="es-PR"/>
        </w:rPr>
        <w:t>La medida persigue evitar que las determinaciones administrativas queden en un estado de incertidumbre durante los días críticos antes de un evento electoral, asegurando que dichas decisiones mantengan su vigencia hasta tanto la Comisión Estatal de Elecciones resuelva las apelaciones correspondientes. De esta manera, se promueve la estabilidad y el orden en la administración del proceso electoral.</w:t>
      </w:r>
    </w:p>
    <w:p w14:paraId="527072D4" w14:textId="77777777" w:rsidR="00A109B7" w:rsidRPr="00A109B7" w:rsidRDefault="00A109B7" w:rsidP="0029376F">
      <w:pPr>
        <w:ind w:firstLine="720"/>
        <w:contextualSpacing/>
        <w:jc w:val="both"/>
        <w:rPr>
          <w:rFonts w:ascii="Book Antiqua" w:hAnsi="Book Antiqua"/>
          <w:bCs/>
          <w:szCs w:val="24"/>
          <w:lang w:val="es-PR"/>
        </w:rPr>
      </w:pPr>
    </w:p>
    <w:p w14:paraId="067C4B1C" w14:textId="77777777" w:rsidR="00A109B7" w:rsidRPr="00A109B7" w:rsidRDefault="00A109B7" w:rsidP="0029376F">
      <w:pPr>
        <w:ind w:firstLine="720"/>
        <w:contextualSpacing/>
        <w:jc w:val="both"/>
        <w:rPr>
          <w:rFonts w:ascii="Book Antiqua" w:hAnsi="Book Antiqua"/>
          <w:bCs/>
          <w:szCs w:val="24"/>
          <w:lang w:val="es-PR"/>
        </w:rPr>
      </w:pPr>
      <w:r w:rsidRPr="00A109B7">
        <w:rPr>
          <w:rFonts w:ascii="Book Antiqua" w:hAnsi="Book Antiqua"/>
          <w:bCs/>
          <w:szCs w:val="24"/>
          <w:lang w:val="es-PR"/>
        </w:rPr>
        <w:t xml:space="preserve">POR TODO LO ANTES EXPUESTO, la Comisión de Gobierno de la Cámara de Representantes de Puerto Rico, previo estudio y consideración, presenta ante este Cuerpo el </w:t>
      </w:r>
      <w:r w:rsidRPr="00A109B7">
        <w:rPr>
          <w:rFonts w:ascii="Book Antiqua" w:hAnsi="Book Antiqua"/>
          <w:szCs w:val="24"/>
          <w:lang w:val="es-PR"/>
        </w:rPr>
        <w:t>Informe Positivo sobre el Proyecto de la Cámara 209, con las enmiendas contenidas en el entirillado electrónico que se acompaña</w:t>
      </w:r>
      <w:r w:rsidRPr="00A109B7">
        <w:rPr>
          <w:rFonts w:ascii="Book Antiqua" w:hAnsi="Book Antiqua"/>
          <w:bCs/>
          <w:szCs w:val="24"/>
          <w:lang w:val="es-PR"/>
        </w:rPr>
        <w:t>, recomendando su aprobación.</w:t>
      </w:r>
    </w:p>
    <w:p w14:paraId="4AB88811" w14:textId="77777777" w:rsidR="007B4FC6" w:rsidRDefault="007B4FC6" w:rsidP="0029376F">
      <w:pPr>
        <w:contextualSpacing/>
        <w:jc w:val="both"/>
        <w:rPr>
          <w:rFonts w:ascii="Book Antiqua" w:hAnsi="Book Antiqua"/>
          <w:szCs w:val="24"/>
          <w:lang w:val="es-ES"/>
        </w:rPr>
      </w:pPr>
    </w:p>
    <w:p w14:paraId="4E9C9640" w14:textId="77777777" w:rsidR="00ED3AA4" w:rsidRDefault="00ED3AA4" w:rsidP="0029376F">
      <w:pPr>
        <w:contextualSpacing/>
        <w:jc w:val="both"/>
        <w:rPr>
          <w:rFonts w:ascii="Book Antiqua" w:hAnsi="Book Antiqua"/>
          <w:szCs w:val="24"/>
          <w:lang w:val="es-ES"/>
        </w:rPr>
      </w:pPr>
    </w:p>
    <w:p w14:paraId="1C848A06" w14:textId="13C6BFCB" w:rsidR="00D723FE" w:rsidRPr="003052D8" w:rsidRDefault="00D723FE" w:rsidP="0029376F">
      <w:pPr>
        <w:contextualSpacing/>
        <w:jc w:val="both"/>
        <w:rPr>
          <w:rFonts w:ascii="Book Antiqua" w:hAnsi="Book Antiqua"/>
          <w:szCs w:val="24"/>
          <w:lang w:val="es-ES"/>
        </w:rPr>
      </w:pPr>
      <w:r w:rsidRPr="003052D8">
        <w:rPr>
          <w:rFonts w:ascii="Book Antiqua" w:hAnsi="Book Antiqua"/>
          <w:szCs w:val="24"/>
          <w:lang w:val="es-ES"/>
        </w:rPr>
        <w:t>Respetuosamente sometido,</w:t>
      </w:r>
    </w:p>
    <w:p w14:paraId="23AFD116" w14:textId="77777777" w:rsidR="00D723FE" w:rsidRDefault="00D723FE" w:rsidP="0029376F">
      <w:pPr>
        <w:contextualSpacing/>
        <w:jc w:val="both"/>
        <w:rPr>
          <w:rFonts w:ascii="Book Antiqua" w:hAnsi="Book Antiqua"/>
          <w:szCs w:val="24"/>
          <w:lang w:val="es-ES"/>
        </w:rPr>
      </w:pPr>
    </w:p>
    <w:p w14:paraId="558A4DD3" w14:textId="77777777" w:rsidR="00DC6B55" w:rsidRDefault="00DC6B55" w:rsidP="0029376F">
      <w:pPr>
        <w:contextualSpacing/>
        <w:jc w:val="both"/>
        <w:rPr>
          <w:rFonts w:ascii="Book Antiqua" w:hAnsi="Book Antiqua"/>
          <w:szCs w:val="24"/>
          <w:lang w:val="es-ES"/>
        </w:rPr>
      </w:pPr>
    </w:p>
    <w:p w14:paraId="4A41EF0F" w14:textId="77777777" w:rsidR="00DC6B55" w:rsidRPr="003052D8" w:rsidRDefault="00DC6B55" w:rsidP="0029376F">
      <w:pPr>
        <w:contextualSpacing/>
        <w:jc w:val="both"/>
        <w:rPr>
          <w:rFonts w:ascii="Book Antiqua" w:hAnsi="Book Antiqua"/>
          <w:szCs w:val="24"/>
          <w:lang w:val="es-ES"/>
        </w:rPr>
      </w:pPr>
    </w:p>
    <w:p w14:paraId="2AF508B8" w14:textId="77777777" w:rsidR="00D723FE" w:rsidRPr="003052D8" w:rsidRDefault="00D723FE" w:rsidP="0029376F">
      <w:pPr>
        <w:contextualSpacing/>
        <w:jc w:val="both"/>
        <w:rPr>
          <w:rFonts w:ascii="Book Antiqua" w:hAnsi="Book Antiqua"/>
          <w:szCs w:val="24"/>
          <w:lang w:val="es-ES"/>
        </w:rPr>
      </w:pPr>
    </w:p>
    <w:p w14:paraId="155C3883" w14:textId="77777777" w:rsidR="00D723FE" w:rsidRPr="003052D8" w:rsidRDefault="00D723FE" w:rsidP="0029376F">
      <w:pPr>
        <w:contextualSpacing/>
        <w:jc w:val="both"/>
        <w:rPr>
          <w:rFonts w:ascii="Book Antiqua" w:hAnsi="Book Antiqua"/>
          <w:b/>
          <w:bCs/>
          <w:szCs w:val="24"/>
          <w:lang w:val="es-ES"/>
        </w:rPr>
      </w:pPr>
      <w:r w:rsidRPr="003052D8">
        <w:rPr>
          <w:rFonts w:ascii="Book Antiqua" w:hAnsi="Book Antiqua"/>
          <w:b/>
          <w:bCs/>
          <w:szCs w:val="24"/>
          <w:lang w:val="es-ES"/>
        </w:rPr>
        <w:t>Hon. Víctor L. Parés-Otero</w:t>
      </w:r>
    </w:p>
    <w:p w14:paraId="0DF0BFE0" w14:textId="77777777" w:rsidR="00D723FE" w:rsidRPr="003052D8" w:rsidRDefault="00D723FE" w:rsidP="0029376F">
      <w:pPr>
        <w:contextualSpacing/>
        <w:jc w:val="both"/>
        <w:rPr>
          <w:rFonts w:ascii="Book Antiqua" w:hAnsi="Book Antiqua"/>
          <w:szCs w:val="24"/>
          <w:lang w:val="es-ES"/>
        </w:rPr>
      </w:pPr>
      <w:r w:rsidRPr="003052D8">
        <w:rPr>
          <w:rFonts w:ascii="Book Antiqua" w:hAnsi="Book Antiqua"/>
          <w:szCs w:val="24"/>
          <w:lang w:val="es-ES"/>
        </w:rPr>
        <w:t>Presidente</w:t>
      </w:r>
    </w:p>
    <w:p w14:paraId="67FDB662" w14:textId="77777777" w:rsidR="00D723FE" w:rsidRPr="003052D8" w:rsidRDefault="00D723FE" w:rsidP="0029376F">
      <w:pPr>
        <w:contextualSpacing/>
        <w:jc w:val="both"/>
        <w:rPr>
          <w:rFonts w:ascii="Book Antiqua" w:hAnsi="Book Antiqua"/>
          <w:szCs w:val="24"/>
          <w:lang w:val="es-ES"/>
        </w:rPr>
      </w:pPr>
      <w:r w:rsidRPr="003052D8">
        <w:rPr>
          <w:rFonts w:ascii="Book Antiqua" w:hAnsi="Book Antiqua"/>
          <w:szCs w:val="24"/>
          <w:lang w:val="es-ES"/>
        </w:rPr>
        <w:t>Comisión de Gobierno</w:t>
      </w:r>
    </w:p>
    <w:p w14:paraId="0B4ACEC8" w14:textId="77777777" w:rsidR="00D723FE" w:rsidRPr="003052D8" w:rsidRDefault="00D723FE" w:rsidP="0029376F">
      <w:pPr>
        <w:contextualSpacing/>
        <w:jc w:val="both"/>
        <w:rPr>
          <w:rFonts w:ascii="Book Antiqua" w:hAnsi="Book Antiqua"/>
          <w:szCs w:val="24"/>
          <w:lang w:val="es-PR"/>
        </w:rPr>
      </w:pPr>
      <w:r w:rsidRPr="003052D8">
        <w:rPr>
          <w:rFonts w:ascii="Book Antiqua" w:hAnsi="Book Antiqua"/>
          <w:szCs w:val="24"/>
          <w:lang w:val="es-ES"/>
        </w:rPr>
        <w:t>Cámara de Representantes de Puerto Rico</w:t>
      </w:r>
    </w:p>
    <w:p w14:paraId="55C0C669" w14:textId="77777777" w:rsidR="00D723FE" w:rsidRPr="00D723FE" w:rsidRDefault="00D723FE" w:rsidP="0029376F">
      <w:pPr>
        <w:contextualSpacing/>
        <w:rPr>
          <w:lang w:val="es-PR"/>
        </w:rPr>
      </w:pPr>
    </w:p>
    <w:sectPr w:rsidR="00D723FE" w:rsidRPr="00D723FE" w:rsidSect="00D723FE">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9C014A" w14:textId="77777777" w:rsidR="00DF3C19" w:rsidRDefault="00DF3C19" w:rsidP="00E55AF8">
      <w:r>
        <w:separator/>
      </w:r>
    </w:p>
  </w:endnote>
  <w:endnote w:type="continuationSeparator" w:id="0">
    <w:p w14:paraId="6C2A3310" w14:textId="77777777" w:rsidR="00DF3C19" w:rsidRDefault="00DF3C19" w:rsidP="00E5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8656E" w14:textId="77777777" w:rsidR="00DF3C19" w:rsidRDefault="00DF3C19" w:rsidP="00E55AF8">
      <w:r>
        <w:separator/>
      </w:r>
    </w:p>
  </w:footnote>
  <w:footnote w:type="continuationSeparator" w:id="0">
    <w:p w14:paraId="3B303ABB" w14:textId="77777777" w:rsidR="00DF3C19" w:rsidRDefault="00DF3C19" w:rsidP="00E55A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B87D3" w14:textId="77777777" w:rsidR="00D723FE" w:rsidRPr="00DF3993" w:rsidRDefault="00D723FE" w:rsidP="00DF3993">
    <w:pPr>
      <w:pStyle w:val="Header"/>
      <w:rPr>
        <w:rFonts w:ascii="Book Antiqua" w:hAnsi="Book Antiqua"/>
        <w:b/>
        <w:sz w:val="20"/>
        <w:lang w:val="es-PR"/>
      </w:rPr>
    </w:pPr>
    <w:r w:rsidRPr="00DF3993">
      <w:rPr>
        <w:rFonts w:ascii="Book Antiqua" w:hAnsi="Book Antiqua"/>
        <w:b/>
        <w:sz w:val="20"/>
        <w:lang w:val="es-PR"/>
      </w:rPr>
      <w:t>Comisión de Gobierno</w:t>
    </w:r>
  </w:p>
  <w:p w14:paraId="19C69A33" w14:textId="2B78FD9C" w:rsidR="00D723FE" w:rsidRPr="00DF3993" w:rsidRDefault="00D723FE" w:rsidP="00DF3993">
    <w:pPr>
      <w:pStyle w:val="Header"/>
      <w:pBdr>
        <w:bottom w:val="single" w:sz="8" w:space="1" w:color="auto"/>
      </w:pBdr>
      <w:rPr>
        <w:rFonts w:ascii="Book Antiqua" w:hAnsi="Book Antiqua"/>
        <w:b/>
        <w:noProof/>
        <w:sz w:val="20"/>
        <w:lang w:val="es-PR"/>
      </w:rPr>
    </w:pPr>
    <w:r w:rsidRPr="00DF3993">
      <w:rPr>
        <w:rFonts w:ascii="Book Antiqua" w:hAnsi="Book Antiqua"/>
        <w:b/>
        <w:sz w:val="20"/>
        <w:lang w:val="es-PR"/>
      </w:rPr>
      <w:t xml:space="preserve">Informe </w:t>
    </w:r>
    <w:r>
      <w:rPr>
        <w:rFonts w:ascii="Book Antiqua" w:hAnsi="Book Antiqua"/>
        <w:b/>
        <w:sz w:val="20"/>
        <w:lang w:val="es-PR"/>
      </w:rPr>
      <w:t>Positivo</w:t>
    </w:r>
    <w:r w:rsidRPr="00DF3993">
      <w:rPr>
        <w:rFonts w:ascii="Book Antiqua" w:hAnsi="Book Antiqua"/>
        <w:b/>
        <w:sz w:val="20"/>
        <w:lang w:val="es-PR"/>
      </w:rPr>
      <w:t xml:space="preserve"> sobre el P. de la C. </w:t>
    </w:r>
    <w:r w:rsidR="00E55AF8">
      <w:rPr>
        <w:rFonts w:ascii="Book Antiqua" w:hAnsi="Book Antiqua"/>
        <w:b/>
        <w:sz w:val="20"/>
        <w:lang w:val="es-PR"/>
      </w:rPr>
      <w:t>209</w:t>
    </w:r>
    <w:r w:rsidRPr="00DF3993">
      <w:rPr>
        <w:rFonts w:ascii="Book Antiqua" w:hAnsi="Book Antiqua"/>
        <w:b/>
        <w:sz w:val="20"/>
        <w:lang w:val="es-PR"/>
      </w:rPr>
      <w:tab/>
    </w:r>
    <w:r w:rsidRPr="00DF3993">
      <w:rPr>
        <w:rFonts w:ascii="Book Antiqua" w:hAnsi="Book Antiqua"/>
        <w:b/>
        <w:sz w:val="20"/>
        <w:lang w:val="es-PR"/>
      </w:rPr>
      <w:tab/>
      <w:t xml:space="preserve">Página </w:t>
    </w:r>
    <w:r w:rsidRPr="00DF3993">
      <w:rPr>
        <w:rFonts w:ascii="Book Antiqua" w:hAnsi="Book Antiqua"/>
        <w:b/>
        <w:sz w:val="20"/>
        <w:lang w:val="es-PR"/>
      </w:rPr>
      <w:fldChar w:fldCharType="begin"/>
    </w:r>
    <w:r w:rsidRPr="00DF3993">
      <w:rPr>
        <w:rFonts w:ascii="Book Antiqua" w:hAnsi="Book Antiqua"/>
        <w:b/>
        <w:sz w:val="20"/>
        <w:lang w:val="es-PR"/>
      </w:rPr>
      <w:instrText xml:space="preserve"> PAGE   \* MERGEFORMAT </w:instrText>
    </w:r>
    <w:r w:rsidRPr="00DF3993">
      <w:rPr>
        <w:rFonts w:ascii="Book Antiqua" w:hAnsi="Book Antiqua"/>
        <w:b/>
        <w:sz w:val="20"/>
        <w:lang w:val="es-PR"/>
      </w:rPr>
      <w:fldChar w:fldCharType="separate"/>
    </w:r>
    <w:r w:rsidRPr="00DF3993">
      <w:rPr>
        <w:rFonts w:ascii="Book Antiqua" w:hAnsi="Book Antiqua"/>
        <w:b/>
        <w:noProof/>
        <w:sz w:val="20"/>
        <w:lang w:val="es-PR"/>
      </w:rPr>
      <w:t>2</w:t>
    </w:r>
    <w:r w:rsidRPr="00DF3993">
      <w:rPr>
        <w:rFonts w:ascii="Book Antiqua" w:hAnsi="Book Antiqua"/>
        <w:b/>
        <w:noProof/>
        <w:sz w:val="20"/>
        <w:lang w:val="es-PR"/>
      </w:rPr>
      <w:fldChar w:fldCharType="end"/>
    </w:r>
  </w:p>
  <w:p w14:paraId="73164342" w14:textId="77777777" w:rsidR="00D723FE" w:rsidRPr="00DF3993" w:rsidRDefault="00D723FE">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F14A8"/>
    <w:multiLevelType w:val="multilevel"/>
    <w:tmpl w:val="5CF46538"/>
    <w:lvl w:ilvl="0">
      <w:start w:val="1"/>
      <w:numFmt w:val="decimal"/>
      <w:lvlText w:val="%1."/>
      <w:lvlJc w:val="left"/>
      <w:pPr>
        <w:tabs>
          <w:tab w:val="num" w:pos="1068"/>
        </w:tabs>
        <w:ind w:left="1068" w:hanging="360"/>
      </w:pPr>
    </w:lvl>
    <w:lvl w:ilvl="1" w:tentative="1">
      <w:start w:val="1"/>
      <w:numFmt w:val="decimal"/>
      <w:lvlText w:val="%2."/>
      <w:lvlJc w:val="left"/>
      <w:pPr>
        <w:tabs>
          <w:tab w:val="num" w:pos="1788"/>
        </w:tabs>
        <w:ind w:left="1788" w:hanging="360"/>
      </w:pPr>
    </w:lvl>
    <w:lvl w:ilvl="2" w:tentative="1">
      <w:start w:val="1"/>
      <w:numFmt w:val="decimal"/>
      <w:lvlText w:val="%3."/>
      <w:lvlJc w:val="left"/>
      <w:pPr>
        <w:tabs>
          <w:tab w:val="num" w:pos="2508"/>
        </w:tabs>
        <w:ind w:left="2508" w:hanging="360"/>
      </w:pPr>
    </w:lvl>
    <w:lvl w:ilvl="3" w:tentative="1">
      <w:start w:val="1"/>
      <w:numFmt w:val="decimal"/>
      <w:lvlText w:val="%4."/>
      <w:lvlJc w:val="left"/>
      <w:pPr>
        <w:tabs>
          <w:tab w:val="num" w:pos="3228"/>
        </w:tabs>
        <w:ind w:left="3228" w:hanging="360"/>
      </w:pPr>
    </w:lvl>
    <w:lvl w:ilvl="4" w:tentative="1">
      <w:start w:val="1"/>
      <w:numFmt w:val="decimal"/>
      <w:lvlText w:val="%5."/>
      <w:lvlJc w:val="left"/>
      <w:pPr>
        <w:tabs>
          <w:tab w:val="num" w:pos="3948"/>
        </w:tabs>
        <w:ind w:left="3948" w:hanging="360"/>
      </w:pPr>
    </w:lvl>
    <w:lvl w:ilvl="5" w:tentative="1">
      <w:start w:val="1"/>
      <w:numFmt w:val="decimal"/>
      <w:lvlText w:val="%6."/>
      <w:lvlJc w:val="left"/>
      <w:pPr>
        <w:tabs>
          <w:tab w:val="num" w:pos="4668"/>
        </w:tabs>
        <w:ind w:left="4668" w:hanging="360"/>
      </w:pPr>
    </w:lvl>
    <w:lvl w:ilvl="6" w:tentative="1">
      <w:start w:val="1"/>
      <w:numFmt w:val="decimal"/>
      <w:lvlText w:val="%7."/>
      <w:lvlJc w:val="left"/>
      <w:pPr>
        <w:tabs>
          <w:tab w:val="num" w:pos="5388"/>
        </w:tabs>
        <w:ind w:left="5388" w:hanging="360"/>
      </w:pPr>
    </w:lvl>
    <w:lvl w:ilvl="7" w:tentative="1">
      <w:start w:val="1"/>
      <w:numFmt w:val="decimal"/>
      <w:lvlText w:val="%8."/>
      <w:lvlJc w:val="left"/>
      <w:pPr>
        <w:tabs>
          <w:tab w:val="num" w:pos="6108"/>
        </w:tabs>
        <w:ind w:left="6108" w:hanging="360"/>
      </w:pPr>
    </w:lvl>
    <w:lvl w:ilvl="8" w:tentative="1">
      <w:start w:val="1"/>
      <w:numFmt w:val="decimal"/>
      <w:lvlText w:val="%9."/>
      <w:lvlJc w:val="left"/>
      <w:pPr>
        <w:tabs>
          <w:tab w:val="num" w:pos="6828"/>
        </w:tabs>
        <w:ind w:left="6828" w:hanging="360"/>
      </w:pPr>
    </w:lvl>
  </w:abstractNum>
  <w:abstractNum w:abstractNumId="1" w15:restartNumberingAfterBreak="0">
    <w:nsid w:val="77B813F5"/>
    <w:multiLevelType w:val="hybridMultilevel"/>
    <w:tmpl w:val="B8F0707E"/>
    <w:lvl w:ilvl="0" w:tplc="0409000F">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16cid:durableId="87889336">
    <w:abstractNumId w:val="1"/>
  </w:num>
  <w:num w:numId="2" w16cid:durableId="1373579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3FE"/>
    <w:rsid w:val="0004617E"/>
    <w:rsid w:val="00271BD6"/>
    <w:rsid w:val="0029376F"/>
    <w:rsid w:val="002D389A"/>
    <w:rsid w:val="00380152"/>
    <w:rsid w:val="005C776F"/>
    <w:rsid w:val="0068563F"/>
    <w:rsid w:val="006C7BFD"/>
    <w:rsid w:val="007B4FC6"/>
    <w:rsid w:val="007B764A"/>
    <w:rsid w:val="009B4460"/>
    <w:rsid w:val="00A109B7"/>
    <w:rsid w:val="00A153BF"/>
    <w:rsid w:val="00BD4B17"/>
    <w:rsid w:val="00CF4A68"/>
    <w:rsid w:val="00D723FE"/>
    <w:rsid w:val="00DC6B55"/>
    <w:rsid w:val="00DF3C19"/>
    <w:rsid w:val="00E55AF8"/>
    <w:rsid w:val="00E8102F"/>
    <w:rsid w:val="00ED3AA4"/>
    <w:rsid w:val="00FA1C9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9A5CA"/>
  <w15:chartTrackingRefBased/>
  <w15:docId w15:val="{95A65F4E-859C-4190-B001-011558FCC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23FE"/>
    <w:pPr>
      <w:spacing w:after="0" w:line="240" w:lineRule="auto"/>
    </w:pPr>
    <w:rPr>
      <w:rFonts w:ascii="Times New Roman" w:eastAsia="Batang" w:hAnsi="Times New Roman" w:cs="Times New Roman"/>
      <w:kern w:val="0"/>
      <w:szCs w:val="20"/>
      <w:lang w:val="en-US"/>
      <w14:ligatures w14:val="none"/>
    </w:rPr>
  </w:style>
  <w:style w:type="paragraph" w:styleId="Heading1">
    <w:name w:val="heading 1"/>
    <w:basedOn w:val="Normal"/>
    <w:next w:val="Normal"/>
    <w:link w:val="Heading1Char"/>
    <w:uiPriority w:val="9"/>
    <w:qFormat/>
    <w:rsid w:val="00D723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23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23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23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3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3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3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3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3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3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23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23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23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3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3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3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3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3FE"/>
    <w:rPr>
      <w:rFonts w:eastAsiaTheme="majorEastAsia" w:cstheme="majorBidi"/>
      <w:color w:val="272727" w:themeColor="text1" w:themeTint="D8"/>
    </w:rPr>
  </w:style>
  <w:style w:type="paragraph" w:styleId="Title">
    <w:name w:val="Title"/>
    <w:basedOn w:val="Normal"/>
    <w:next w:val="Normal"/>
    <w:link w:val="TitleChar"/>
    <w:uiPriority w:val="10"/>
    <w:qFormat/>
    <w:rsid w:val="00D723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3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3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3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3FE"/>
    <w:pPr>
      <w:spacing w:before="160"/>
      <w:jc w:val="center"/>
    </w:pPr>
    <w:rPr>
      <w:i/>
      <w:iCs/>
      <w:color w:val="404040" w:themeColor="text1" w:themeTint="BF"/>
    </w:rPr>
  </w:style>
  <w:style w:type="character" w:customStyle="1" w:styleId="QuoteChar">
    <w:name w:val="Quote Char"/>
    <w:basedOn w:val="DefaultParagraphFont"/>
    <w:link w:val="Quote"/>
    <w:uiPriority w:val="29"/>
    <w:rsid w:val="00D723FE"/>
    <w:rPr>
      <w:i/>
      <w:iCs/>
      <w:color w:val="404040" w:themeColor="text1" w:themeTint="BF"/>
    </w:rPr>
  </w:style>
  <w:style w:type="paragraph" w:styleId="ListParagraph">
    <w:name w:val="List Paragraph"/>
    <w:basedOn w:val="Normal"/>
    <w:uiPriority w:val="34"/>
    <w:qFormat/>
    <w:rsid w:val="00D723FE"/>
    <w:pPr>
      <w:ind w:left="720"/>
      <w:contextualSpacing/>
    </w:pPr>
  </w:style>
  <w:style w:type="character" w:styleId="IntenseEmphasis">
    <w:name w:val="Intense Emphasis"/>
    <w:basedOn w:val="DefaultParagraphFont"/>
    <w:uiPriority w:val="21"/>
    <w:qFormat/>
    <w:rsid w:val="00D723FE"/>
    <w:rPr>
      <w:i/>
      <w:iCs/>
      <w:color w:val="0F4761" w:themeColor="accent1" w:themeShade="BF"/>
    </w:rPr>
  </w:style>
  <w:style w:type="paragraph" w:styleId="IntenseQuote">
    <w:name w:val="Intense Quote"/>
    <w:basedOn w:val="Normal"/>
    <w:next w:val="Normal"/>
    <w:link w:val="IntenseQuoteChar"/>
    <w:uiPriority w:val="30"/>
    <w:qFormat/>
    <w:rsid w:val="00D723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3FE"/>
    <w:rPr>
      <w:i/>
      <w:iCs/>
      <w:color w:val="0F4761" w:themeColor="accent1" w:themeShade="BF"/>
    </w:rPr>
  </w:style>
  <w:style w:type="character" w:styleId="IntenseReference">
    <w:name w:val="Intense Reference"/>
    <w:basedOn w:val="DefaultParagraphFont"/>
    <w:uiPriority w:val="32"/>
    <w:qFormat/>
    <w:rsid w:val="00D723FE"/>
    <w:rPr>
      <w:b/>
      <w:bCs/>
      <w:smallCaps/>
      <w:color w:val="0F4761" w:themeColor="accent1" w:themeShade="BF"/>
      <w:spacing w:val="5"/>
    </w:rPr>
  </w:style>
  <w:style w:type="paragraph" w:customStyle="1" w:styleId="ColorfulList-Accent11">
    <w:name w:val="Colorful List - Accent 11"/>
    <w:basedOn w:val="Normal"/>
    <w:uiPriority w:val="34"/>
    <w:qFormat/>
    <w:rsid w:val="00D723FE"/>
    <w:pPr>
      <w:ind w:left="720"/>
      <w:contextualSpacing/>
    </w:pPr>
  </w:style>
  <w:style w:type="paragraph" w:styleId="Header">
    <w:name w:val="header"/>
    <w:basedOn w:val="Normal"/>
    <w:link w:val="HeaderChar"/>
    <w:uiPriority w:val="99"/>
    <w:unhideWhenUsed/>
    <w:rsid w:val="00D723FE"/>
    <w:pPr>
      <w:tabs>
        <w:tab w:val="center" w:pos="4680"/>
        <w:tab w:val="right" w:pos="9360"/>
      </w:tabs>
    </w:pPr>
  </w:style>
  <w:style w:type="character" w:customStyle="1" w:styleId="HeaderChar">
    <w:name w:val="Header Char"/>
    <w:basedOn w:val="DefaultParagraphFont"/>
    <w:link w:val="Header"/>
    <w:uiPriority w:val="99"/>
    <w:rsid w:val="00D723FE"/>
    <w:rPr>
      <w:rFonts w:ascii="Times New Roman" w:eastAsia="Batang" w:hAnsi="Times New Roman" w:cs="Times New Roman"/>
      <w:kern w:val="0"/>
      <w:szCs w:val="20"/>
      <w:lang w:val="en-US"/>
      <w14:ligatures w14:val="none"/>
    </w:rPr>
  </w:style>
  <w:style w:type="paragraph" w:styleId="Footer">
    <w:name w:val="footer"/>
    <w:basedOn w:val="Normal"/>
    <w:link w:val="FooterChar"/>
    <w:uiPriority w:val="99"/>
    <w:unhideWhenUsed/>
    <w:rsid w:val="00E55AF8"/>
    <w:pPr>
      <w:tabs>
        <w:tab w:val="center" w:pos="4680"/>
        <w:tab w:val="right" w:pos="9360"/>
      </w:tabs>
    </w:pPr>
  </w:style>
  <w:style w:type="character" w:customStyle="1" w:styleId="FooterChar">
    <w:name w:val="Footer Char"/>
    <w:basedOn w:val="DefaultParagraphFont"/>
    <w:link w:val="Footer"/>
    <w:uiPriority w:val="99"/>
    <w:rsid w:val="00E55AF8"/>
    <w:rPr>
      <w:rFonts w:ascii="Times New Roman" w:eastAsia="Batang" w:hAnsi="Times New Roman" w:cs="Times New Roman"/>
      <w:kern w:val="0"/>
      <w:szCs w:val="20"/>
      <w:lang w:val="en-US"/>
      <w14:ligatures w14:val="none"/>
    </w:rPr>
  </w:style>
  <w:style w:type="paragraph" w:styleId="NormalWeb">
    <w:name w:val="Normal (Web)"/>
    <w:basedOn w:val="Normal"/>
    <w:uiPriority w:val="99"/>
    <w:unhideWhenUsed/>
    <w:rsid w:val="00E55AF8"/>
    <w:pPr>
      <w:spacing w:before="100" w:beforeAutospacing="1" w:after="100" w:afterAutospacing="1"/>
    </w:pPr>
    <w:rPr>
      <w:rFonts w:eastAsia="Times New Roman"/>
      <w:szCs w:val="24"/>
      <w:lang w:val="es-PR" w:eastAsia="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1184</Words>
  <Characters>6621</Characters>
  <Application>Microsoft Office Word</Application>
  <DocSecurity>4</DocSecurity>
  <Lines>150</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Liceaga</dc:creator>
  <cp:keywords/>
  <dc:description/>
  <cp:lastModifiedBy>Camyl Moreno Pantojas</cp:lastModifiedBy>
  <cp:revision>2</cp:revision>
  <cp:lastPrinted>2026-03-09T14:00:00Z</cp:lastPrinted>
  <dcterms:created xsi:type="dcterms:W3CDTF">2026-03-16T12:40:00Z</dcterms:created>
  <dcterms:modified xsi:type="dcterms:W3CDTF">2026-03-16T12:40:00Z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d90c9468-e7ab-4a8e-a145-d31b42277841</vt:lpwstr>
  </property>
</Properties>
</file>