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6B6B87" w:rsidRDefault="0038510E">
      <w:pPr>
        <w:tabs>
          <w:tab w:val="center" w:pos="4680"/>
        </w:tabs>
        <w:rPr>
          <w:rFonts w:ascii="Book Antiqua" w:eastAsia="Book Antiqua" w:hAnsi="Book Antiqua" w:cs="Book Antiqua"/>
          <w:color w:val="000000" w:themeColor="text1"/>
          <w:spacing w:val="12"/>
          <w:sz w:val="28"/>
          <w:szCs w:val="28"/>
          <w:lang w:val="es-PR"/>
        </w:rPr>
      </w:pPr>
      <w:r w:rsidRPr="001711E6">
        <w:rPr>
          <w:rFonts w:ascii="Book Antiqua" w:eastAsia="Book Antiqua" w:hAnsi="Book Antiqua" w:cs="Book Antiqua"/>
          <w:color w:val="000000" w:themeColor="text1"/>
          <w:sz w:val="28"/>
          <w:szCs w:val="28"/>
          <w:lang w:val="es-PR"/>
        </w:rPr>
        <w:tab/>
      </w:r>
      <w:r w:rsidR="00B45797" w:rsidRPr="006B6B87">
        <w:rPr>
          <w:rFonts w:ascii="Book Antiqua" w:eastAsia="Book Antiqua" w:hAnsi="Book Antiqua" w:cs="Book Antiqua"/>
          <w:color w:val="000000" w:themeColor="text1"/>
          <w:spacing w:val="12"/>
          <w:sz w:val="28"/>
          <w:szCs w:val="28"/>
          <w:lang w:val="es-PR"/>
        </w:rPr>
        <w:t>GOBIERNO</w:t>
      </w:r>
      <w:r w:rsidRPr="006B6B87">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3AA5872C"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Pr="001711E6">
        <w:rPr>
          <w:rFonts w:ascii="Book Antiqua" w:eastAsia="Book Antiqua" w:hAnsi="Book Antiqua" w:cs="Book Antiqua"/>
          <w:color w:val="000000" w:themeColor="text1"/>
          <w:vertAlign w:val="superscript"/>
          <w:lang w:val="es-PR"/>
        </w:rPr>
        <w:t>m</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00E06415">
        <w:rPr>
          <w:rFonts w:ascii="Book Antiqua" w:eastAsia="Book Antiqua" w:hAnsi="Book Antiqua" w:cs="Book Antiqua"/>
          <w:color w:val="000000" w:themeColor="text1"/>
          <w:lang w:val="es-PR"/>
        </w:rPr>
        <w:t>2</w:t>
      </w:r>
      <w:r w:rsidR="00E06415" w:rsidRPr="00E06415">
        <w:rPr>
          <w:rFonts w:ascii="Book Antiqua" w:eastAsia="Book Antiqua" w:hAnsi="Book Antiqua" w:cs="Book Antiqua"/>
          <w:color w:val="000000" w:themeColor="text1"/>
          <w:vertAlign w:val="superscript"/>
          <w:lang w:val="es-PR"/>
        </w:rPr>
        <w:t>d</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251481"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251481">
        <w:rPr>
          <w:rFonts w:ascii="Book Antiqua" w:eastAsia="Book Antiqua" w:hAnsi="Book Antiqua" w:cs="Book Antiqua"/>
          <w:b/>
          <w:color w:val="000000" w:themeColor="text1"/>
          <w:spacing w:val="12"/>
          <w:sz w:val="36"/>
          <w:szCs w:val="36"/>
          <w:lang w:val="es-PR"/>
        </w:rPr>
        <w:t>CÁMARA DE REPRESENTANTES</w:t>
      </w:r>
    </w:p>
    <w:p w14:paraId="224C8555" w14:textId="723CE587"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512238">
        <w:rPr>
          <w:rFonts w:ascii="Book Antiqua" w:eastAsia="Book Antiqua" w:hAnsi="Book Antiqua" w:cs="Book Antiqua"/>
          <w:b/>
          <w:color w:val="000000" w:themeColor="text1"/>
          <w:sz w:val="52"/>
          <w:szCs w:val="52"/>
          <w:lang w:val="es-PR"/>
        </w:rPr>
        <w:t>216</w:t>
      </w:r>
    </w:p>
    <w:p w14:paraId="6CA3DF2C" w14:textId="77777777" w:rsidR="00DF7D86" w:rsidRPr="00251481" w:rsidRDefault="0038510E" w:rsidP="00FC1C6B">
      <w:pPr>
        <w:spacing w:after="160" w:line="360" w:lineRule="auto"/>
        <w:jc w:val="center"/>
        <w:rPr>
          <w:rFonts w:ascii="Book Antiqua" w:eastAsia="Book Antiqua" w:hAnsi="Book Antiqua" w:cs="Book Antiqua"/>
          <w:b/>
          <w:color w:val="000000" w:themeColor="text1"/>
          <w:spacing w:val="12"/>
          <w:sz w:val="28"/>
          <w:szCs w:val="28"/>
          <w:lang w:val="es-PR"/>
        </w:rPr>
      </w:pPr>
      <w:r w:rsidRPr="00251481">
        <w:rPr>
          <w:rFonts w:ascii="Book Antiqua" w:eastAsia="Book Antiqua" w:hAnsi="Book Antiqua" w:cs="Book Antiqua"/>
          <w:b/>
          <w:color w:val="000000" w:themeColor="text1"/>
          <w:spacing w:val="12"/>
          <w:sz w:val="28"/>
          <w:szCs w:val="28"/>
          <w:lang w:val="es-PR"/>
        </w:rPr>
        <w:t>INFORME POSITIVO</w:t>
      </w:r>
    </w:p>
    <w:p w14:paraId="65B59E42" w14:textId="0D1C6B99" w:rsidR="00DF7D86" w:rsidRDefault="00EC6817" w:rsidP="00FC1C6B">
      <w:pPr>
        <w:spacing w:after="160" w:line="360" w:lineRule="auto"/>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9</w:t>
      </w:r>
      <w:r w:rsidR="001015D5"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32247A">
        <w:rPr>
          <w:rFonts w:ascii="Book Antiqua" w:eastAsia="Book Antiqua" w:hAnsi="Book Antiqua" w:cs="Book Antiqua"/>
          <w:color w:val="000000" w:themeColor="text1"/>
          <w:lang w:val="es-PR"/>
        </w:rPr>
        <w:t>septiembre</w:t>
      </w:r>
      <w:r w:rsidR="00C54AD6" w:rsidRPr="001711E6">
        <w:rPr>
          <w:rFonts w:ascii="Book Antiqua" w:eastAsia="Book Antiqua" w:hAnsi="Book Antiqua" w:cs="Book Antiqua"/>
          <w:color w:val="000000" w:themeColor="text1"/>
          <w:lang w:val="es-PR"/>
        </w:rPr>
        <w:t xml:space="preserve"> de 202</w:t>
      </w:r>
      <w:r w:rsidR="00B45797" w:rsidRPr="001711E6">
        <w:rPr>
          <w:rFonts w:ascii="Book Antiqua" w:eastAsia="Book Antiqua" w:hAnsi="Book Antiqua" w:cs="Book Antiqua"/>
          <w:color w:val="000000" w:themeColor="text1"/>
          <w:lang w:val="es-PR"/>
        </w:rPr>
        <w:t>5</w:t>
      </w:r>
    </w:p>
    <w:p w14:paraId="2714CB15" w14:textId="77777777" w:rsidR="00DF7D86" w:rsidRPr="00251481" w:rsidRDefault="0038510E">
      <w:pPr>
        <w:jc w:val="both"/>
        <w:rPr>
          <w:rFonts w:ascii="Book Antiqua" w:eastAsia="Book Antiqua" w:hAnsi="Book Antiqua" w:cs="Book Antiqua"/>
          <w:b/>
          <w:color w:val="000000" w:themeColor="text1"/>
          <w:spacing w:val="12"/>
          <w:lang w:val="es-PR"/>
        </w:rPr>
      </w:pPr>
      <w:r w:rsidRPr="00251481">
        <w:rPr>
          <w:rFonts w:ascii="Book Antiqua" w:eastAsia="Book Antiqua" w:hAnsi="Book Antiqua" w:cs="Book Antiqua"/>
          <w:b/>
          <w:color w:val="000000" w:themeColor="text1"/>
          <w:spacing w:val="12"/>
          <w:lang w:val="es-PR"/>
        </w:rPr>
        <w:t>A LA CÁMARA DE REPRESENTANTES DE PUERTO RICO</w:t>
      </w:r>
    </w:p>
    <w:p w14:paraId="63BF9BD9" w14:textId="77777777" w:rsidR="00DF7D86" w:rsidRPr="001711E6" w:rsidRDefault="00DF7D86">
      <w:pPr>
        <w:ind w:firstLine="360"/>
        <w:jc w:val="both"/>
        <w:rPr>
          <w:rFonts w:ascii="Book Antiqua" w:eastAsia="Book Antiqua" w:hAnsi="Book Antiqua" w:cs="Book Antiqua"/>
          <w:color w:val="000000" w:themeColor="text1"/>
          <w:lang w:val="es-PR"/>
        </w:rPr>
      </w:pPr>
    </w:p>
    <w:p w14:paraId="061B4DAE" w14:textId="0A7BE890" w:rsidR="007D458C" w:rsidRDefault="00436471" w:rsidP="006916A9">
      <w:pPr>
        <w:spacing w:after="36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0038510E" w:rsidRPr="001711E6">
        <w:rPr>
          <w:rFonts w:ascii="Book Antiqua" w:eastAsia="Book Antiqua" w:hAnsi="Book Antiqua" w:cs="Book Antiqua"/>
          <w:color w:val="000000" w:themeColor="text1"/>
          <w:lang w:val="es-PR"/>
        </w:rPr>
        <w:t xml:space="preserve">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 xml:space="preserve">onsideración del P. de la C. </w:t>
      </w:r>
      <w:r w:rsidR="00F60C20">
        <w:rPr>
          <w:rFonts w:ascii="Book Antiqua" w:eastAsia="Book Antiqua" w:hAnsi="Book Antiqua" w:cs="Book Antiqua"/>
          <w:color w:val="000000" w:themeColor="text1"/>
          <w:lang w:val="es-PR"/>
        </w:rPr>
        <w:t>216</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6916A9">
        <w:rPr>
          <w:rFonts w:ascii="Book Antiqua" w:eastAsia="Book Antiqua" w:hAnsi="Book Antiqua" w:cs="Book Antiqua"/>
          <w:color w:val="000000" w:themeColor="text1"/>
          <w:lang w:val="es-PR"/>
        </w:rPr>
        <w:t xml:space="preserve"> </w:t>
      </w:r>
      <w:r w:rsidR="006916A9" w:rsidRPr="001711E6">
        <w:rPr>
          <w:rFonts w:ascii="Book Antiqua" w:eastAsia="Book Antiqua" w:hAnsi="Book Antiqua" w:cs="Book Antiqua"/>
          <w:color w:val="000000" w:themeColor="text1"/>
          <w:lang w:val="es-PR"/>
        </w:rPr>
        <w:t>con las enmiendas que se encuentran en el entrillado electrónico que se acompaña.</w:t>
      </w:r>
    </w:p>
    <w:p w14:paraId="00C5E8B9" w14:textId="77777777" w:rsidR="003B38A4" w:rsidRPr="00251481" w:rsidRDefault="003B38A4" w:rsidP="004A6CE9">
      <w:pPr>
        <w:spacing w:after="120"/>
        <w:jc w:val="center"/>
        <w:rPr>
          <w:rFonts w:ascii="Book Antiqua" w:eastAsia="Book Antiqua" w:hAnsi="Book Antiqua" w:cs="Book Antiqua"/>
          <w:b/>
          <w:bCs/>
          <w:color w:val="000000" w:themeColor="text1"/>
          <w:spacing w:val="12"/>
          <w:lang w:val="es-PR"/>
        </w:rPr>
      </w:pPr>
      <w:r w:rsidRPr="00251481">
        <w:rPr>
          <w:rFonts w:ascii="Book Antiqua" w:eastAsia="Book Antiqua" w:hAnsi="Book Antiqua" w:cs="Book Antiqua"/>
          <w:b/>
          <w:bCs/>
          <w:color w:val="000000" w:themeColor="text1"/>
          <w:spacing w:val="12"/>
          <w:lang w:val="es-PR"/>
        </w:rPr>
        <w:t>ALCANCE DE LA MEDIDA</w:t>
      </w:r>
    </w:p>
    <w:p w14:paraId="1840F209" w14:textId="34ADE625" w:rsidR="0099305E" w:rsidRDefault="003B38A4" w:rsidP="006916A9">
      <w:pPr>
        <w:spacing w:after="360" w:line="288" w:lineRule="auto"/>
        <w:ind w:firstLine="720"/>
        <w:jc w:val="both"/>
        <w:rPr>
          <w:rFonts w:ascii="Book Antiqua" w:hAnsi="Book Antiqua"/>
          <w:szCs w:val="24"/>
          <w:lang w:val="es-PR"/>
        </w:rPr>
      </w:pPr>
      <w:r w:rsidRPr="001711E6">
        <w:rPr>
          <w:rFonts w:ascii="Book Antiqua" w:eastAsia="Book Antiqua" w:hAnsi="Book Antiqua" w:cs="Book Antiqua"/>
          <w:color w:val="000000" w:themeColor="text1"/>
          <w:lang w:val="es-PR"/>
        </w:rPr>
        <w:t xml:space="preserve">El </w:t>
      </w:r>
      <w:r w:rsidR="00FC1C6B" w:rsidRPr="001711E6">
        <w:rPr>
          <w:rFonts w:ascii="Book Antiqua" w:eastAsia="Book Antiqua" w:hAnsi="Book Antiqua" w:cs="Book Antiqua"/>
          <w:color w:val="000000" w:themeColor="text1"/>
          <w:lang w:val="es-PR"/>
        </w:rPr>
        <w:t xml:space="preserve">P. de la C. </w:t>
      </w:r>
      <w:r w:rsidR="00F60C20">
        <w:rPr>
          <w:rFonts w:ascii="Book Antiqua" w:eastAsia="Book Antiqua" w:hAnsi="Book Antiqua" w:cs="Book Antiqua"/>
          <w:color w:val="000000" w:themeColor="text1"/>
          <w:lang w:val="es-PR"/>
        </w:rPr>
        <w:t>21</w:t>
      </w:r>
      <w:r w:rsidR="007D458C">
        <w:rPr>
          <w:rFonts w:ascii="Book Antiqua" w:eastAsia="Book Antiqua" w:hAnsi="Book Antiqua" w:cs="Book Antiqua"/>
          <w:color w:val="000000" w:themeColor="text1"/>
          <w:lang w:val="es-PR"/>
        </w:rPr>
        <w:t>6</w:t>
      </w:r>
      <w:r w:rsidR="008D32D5">
        <w:rPr>
          <w:rFonts w:ascii="Book Antiqua" w:eastAsia="Book Antiqua" w:hAnsi="Book Antiqua" w:cs="Book Antiqua"/>
          <w:color w:val="000000" w:themeColor="text1"/>
          <w:lang w:val="es-PR"/>
        </w:rPr>
        <w:t xml:space="preserve"> propone</w:t>
      </w:r>
      <w:r w:rsidR="00623890">
        <w:rPr>
          <w:rFonts w:ascii="Book Antiqua" w:eastAsia="Book Antiqua" w:hAnsi="Book Antiqua" w:cs="Book Antiqua"/>
          <w:color w:val="000000" w:themeColor="text1"/>
          <w:lang w:val="es-PR"/>
        </w:rPr>
        <w:t>:</w:t>
      </w:r>
      <w:r w:rsidR="008D32D5">
        <w:rPr>
          <w:rFonts w:ascii="Book Antiqua" w:eastAsia="Book Antiqua" w:hAnsi="Book Antiqua" w:cs="Book Antiqua"/>
          <w:color w:val="000000" w:themeColor="text1"/>
          <w:lang w:val="es-PR"/>
        </w:rPr>
        <w:t xml:space="preserve"> </w:t>
      </w:r>
      <w:r w:rsidR="001573DC" w:rsidRPr="001573DC">
        <w:rPr>
          <w:rFonts w:ascii="Book Antiqua" w:eastAsia="Book Antiqua" w:hAnsi="Book Antiqua" w:cs="Book Antiqua"/>
          <w:color w:val="000000" w:themeColor="text1"/>
          <w:lang w:val="es-PR"/>
        </w:rPr>
        <w:t>enmendar l</w:t>
      </w:r>
      <w:r w:rsidR="002C516C">
        <w:rPr>
          <w:rFonts w:ascii="Book Antiqua" w:eastAsia="Book Antiqua" w:hAnsi="Book Antiqua" w:cs="Book Antiqua"/>
          <w:color w:val="000000" w:themeColor="text1"/>
          <w:lang w:val="es-PR"/>
        </w:rPr>
        <w:t>os</w:t>
      </w:r>
      <w:r w:rsidR="00691BD1">
        <w:rPr>
          <w:rFonts w:ascii="Book Antiqua" w:eastAsia="Book Antiqua" w:hAnsi="Book Antiqua" w:cs="Book Antiqua"/>
          <w:color w:val="000000" w:themeColor="text1"/>
          <w:lang w:val="es-PR"/>
        </w:rPr>
        <w:t xml:space="preserve"> </w:t>
      </w:r>
      <w:r w:rsidR="00691BD1">
        <w:rPr>
          <w:rFonts w:ascii="Book Antiqua" w:hAnsi="Book Antiqua"/>
          <w:lang w:val="es-PR"/>
        </w:rPr>
        <w:t>Artículos 8 y 12</w:t>
      </w:r>
      <w:r w:rsidR="00F77E91">
        <w:rPr>
          <w:rFonts w:ascii="Book Antiqua" w:hAnsi="Book Antiqua"/>
          <w:lang w:val="es-PR"/>
        </w:rPr>
        <w:t xml:space="preserve"> de </w:t>
      </w:r>
      <w:r w:rsidR="00F77E91" w:rsidRPr="00017016">
        <w:rPr>
          <w:rFonts w:ascii="Book Antiqua" w:hAnsi="Book Antiqua"/>
          <w:szCs w:val="24"/>
          <w:lang w:val="es-ES_tradnl"/>
        </w:rPr>
        <w:t xml:space="preserve">la Ley </w:t>
      </w:r>
      <w:r w:rsidR="00F77E91">
        <w:rPr>
          <w:rFonts w:ascii="Book Antiqua" w:hAnsi="Book Antiqua"/>
          <w:szCs w:val="24"/>
          <w:lang w:val="es-ES_tradnl"/>
        </w:rPr>
        <w:t>195-2011</w:t>
      </w:r>
      <w:r w:rsidR="00F77E91" w:rsidRPr="00017016">
        <w:rPr>
          <w:rFonts w:ascii="Book Antiqua" w:hAnsi="Book Antiqua"/>
          <w:szCs w:val="24"/>
          <w:lang w:val="es-ES_tradnl"/>
        </w:rPr>
        <w:t>,</w:t>
      </w:r>
      <w:r w:rsidR="003813FE">
        <w:rPr>
          <w:rStyle w:val="FootnoteReference"/>
          <w:rFonts w:ascii="Book Antiqua" w:hAnsi="Book Antiqua"/>
          <w:szCs w:val="24"/>
          <w:lang w:val="es-ES_tradnl"/>
        </w:rPr>
        <w:footnoteReference w:id="1"/>
      </w:r>
      <w:r w:rsidR="00F77E91" w:rsidRPr="00017016">
        <w:rPr>
          <w:rFonts w:ascii="Book Antiqua" w:hAnsi="Book Antiqua"/>
          <w:szCs w:val="24"/>
          <w:lang w:val="es-ES_tradnl"/>
        </w:rPr>
        <w:t xml:space="preserve"> según enmendada</w:t>
      </w:r>
      <w:r w:rsidR="003813FE">
        <w:rPr>
          <w:rFonts w:ascii="Book Antiqua" w:hAnsi="Book Antiqua"/>
          <w:szCs w:val="24"/>
          <w:lang w:val="es-ES_tradnl"/>
        </w:rPr>
        <w:t>.</w:t>
      </w:r>
      <w:r w:rsidR="00F77E91" w:rsidRPr="00017016">
        <w:rPr>
          <w:rFonts w:ascii="Book Antiqua" w:hAnsi="Book Antiqua"/>
          <w:szCs w:val="24"/>
          <w:lang w:val="es-ES_tradnl"/>
        </w:rPr>
        <w:t xml:space="preserve"> </w:t>
      </w:r>
      <w:r w:rsidR="00172770">
        <w:rPr>
          <w:rFonts w:ascii="Book Antiqua" w:hAnsi="Book Antiqua"/>
          <w:lang w:val="es-PR"/>
        </w:rPr>
        <w:t>Esto</w:t>
      </w:r>
      <w:r w:rsidR="002442C0">
        <w:rPr>
          <w:rFonts w:ascii="Book Antiqua" w:hAnsi="Book Antiqua"/>
          <w:lang w:val="es-PR"/>
        </w:rPr>
        <w:t xml:space="preserve">, para </w:t>
      </w:r>
      <w:r w:rsidR="002442C0">
        <w:rPr>
          <w:rFonts w:ascii="Book Antiqua" w:hAnsi="Book Antiqua"/>
          <w:szCs w:val="24"/>
          <w:lang w:val="es-ES_tradnl"/>
        </w:rPr>
        <w:t>añadir y flexibilizar los términos, de manera que sean de mayor beneficio para la persona que solicita la protección de hogar seguro</w:t>
      </w:r>
      <w:r w:rsidR="00BC52BE">
        <w:rPr>
          <w:rFonts w:ascii="Book Antiqua" w:eastAsia="Book Antiqua" w:hAnsi="Book Antiqua" w:cs="Book Antiqua"/>
          <w:color w:val="000000" w:themeColor="text1"/>
          <w:lang w:val="es-PR"/>
        </w:rPr>
        <w:t xml:space="preserve">; </w:t>
      </w:r>
      <w:r w:rsidR="001573DC" w:rsidRPr="001573DC">
        <w:rPr>
          <w:rFonts w:ascii="Book Antiqua" w:eastAsia="Book Antiqua" w:hAnsi="Book Antiqua" w:cs="Book Antiqua"/>
          <w:color w:val="000000" w:themeColor="text1"/>
          <w:lang w:val="es-PR"/>
        </w:rPr>
        <w:t>y para otros fines relacionados.</w:t>
      </w:r>
    </w:p>
    <w:p w14:paraId="4595A8FA" w14:textId="4156B2C0" w:rsidR="003B38A4" w:rsidRPr="001711E6" w:rsidRDefault="003B38A4" w:rsidP="004A6CE9">
      <w:pPr>
        <w:spacing w:after="120"/>
        <w:jc w:val="center"/>
        <w:rPr>
          <w:rFonts w:ascii="Book Antiqua" w:eastAsia="Book Antiqua" w:hAnsi="Book Antiqua" w:cs="Book Antiqua"/>
          <w:color w:val="000000" w:themeColor="text1"/>
          <w:lang w:val="es-PR"/>
        </w:rPr>
      </w:pPr>
      <w:r w:rsidRPr="00EC35AA">
        <w:rPr>
          <w:rFonts w:ascii="Book Antiqua" w:eastAsia="Book Antiqua" w:hAnsi="Book Antiqua" w:cs="Book Antiqua"/>
          <w:b/>
          <w:bCs/>
          <w:color w:val="000000" w:themeColor="text1"/>
          <w:spacing w:val="12"/>
          <w:lang w:val="es-PR"/>
        </w:rPr>
        <w:t>ANÁLISIS DE LA MEDIDA</w:t>
      </w:r>
    </w:p>
    <w:p w14:paraId="478B8098" w14:textId="28202D64" w:rsidR="00A92396" w:rsidRDefault="008633AC" w:rsidP="006916A9">
      <w:pPr>
        <w:spacing w:after="120" w:line="288" w:lineRule="auto"/>
        <w:ind w:firstLine="720"/>
        <w:jc w:val="both"/>
        <w:rPr>
          <w:rFonts w:ascii="Book Antiqua" w:eastAsia="Book Antiqua" w:hAnsi="Book Antiqua" w:cs="Book Antiqua"/>
          <w:color w:val="000000" w:themeColor="text1"/>
          <w:lang w:val="es-PR"/>
        </w:rPr>
      </w:pPr>
      <w:r w:rsidRPr="008633AC">
        <w:rPr>
          <w:rFonts w:ascii="Book Antiqua" w:eastAsia="Book Antiqua" w:hAnsi="Book Antiqua" w:cs="Book Antiqua"/>
          <w:color w:val="000000" w:themeColor="text1"/>
          <w:lang w:val="es-PR"/>
        </w:rPr>
        <w:t>La Ley 195-2011 no solo protege el aspecto económico de la propiedad, sino que también establece un escudo jurídico para salvaguardar la estabilidad y el bienestar de las familias puertorriqueñas</w:t>
      </w:r>
      <w:r w:rsidR="00B802A6">
        <w:rPr>
          <w:rFonts w:ascii="Book Antiqua" w:eastAsia="Book Antiqua" w:hAnsi="Book Antiqua" w:cs="Book Antiqua"/>
          <w:color w:val="000000" w:themeColor="text1"/>
          <w:lang w:val="es-PR"/>
        </w:rPr>
        <w:t>. Se les</w:t>
      </w:r>
      <w:r w:rsidRPr="008633AC">
        <w:rPr>
          <w:rFonts w:ascii="Book Antiqua" w:eastAsia="Book Antiqua" w:hAnsi="Book Antiqua" w:cs="Book Antiqua"/>
          <w:color w:val="000000" w:themeColor="text1"/>
          <w:lang w:val="es-PR"/>
        </w:rPr>
        <w:t xml:space="preserve"> asegur</w:t>
      </w:r>
      <w:r w:rsidR="00B802A6">
        <w:rPr>
          <w:rFonts w:ascii="Book Antiqua" w:eastAsia="Book Antiqua" w:hAnsi="Book Antiqua" w:cs="Book Antiqua"/>
          <w:color w:val="000000" w:themeColor="text1"/>
          <w:lang w:val="es-PR"/>
        </w:rPr>
        <w:t>a</w:t>
      </w:r>
      <w:r w:rsidRPr="008633AC">
        <w:rPr>
          <w:rFonts w:ascii="Book Antiqua" w:eastAsia="Book Antiqua" w:hAnsi="Book Antiqua" w:cs="Book Antiqua"/>
          <w:color w:val="000000" w:themeColor="text1"/>
          <w:lang w:val="es-PR"/>
        </w:rPr>
        <w:t xml:space="preserve"> un refugio seguro ante adversidades económicas. </w:t>
      </w:r>
      <w:r w:rsidR="0020167D" w:rsidRPr="001711E6">
        <w:rPr>
          <w:rFonts w:ascii="Book Antiqua" w:eastAsia="Book Antiqua" w:hAnsi="Book Antiqua" w:cs="Book Antiqua"/>
          <w:color w:val="000000" w:themeColor="text1"/>
          <w:lang w:val="es-PR"/>
        </w:rPr>
        <w:t xml:space="preserve">El P. de la C. </w:t>
      </w:r>
      <w:r w:rsidR="0020167D">
        <w:rPr>
          <w:rFonts w:ascii="Book Antiqua" w:eastAsia="Book Antiqua" w:hAnsi="Book Antiqua" w:cs="Book Antiqua"/>
          <w:color w:val="000000" w:themeColor="text1"/>
          <w:lang w:val="es-PR"/>
        </w:rPr>
        <w:t>216</w:t>
      </w:r>
      <w:r w:rsidRPr="008633AC">
        <w:rPr>
          <w:rFonts w:ascii="Book Antiqua" w:eastAsia="Book Antiqua" w:hAnsi="Book Antiqua" w:cs="Book Antiqua"/>
          <w:color w:val="000000" w:themeColor="text1"/>
          <w:lang w:val="es-PR"/>
        </w:rPr>
        <w:t xml:space="preserve"> busca ampliar y flexibilizar los términos de esta ley, incrementando así los beneficios para quienes soliciten esta protección.</w:t>
      </w:r>
    </w:p>
    <w:p w14:paraId="428E627A" w14:textId="7A493AA3" w:rsidR="00A92396" w:rsidRPr="00A92396" w:rsidRDefault="00A92396" w:rsidP="006916A9">
      <w:pPr>
        <w:spacing w:after="120" w:line="288" w:lineRule="auto"/>
        <w:ind w:firstLine="720"/>
        <w:jc w:val="both"/>
        <w:rPr>
          <w:rFonts w:ascii="Book Antiqua" w:eastAsia="Book Antiqua" w:hAnsi="Book Antiqua" w:cs="Book Antiqua"/>
          <w:color w:val="000000" w:themeColor="text1"/>
          <w:lang w:val="es-PR"/>
        </w:rPr>
      </w:pPr>
      <w:r w:rsidRPr="00A92396">
        <w:rPr>
          <w:rFonts w:ascii="Book Antiqua" w:eastAsia="Book Antiqua" w:hAnsi="Book Antiqua" w:cs="Book Antiqua"/>
          <w:color w:val="000000" w:themeColor="text1"/>
          <w:lang w:val="es-PR"/>
        </w:rPr>
        <w:t xml:space="preserve">Entre los cambios propuestos, se incluye una extensión del período que tienen las personas para reinvertir en una nueva propiedad tras la venta de su hogar seguro. Esta modificación es vital debido a las complicaciones adicionales que enfrentaron los </w:t>
      </w:r>
      <w:r w:rsidRPr="00A92396">
        <w:rPr>
          <w:rFonts w:ascii="Book Antiqua" w:eastAsia="Book Antiqua" w:hAnsi="Book Antiqua" w:cs="Book Antiqua"/>
          <w:color w:val="000000" w:themeColor="text1"/>
          <w:lang w:val="es-PR"/>
        </w:rPr>
        <w:lastRenderedPageBreak/>
        <w:t xml:space="preserve">propietarios a raíz del </w:t>
      </w:r>
      <w:r w:rsidR="00380606">
        <w:rPr>
          <w:rFonts w:ascii="Book Antiqua" w:eastAsia="Book Antiqua" w:hAnsi="Book Antiqua" w:cs="Book Antiqua"/>
          <w:color w:val="000000" w:themeColor="text1"/>
          <w:lang w:val="es-PR"/>
        </w:rPr>
        <w:t>h</w:t>
      </w:r>
      <w:r w:rsidRPr="00A92396">
        <w:rPr>
          <w:rFonts w:ascii="Book Antiqua" w:eastAsia="Book Antiqua" w:hAnsi="Book Antiqua" w:cs="Book Antiqua"/>
          <w:color w:val="000000" w:themeColor="text1"/>
          <w:lang w:val="es-PR"/>
        </w:rPr>
        <w:t>uracán María</w:t>
      </w:r>
      <w:r>
        <w:rPr>
          <w:rFonts w:ascii="Book Antiqua" w:eastAsia="Book Antiqua" w:hAnsi="Book Antiqua" w:cs="Book Antiqua"/>
          <w:color w:val="000000" w:themeColor="text1"/>
          <w:lang w:val="es-PR"/>
        </w:rPr>
        <w:t>.</w:t>
      </w:r>
      <w:r w:rsidRPr="00A92396">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 xml:space="preserve">Este </w:t>
      </w:r>
      <w:r w:rsidRPr="00A92396">
        <w:rPr>
          <w:rFonts w:ascii="Book Antiqua" w:eastAsia="Book Antiqua" w:hAnsi="Book Antiqua" w:cs="Book Antiqua"/>
          <w:color w:val="000000" w:themeColor="text1"/>
          <w:lang w:val="es-PR"/>
        </w:rPr>
        <w:t xml:space="preserve">causó daños estructurales severos a muchas viviendas y provocó la interrupción prolongada de servicios básicos como agua y electricidad. </w:t>
      </w:r>
      <w:r w:rsidR="00EB7E14">
        <w:rPr>
          <w:rFonts w:ascii="Book Antiqua" w:eastAsia="Book Antiqua" w:hAnsi="Book Antiqua" w:cs="Book Antiqua"/>
          <w:color w:val="000000" w:themeColor="text1"/>
          <w:lang w:val="es-PR"/>
        </w:rPr>
        <w:t xml:space="preserve">Tales </w:t>
      </w:r>
      <w:r w:rsidRPr="00A92396">
        <w:rPr>
          <w:rFonts w:ascii="Book Antiqua" w:eastAsia="Book Antiqua" w:hAnsi="Book Antiqua" w:cs="Book Antiqua"/>
          <w:color w:val="000000" w:themeColor="text1"/>
          <w:lang w:val="es-PR"/>
        </w:rPr>
        <w:t xml:space="preserve">dificultades </w:t>
      </w:r>
      <w:r w:rsidR="00EB7E14">
        <w:rPr>
          <w:rFonts w:ascii="Book Antiqua" w:eastAsia="Book Antiqua" w:hAnsi="Book Antiqua" w:cs="Book Antiqua"/>
          <w:color w:val="000000" w:themeColor="text1"/>
          <w:lang w:val="es-PR"/>
        </w:rPr>
        <w:t xml:space="preserve">demoraron </w:t>
      </w:r>
      <w:r w:rsidRPr="00A92396">
        <w:rPr>
          <w:rFonts w:ascii="Book Antiqua" w:eastAsia="Book Antiqua" w:hAnsi="Book Antiqua" w:cs="Book Antiqua"/>
          <w:color w:val="000000" w:themeColor="text1"/>
          <w:lang w:val="es-PR"/>
        </w:rPr>
        <w:t xml:space="preserve">los procesos de compraventa de propiedades, </w:t>
      </w:r>
      <w:r w:rsidR="00712B22">
        <w:rPr>
          <w:rFonts w:ascii="Book Antiqua" w:eastAsia="Book Antiqua" w:hAnsi="Book Antiqua" w:cs="Book Antiqua"/>
          <w:color w:val="000000" w:themeColor="text1"/>
          <w:lang w:val="es-PR"/>
        </w:rPr>
        <w:t xml:space="preserve">lo cual </w:t>
      </w:r>
      <w:r w:rsidRPr="00A92396">
        <w:rPr>
          <w:rFonts w:ascii="Book Antiqua" w:eastAsia="Book Antiqua" w:hAnsi="Book Antiqua" w:cs="Book Antiqua"/>
          <w:color w:val="000000" w:themeColor="text1"/>
          <w:lang w:val="es-PR"/>
        </w:rPr>
        <w:t>justific</w:t>
      </w:r>
      <w:r w:rsidR="00071207">
        <w:rPr>
          <w:rFonts w:ascii="Book Antiqua" w:eastAsia="Book Antiqua" w:hAnsi="Book Antiqua" w:cs="Book Antiqua"/>
          <w:color w:val="000000" w:themeColor="text1"/>
          <w:lang w:val="es-PR"/>
        </w:rPr>
        <w:t>a</w:t>
      </w:r>
      <w:r w:rsidRPr="00A92396">
        <w:rPr>
          <w:rFonts w:ascii="Book Antiqua" w:eastAsia="Book Antiqua" w:hAnsi="Book Antiqua" w:cs="Book Antiqua"/>
          <w:color w:val="000000" w:themeColor="text1"/>
          <w:lang w:val="es-PR"/>
        </w:rPr>
        <w:t xml:space="preserve"> un período más amplio para la reinversión.</w:t>
      </w:r>
    </w:p>
    <w:p w14:paraId="6C0D8130" w14:textId="5A9ACD2A" w:rsidR="00A92396" w:rsidRPr="00EA2E6E" w:rsidRDefault="00071207" w:rsidP="006916A9">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Pr="00A92396">
        <w:rPr>
          <w:rFonts w:ascii="Book Antiqua" w:eastAsia="Book Antiqua" w:hAnsi="Book Antiqua" w:cs="Book Antiqua"/>
          <w:color w:val="000000" w:themeColor="text1"/>
          <w:lang w:val="es-PR"/>
        </w:rPr>
        <w:t>exten</w:t>
      </w:r>
      <w:r>
        <w:rPr>
          <w:rFonts w:ascii="Book Antiqua" w:eastAsia="Book Antiqua" w:hAnsi="Book Antiqua" w:cs="Book Antiqua"/>
          <w:color w:val="000000" w:themeColor="text1"/>
          <w:lang w:val="es-PR"/>
        </w:rPr>
        <w:t>sión</w:t>
      </w:r>
      <w:r w:rsidR="00A92396" w:rsidRPr="00A92396">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d</w:t>
      </w:r>
      <w:r w:rsidR="00A92396" w:rsidRPr="00A92396">
        <w:rPr>
          <w:rFonts w:ascii="Book Antiqua" w:eastAsia="Book Antiqua" w:hAnsi="Book Antiqua" w:cs="Book Antiqua"/>
          <w:color w:val="000000" w:themeColor="text1"/>
          <w:lang w:val="es-PR"/>
        </w:rPr>
        <w:t>el plazo para reclamar la protección de hogar seguro en casos de venta forzada por sentencia o ejecución también responde a las realidades operativas de los tribunales</w:t>
      </w:r>
      <w:r w:rsidR="00071FD5">
        <w:rPr>
          <w:rFonts w:ascii="Book Antiqua" w:eastAsia="Book Antiqua" w:hAnsi="Book Antiqua" w:cs="Book Antiqua"/>
          <w:color w:val="000000" w:themeColor="text1"/>
          <w:lang w:val="es-PR"/>
        </w:rPr>
        <w:t>.</w:t>
      </w:r>
      <w:r w:rsidR="00A92396" w:rsidRPr="00A92396">
        <w:rPr>
          <w:rFonts w:ascii="Book Antiqua" w:eastAsia="Book Antiqua" w:hAnsi="Book Antiqua" w:cs="Book Antiqua"/>
          <w:color w:val="000000" w:themeColor="text1"/>
          <w:lang w:val="es-PR"/>
        </w:rPr>
        <w:t xml:space="preserve"> </w:t>
      </w:r>
      <w:r w:rsidR="00071FD5">
        <w:rPr>
          <w:rFonts w:ascii="Book Antiqua" w:eastAsia="Book Antiqua" w:hAnsi="Book Antiqua" w:cs="Book Antiqua"/>
          <w:color w:val="000000" w:themeColor="text1"/>
          <w:lang w:val="es-PR"/>
        </w:rPr>
        <w:t xml:space="preserve">Estos </w:t>
      </w:r>
      <w:r w:rsidR="00A92396" w:rsidRPr="00A92396">
        <w:rPr>
          <w:rFonts w:ascii="Book Antiqua" w:eastAsia="Book Antiqua" w:hAnsi="Book Antiqua" w:cs="Book Antiqua"/>
          <w:color w:val="000000" w:themeColor="text1"/>
          <w:lang w:val="es-PR"/>
        </w:rPr>
        <w:t>aún lidian con la escasez de personal y los retrasos acumulados tras meses de interrupciones en los servicios públicos.</w:t>
      </w:r>
      <w:r w:rsidR="00613CE5">
        <w:rPr>
          <w:rFonts w:ascii="Book Antiqua" w:eastAsia="Book Antiqua" w:hAnsi="Book Antiqua" w:cs="Book Antiqua"/>
          <w:color w:val="000000" w:themeColor="text1"/>
          <w:lang w:val="es-PR"/>
        </w:rPr>
        <w:t xml:space="preserve"> En fin, esta medida </w:t>
      </w:r>
      <w:r w:rsidR="00613CE5" w:rsidRPr="00613CE5">
        <w:rPr>
          <w:rFonts w:ascii="Book Antiqua" w:eastAsia="Book Antiqua" w:hAnsi="Book Antiqua" w:cs="Book Antiqua"/>
          <w:color w:val="000000" w:themeColor="text1"/>
          <w:lang w:val="es-PR"/>
        </w:rPr>
        <w:t>fortalece el marco de protección del hogar seguro</w:t>
      </w:r>
      <w:r w:rsidR="00FB46E9">
        <w:rPr>
          <w:rFonts w:ascii="Book Antiqua" w:eastAsia="Book Antiqua" w:hAnsi="Book Antiqua" w:cs="Book Antiqua"/>
          <w:color w:val="000000" w:themeColor="text1"/>
          <w:lang w:val="es-PR"/>
        </w:rPr>
        <w:t>. Lo</w:t>
      </w:r>
      <w:r w:rsidR="00613CE5" w:rsidRPr="00613CE5">
        <w:rPr>
          <w:rFonts w:ascii="Book Antiqua" w:eastAsia="Book Antiqua" w:hAnsi="Book Antiqua" w:cs="Book Antiqua"/>
          <w:color w:val="000000" w:themeColor="text1"/>
          <w:lang w:val="es-PR"/>
        </w:rPr>
        <w:t xml:space="preserve"> adapt</w:t>
      </w:r>
      <w:r w:rsidR="00FB46E9">
        <w:rPr>
          <w:rFonts w:ascii="Book Antiqua" w:eastAsia="Book Antiqua" w:hAnsi="Book Antiqua" w:cs="Book Antiqua"/>
          <w:color w:val="000000" w:themeColor="text1"/>
          <w:lang w:val="es-PR"/>
        </w:rPr>
        <w:t>a</w:t>
      </w:r>
      <w:r w:rsidR="00613CE5" w:rsidRPr="00613CE5">
        <w:rPr>
          <w:rFonts w:ascii="Book Antiqua" w:eastAsia="Book Antiqua" w:hAnsi="Book Antiqua" w:cs="Book Antiqua"/>
          <w:color w:val="000000" w:themeColor="text1"/>
          <w:lang w:val="es-PR"/>
        </w:rPr>
        <w:t xml:space="preserve"> a las necesidades contemporáneas y ref</w:t>
      </w:r>
      <w:r w:rsidR="00FB46E9">
        <w:rPr>
          <w:rFonts w:ascii="Book Antiqua" w:eastAsia="Book Antiqua" w:hAnsi="Book Antiqua" w:cs="Book Antiqua"/>
          <w:color w:val="000000" w:themeColor="text1"/>
          <w:lang w:val="es-PR"/>
        </w:rPr>
        <w:t>uerza</w:t>
      </w:r>
      <w:r w:rsidR="00613CE5" w:rsidRPr="00613CE5">
        <w:rPr>
          <w:rFonts w:ascii="Book Antiqua" w:eastAsia="Book Antiqua" w:hAnsi="Book Antiqua" w:cs="Book Antiqua"/>
          <w:color w:val="000000" w:themeColor="text1"/>
          <w:lang w:val="es-PR"/>
        </w:rPr>
        <w:t xml:space="preserve"> el derecho de los ciudadanos a contar con un techo digno y protegido.</w:t>
      </w:r>
    </w:p>
    <w:p w14:paraId="482EF175" w14:textId="725E6B82" w:rsidR="008E1A90" w:rsidRDefault="00DA1A59" w:rsidP="006916A9">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Según solicitado, esta</w:t>
      </w:r>
      <w:r w:rsidR="008E1A90">
        <w:rPr>
          <w:rFonts w:ascii="Book Antiqua" w:eastAsia="Book Antiqua" w:hAnsi="Book Antiqua" w:cs="Book Antiqua"/>
          <w:color w:val="000000" w:themeColor="text1"/>
          <w:lang w:val="es-PR"/>
        </w:rPr>
        <w:t xml:space="preserve"> Comisión recibió memorandos a favor de la medida,</w:t>
      </w:r>
      <w:r>
        <w:rPr>
          <w:rFonts w:ascii="Book Antiqua" w:eastAsia="Book Antiqua" w:hAnsi="Book Antiqua" w:cs="Book Antiqua"/>
          <w:color w:val="000000" w:themeColor="text1"/>
          <w:lang w:val="es-PR"/>
        </w:rPr>
        <w:t xml:space="preserve"> los cuales </w:t>
      </w:r>
      <w:r w:rsidR="005E4CF7">
        <w:rPr>
          <w:rFonts w:ascii="Book Antiqua" w:eastAsia="Book Antiqua" w:hAnsi="Book Antiqua" w:cs="Book Antiqua"/>
          <w:color w:val="000000" w:themeColor="text1"/>
          <w:lang w:val="es-PR"/>
        </w:rPr>
        <w:t xml:space="preserve">se </w:t>
      </w:r>
      <w:r>
        <w:rPr>
          <w:rFonts w:ascii="Book Antiqua" w:eastAsia="Book Antiqua" w:hAnsi="Book Antiqua" w:cs="Book Antiqua"/>
          <w:color w:val="000000" w:themeColor="text1"/>
          <w:lang w:val="es-PR"/>
        </w:rPr>
        <w:t>resum</w:t>
      </w:r>
      <w:r w:rsidR="005E4CF7">
        <w:rPr>
          <w:rFonts w:ascii="Book Antiqua" w:eastAsia="Book Antiqua" w:hAnsi="Book Antiqua" w:cs="Book Antiqua"/>
          <w:color w:val="000000" w:themeColor="text1"/>
          <w:lang w:val="es-PR"/>
        </w:rPr>
        <w:t>en</w:t>
      </w:r>
      <w:r>
        <w:rPr>
          <w:rFonts w:ascii="Book Antiqua" w:eastAsia="Book Antiqua" w:hAnsi="Book Antiqua" w:cs="Book Antiqua"/>
          <w:color w:val="000000" w:themeColor="text1"/>
          <w:lang w:val="es-PR"/>
        </w:rPr>
        <w:t xml:space="preserve"> a continuación.</w:t>
      </w:r>
      <w:r w:rsidR="008E1A90">
        <w:rPr>
          <w:rFonts w:ascii="Book Antiqua" w:eastAsia="Book Antiqua" w:hAnsi="Book Antiqua" w:cs="Book Antiqua"/>
          <w:color w:val="000000" w:themeColor="text1"/>
          <w:lang w:val="es-PR"/>
        </w:rPr>
        <w:t xml:space="preserve"> </w:t>
      </w:r>
    </w:p>
    <w:p w14:paraId="7859CDEF" w14:textId="79169E26" w:rsidR="00900FC1" w:rsidRDefault="00C57B5F" w:rsidP="006916A9">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001C338F">
        <w:rPr>
          <w:rFonts w:ascii="Book Antiqua" w:eastAsia="Book Antiqua" w:hAnsi="Book Antiqua" w:cs="Book Antiqua"/>
          <w:b/>
          <w:bCs/>
          <w:color w:val="000000" w:themeColor="text1"/>
          <w:lang w:val="es-PR"/>
        </w:rPr>
        <w:t>Asociación de Bancos de Puerto Rico</w:t>
      </w:r>
      <w:r>
        <w:rPr>
          <w:rFonts w:ascii="Book Antiqua" w:eastAsia="Book Antiqua" w:hAnsi="Book Antiqua" w:cs="Book Antiqua"/>
          <w:b/>
          <w:bCs/>
          <w:color w:val="000000" w:themeColor="text1"/>
          <w:lang w:val="es-PR"/>
        </w:rPr>
        <w:t xml:space="preserve"> </w:t>
      </w:r>
      <w:r>
        <w:rPr>
          <w:rFonts w:ascii="Book Antiqua" w:eastAsia="Book Antiqua" w:hAnsi="Book Antiqua" w:cs="Book Antiqua"/>
          <w:color w:val="000000" w:themeColor="text1"/>
          <w:lang w:val="es-PR"/>
        </w:rPr>
        <w:t>(</w:t>
      </w:r>
      <w:r w:rsidR="001C338F">
        <w:rPr>
          <w:rFonts w:ascii="Book Antiqua" w:eastAsia="Book Antiqua" w:hAnsi="Book Antiqua" w:cs="Book Antiqua"/>
          <w:color w:val="000000" w:themeColor="text1"/>
          <w:lang w:val="es-PR"/>
        </w:rPr>
        <w:t>ABPR</w:t>
      </w:r>
      <w:r>
        <w:rPr>
          <w:rFonts w:ascii="Book Antiqua" w:eastAsia="Book Antiqua" w:hAnsi="Book Antiqua" w:cs="Book Antiqua"/>
          <w:color w:val="000000" w:themeColor="text1"/>
          <w:lang w:val="es-PR"/>
        </w:rPr>
        <w:t xml:space="preserve">) </w:t>
      </w:r>
      <w:r w:rsidR="007B5EBE">
        <w:rPr>
          <w:rFonts w:ascii="Book Antiqua" w:eastAsia="Book Antiqua" w:hAnsi="Book Antiqua" w:cs="Book Antiqua"/>
          <w:color w:val="000000" w:themeColor="text1"/>
          <w:lang w:val="es-PR"/>
        </w:rPr>
        <w:t xml:space="preserve">avala </w:t>
      </w:r>
      <w:r w:rsidR="00953609">
        <w:rPr>
          <w:rFonts w:ascii="Book Antiqua" w:eastAsia="Book Antiqua" w:hAnsi="Book Antiqua" w:cs="Book Antiqua"/>
          <w:color w:val="000000" w:themeColor="text1"/>
          <w:lang w:val="es-PR"/>
        </w:rPr>
        <w:t>las enmiendas prop</w:t>
      </w:r>
      <w:r w:rsidR="004756BA">
        <w:rPr>
          <w:rFonts w:ascii="Book Antiqua" w:eastAsia="Book Antiqua" w:hAnsi="Book Antiqua" w:cs="Book Antiqua"/>
          <w:color w:val="000000" w:themeColor="text1"/>
          <w:lang w:val="es-PR"/>
        </w:rPr>
        <w:t xml:space="preserve">uestas al Artículo 8 de la Ley </w:t>
      </w:r>
      <w:r w:rsidR="004756BA" w:rsidRPr="008633AC">
        <w:rPr>
          <w:rFonts w:ascii="Book Antiqua" w:eastAsia="Book Antiqua" w:hAnsi="Book Antiqua" w:cs="Book Antiqua"/>
          <w:color w:val="000000" w:themeColor="text1"/>
          <w:lang w:val="es-PR"/>
        </w:rPr>
        <w:t>195-2011</w:t>
      </w:r>
      <w:r w:rsidR="004756BA">
        <w:rPr>
          <w:rFonts w:ascii="Book Antiqua" w:eastAsia="Book Antiqua" w:hAnsi="Book Antiqua" w:cs="Book Antiqua"/>
          <w:color w:val="000000" w:themeColor="text1"/>
          <w:lang w:val="es-PR"/>
        </w:rPr>
        <w:t xml:space="preserve">. </w:t>
      </w:r>
      <w:r w:rsidR="00D60BDE">
        <w:rPr>
          <w:rFonts w:ascii="Book Antiqua" w:eastAsia="Book Antiqua" w:hAnsi="Book Antiqua" w:cs="Book Antiqua"/>
          <w:color w:val="000000" w:themeColor="text1"/>
          <w:lang w:val="es-PR"/>
        </w:rPr>
        <w:t xml:space="preserve">El consumidor tendrá </w:t>
      </w:r>
      <w:proofErr w:type="spellStart"/>
      <w:r w:rsidR="00D60BDE">
        <w:rPr>
          <w:rFonts w:ascii="Book Antiqua" w:eastAsia="Book Antiqua" w:hAnsi="Book Antiqua" w:cs="Book Antiqua"/>
          <w:color w:val="000000" w:themeColor="text1"/>
          <w:lang w:val="es-PR"/>
        </w:rPr>
        <w:t>mas</w:t>
      </w:r>
      <w:proofErr w:type="spellEnd"/>
      <w:r w:rsidR="00D60BDE">
        <w:rPr>
          <w:rFonts w:ascii="Book Antiqua" w:eastAsia="Book Antiqua" w:hAnsi="Book Antiqua" w:cs="Book Antiqua"/>
          <w:color w:val="000000" w:themeColor="text1"/>
          <w:lang w:val="es-PR"/>
        </w:rPr>
        <w:t xml:space="preserve"> tiempo </w:t>
      </w:r>
      <w:r w:rsidR="00B33F53">
        <w:rPr>
          <w:rFonts w:ascii="Book Antiqua" w:eastAsia="Book Antiqua" w:hAnsi="Book Antiqua" w:cs="Book Antiqua"/>
          <w:color w:val="000000" w:themeColor="text1"/>
          <w:lang w:val="es-PR"/>
        </w:rPr>
        <w:t xml:space="preserve">—12 meses en lugar de los 9 que establece la referida disposición estatutaria— </w:t>
      </w:r>
      <w:r w:rsidR="008071E7" w:rsidRPr="008071E7">
        <w:rPr>
          <w:rFonts w:ascii="Book Antiqua" w:eastAsia="Book Antiqua" w:hAnsi="Book Antiqua" w:cs="Book Antiqua"/>
          <w:color w:val="000000" w:themeColor="text1"/>
          <w:lang w:val="es-PR"/>
        </w:rPr>
        <w:t>para poder evaluar las distintas opciones de vivienda</w:t>
      </w:r>
      <w:r w:rsidR="008071E7">
        <w:rPr>
          <w:rFonts w:ascii="Book Antiqua" w:eastAsia="Book Antiqua" w:hAnsi="Book Antiqua" w:cs="Book Antiqua"/>
          <w:color w:val="000000" w:themeColor="text1"/>
          <w:lang w:val="es-PR"/>
        </w:rPr>
        <w:t>.</w:t>
      </w:r>
      <w:r w:rsidR="008071E7" w:rsidRPr="008071E7">
        <w:rPr>
          <w:rFonts w:ascii="Book Antiqua" w:eastAsia="Book Antiqua" w:hAnsi="Book Antiqua" w:cs="Book Antiqua"/>
          <w:color w:val="000000" w:themeColor="text1"/>
          <w:lang w:val="es-PR"/>
        </w:rPr>
        <w:t xml:space="preserve"> </w:t>
      </w:r>
      <w:r w:rsidR="005574C7">
        <w:rPr>
          <w:rFonts w:ascii="Book Antiqua" w:eastAsia="Book Antiqua" w:hAnsi="Book Antiqua" w:cs="Book Antiqua"/>
          <w:color w:val="000000" w:themeColor="text1"/>
          <w:lang w:val="es-PR"/>
        </w:rPr>
        <w:t>As</w:t>
      </w:r>
      <w:r w:rsidR="005340D9">
        <w:rPr>
          <w:rFonts w:ascii="Book Antiqua" w:eastAsia="Book Antiqua" w:hAnsi="Book Antiqua" w:cs="Book Antiqua"/>
          <w:color w:val="000000" w:themeColor="text1"/>
          <w:lang w:val="es-PR"/>
        </w:rPr>
        <w:t xml:space="preserve">í, podrá </w:t>
      </w:r>
      <w:r w:rsidR="008071E7" w:rsidRPr="008071E7">
        <w:rPr>
          <w:rFonts w:ascii="Book Antiqua" w:eastAsia="Book Antiqua" w:hAnsi="Book Antiqua" w:cs="Book Antiqua"/>
          <w:color w:val="000000" w:themeColor="text1"/>
          <w:lang w:val="es-PR"/>
        </w:rPr>
        <w:t>tomar una</w:t>
      </w:r>
      <w:r w:rsidR="005340D9">
        <w:rPr>
          <w:rFonts w:ascii="Book Antiqua" w:eastAsia="Book Antiqua" w:hAnsi="Book Antiqua" w:cs="Book Antiqua"/>
          <w:color w:val="000000" w:themeColor="text1"/>
          <w:lang w:val="es-PR"/>
        </w:rPr>
        <w:t xml:space="preserve"> </w:t>
      </w:r>
      <w:r w:rsidR="008071E7" w:rsidRPr="008071E7">
        <w:rPr>
          <w:rFonts w:ascii="Book Antiqua" w:eastAsia="Book Antiqua" w:hAnsi="Book Antiqua" w:cs="Book Antiqua"/>
          <w:color w:val="000000" w:themeColor="text1"/>
          <w:lang w:val="es-PR"/>
        </w:rPr>
        <w:t xml:space="preserve">decisión mejor informada de las alternativas que le provee el mercado para la compra de </w:t>
      </w:r>
      <w:r w:rsidR="00507E5F">
        <w:rPr>
          <w:rFonts w:ascii="Book Antiqua" w:eastAsia="Book Antiqua" w:hAnsi="Book Antiqua" w:cs="Book Antiqua"/>
          <w:color w:val="000000" w:themeColor="text1"/>
          <w:lang w:val="es-PR"/>
        </w:rPr>
        <w:t>una vivienda que constituya su nuevo hogar seguro.</w:t>
      </w:r>
    </w:p>
    <w:p w14:paraId="497338B0" w14:textId="77777777" w:rsidR="00CD162B" w:rsidRDefault="00507E5F" w:rsidP="006916A9">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Sin embargo, la ABPR se opone a la enmienda presentada para el </w:t>
      </w:r>
      <w:bookmarkStart w:id="0" w:name="_Hlk207807701"/>
      <w:r>
        <w:rPr>
          <w:rFonts w:ascii="Book Antiqua" w:eastAsia="Book Antiqua" w:hAnsi="Book Antiqua" w:cs="Book Antiqua"/>
          <w:color w:val="000000" w:themeColor="text1"/>
          <w:lang w:val="es-PR"/>
        </w:rPr>
        <w:t xml:space="preserve">Artículo 12 de la Ley </w:t>
      </w:r>
      <w:r w:rsidRPr="008633AC">
        <w:rPr>
          <w:rFonts w:ascii="Book Antiqua" w:eastAsia="Book Antiqua" w:hAnsi="Book Antiqua" w:cs="Book Antiqua"/>
          <w:color w:val="000000" w:themeColor="text1"/>
          <w:lang w:val="es-PR"/>
        </w:rPr>
        <w:t>195-2011</w:t>
      </w:r>
      <w:r>
        <w:rPr>
          <w:rFonts w:ascii="Book Antiqua" w:eastAsia="Book Antiqua" w:hAnsi="Book Antiqua" w:cs="Book Antiqua"/>
          <w:color w:val="000000" w:themeColor="text1"/>
          <w:lang w:val="es-PR"/>
        </w:rPr>
        <w:t xml:space="preserve"> </w:t>
      </w:r>
      <w:bookmarkEnd w:id="0"/>
      <w:r>
        <w:rPr>
          <w:rFonts w:ascii="Book Antiqua" w:eastAsia="Book Antiqua" w:hAnsi="Book Antiqua" w:cs="Book Antiqua"/>
          <w:color w:val="000000" w:themeColor="text1"/>
          <w:lang w:val="es-PR"/>
        </w:rPr>
        <w:t xml:space="preserve">—en el cual se pretende aumentar de 30 a 60 días el término para solicitar el beneficio de hogar seguro ante cualquier mecanismo preventivo de aseguramiento de sentencia o para proteger la propiedad de la parte demandada. La ABPR entiende que la extensión propuesta </w:t>
      </w:r>
      <w:r w:rsidRPr="00507E5F">
        <w:rPr>
          <w:rFonts w:ascii="Book Antiqua" w:eastAsia="Book Antiqua" w:hAnsi="Book Antiqua" w:cs="Book Antiqua"/>
          <w:color w:val="000000" w:themeColor="text1"/>
          <w:lang w:val="es-PR"/>
        </w:rPr>
        <w:t>provocaría mayor dilación en la solución de los casos ante l</w:t>
      </w:r>
      <w:r>
        <w:rPr>
          <w:rFonts w:ascii="Book Antiqua" w:eastAsia="Book Antiqua" w:hAnsi="Book Antiqua" w:cs="Book Antiqua"/>
          <w:color w:val="000000" w:themeColor="text1"/>
          <w:lang w:val="es-PR"/>
        </w:rPr>
        <w:t>os</w:t>
      </w:r>
      <w:r w:rsidRPr="00507E5F">
        <w:rPr>
          <w:rFonts w:ascii="Book Antiqua" w:eastAsia="Book Antiqua" w:hAnsi="Book Antiqua" w:cs="Book Antiqua"/>
          <w:color w:val="000000" w:themeColor="text1"/>
          <w:lang w:val="es-PR"/>
        </w:rPr>
        <w:t xml:space="preserve"> tribunal</w:t>
      </w:r>
      <w:r>
        <w:rPr>
          <w:rFonts w:ascii="Book Antiqua" w:eastAsia="Book Antiqua" w:hAnsi="Book Antiqua" w:cs="Book Antiqua"/>
          <w:color w:val="000000" w:themeColor="text1"/>
          <w:lang w:val="es-PR"/>
        </w:rPr>
        <w:t>es,</w:t>
      </w:r>
      <w:r w:rsidRPr="00507E5F">
        <w:rPr>
          <w:rFonts w:ascii="Book Antiqua" w:eastAsia="Book Antiqua" w:hAnsi="Book Antiqua" w:cs="Book Antiqua"/>
          <w:color w:val="000000" w:themeColor="text1"/>
          <w:lang w:val="es-PR"/>
        </w:rPr>
        <w:t xml:space="preserve"> y se fundamenta en hechos que no necesariamente se atemperan a la realidad actual.</w:t>
      </w:r>
      <w:r w:rsidR="00CD162B">
        <w:rPr>
          <w:rFonts w:ascii="Book Antiqua" w:eastAsia="Book Antiqua" w:hAnsi="Book Antiqua" w:cs="Book Antiqua"/>
          <w:color w:val="000000" w:themeColor="text1"/>
          <w:lang w:val="es-PR"/>
        </w:rPr>
        <w:t xml:space="preserve"> </w:t>
      </w:r>
    </w:p>
    <w:p w14:paraId="2107D18E" w14:textId="5EEFDFF9" w:rsidR="007006EB" w:rsidRDefault="00CD162B" w:rsidP="006916A9">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asociación enfatizó que la exposición de motivos de la medida fundamenta las extensiones de términos en el paso del </w:t>
      </w:r>
      <w:r w:rsidR="00380606">
        <w:rPr>
          <w:rFonts w:ascii="Book Antiqua" w:eastAsia="Book Antiqua" w:hAnsi="Book Antiqua" w:cs="Book Antiqua"/>
          <w:color w:val="000000" w:themeColor="text1"/>
          <w:lang w:val="es-PR"/>
        </w:rPr>
        <w:t>h</w:t>
      </w:r>
      <w:r w:rsidRPr="00A92396">
        <w:rPr>
          <w:rFonts w:ascii="Book Antiqua" w:eastAsia="Book Antiqua" w:hAnsi="Book Antiqua" w:cs="Book Antiqua"/>
          <w:color w:val="000000" w:themeColor="text1"/>
          <w:lang w:val="es-PR"/>
        </w:rPr>
        <w:t>uracán María</w:t>
      </w:r>
      <w:r>
        <w:rPr>
          <w:rFonts w:ascii="Book Antiqua" w:eastAsia="Book Antiqua" w:hAnsi="Book Antiqua" w:cs="Book Antiqua"/>
          <w:color w:val="000000" w:themeColor="text1"/>
          <w:lang w:val="es-PR"/>
        </w:rPr>
        <w:t xml:space="preserve">, lo cual ocurrió hace casi 8 años. La ABPR entiende que se superaron mayormente los retos que provocó el referido fenómeno atmosférico. Según la entidad, la enmienda al Artículo 12 también </w:t>
      </w:r>
      <w:r w:rsidRPr="00CD162B">
        <w:rPr>
          <w:rFonts w:ascii="Book Antiqua" w:eastAsia="Book Antiqua" w:hAnsi="Book Antiqua" w:cs="Book Antiqua"/>
          <w:color w:val="000000" w:themeColor="text1"/>
          <w:lang w:val="es-PR"/>
        </w:rPr>
        <w:t>atrasaría aún más la disponibilidad de vivienda para los consumidores que buscan comprar una propiedad.</w:t>
      </w:r>
      <w:r>
        <w:rPr>
          <w:rFonts w:ascii="Book Antiqua" w:eastAsia="Book Antiqua" w:hAnsi="Book Antiqua" w:cs="Book Antiqua"/>
          <w:color w:val="000000" w:themeColor="text1"/>
          <w:lang w:val="es-PR"/>
        </w:rPr>
        <w:t xml:space="preserve"> </w:t>
      </w:r>
      <w:r w:rsidR="00FA6A94">
        <w:rPr>
          <w:rFonts w:ascii="Book Antiqua" w:eastAsia="Book Antiqua" w:hAnsi="Book Antiqua" w:cs="Book Antiqua"/>
          <w:color w:val="000000" w:themeColor="text1"/>
          <w:lang w:val="es-PR"/>
        </w:rPr>
        <w:t xml:space="preserve">En fin, </w:t>
      </w:r>
      <w:r w:rsidR="008360F7">
        <w:rPr>
          <w:rFonts w:ascii="Book Antiqua" w:eastAsia="Book Antiqua" w:hAnsi="Book Antiqua" w:cs="Book Antiqua"/>
          <w:color w:val="000000" w:themeColor="text1"/>
          <w:lang w:val="es-PR"/>
        </w:rPr>
        <w:t xml:space="preserve">la </w:t>
      </w:r>
      <w:r>
        <w:rPr>
          <w:rFonts w:ascii="Book Antiqua" w:eastAsia="Book Antiqua" w:hAnsi="Book Antiqua" w:cs="Book Antiqua"/>
          <w:color w:val="000000" w:themeColor="text1"/>
          <w:lang w:val="es-PR"/>
        </w:rPr>
        <w:t xml:space="preserve">ABPR se opone a la aprobación del </w:t>
      </w:r>
      <w:r w:rsidRPr="001711E6">
        <w:rPr>
          <w:rFonts w:ascii="Book Antiqua" w:eastAsia="Book Antiqua" w:hAnsi="Book Antiqua" w:cs="Book Antiqua"/>
          <w:color w:val="000000" w:themeColor="text1"/>
          <w:lang w:val="es-PR"/>
        </w:rPr>
        <w:t xml:space="preserve">P. de la C. </w:t>
      </w:r>
      <w:r>
        <w:rPr>
          <w:rFonts w:ascii="Book Antiqua" w:eastAsia="Book Antiqua" w:hAnsi="Book Antiqua" w:cs="Book Antiqua"/>
          <w:color w:val="000000" w:themeColor="text1"/>
          <w:lang w:val="es-PR"/>
        </w:rPr>
        <w:t>216 según redactado.</w:t>
      </w:r>
    </w:p>
    <w:p w14:paraId="68FBDAC5" w14:textId="2E66F39E" w:rsidR="00FA6A94" w:rsidRDefault="00FA6A94" w:rsidP="00F308FA">
      <w:pPr>
        <w:spacing w:after="240"/>
        <w:ind w:firstLine="720"/>
        <w:jc w:val="both"/>
        <w:rPr>
          <w:rFonts w:ascii="Book Antiqua" w:eastAsia="Book Antiqua" w:hAnsi="Book Antiqua" w:cs="Book Antiqua"/>
          <w:color w:val="000000" w:themeColor="text1"/>
          <w:lang w:val="es-PR"/>
        </w:rPr>
      </w:pPr>
    </w:p>
    <w:p w14:paraId="69D7889A" w14:textId="05F143DE" w:rsidR="006E576F" w:rsidRDefault="00E45D22" w:rsidP="00661AB8">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lastRenderedPageBreak/>
        <w:t xml:space="preserve">Por </w:t>
      </w:r>
      <w:r w:rsidR="00F77115">
        <w:rPr>
          <w:rFonts w:ascii="Book Antiqua" w:eastAsia="Book Antiqua" w:hAnsi="Book Antiqua" w:cs="Book Antiqua"/>
          <w:color w:val="000000" w:themeColor="text1"/>
          <w:lang w:val="es-PR"/>
        </w:rPr>
        <w:t>su parte,</w:t>
      </w:r>
      <w:r w:rsidR="00D91478">
        <w:rPr>
          <w:rFonts w:ascii="Book Antiqua" w:eastAsia="Book Antiqua" w:hAnsi="Book Antiqua" w:cs="Book Antiqua"/>
          <w:color w:val="000000" w:themeColor="text1"/>
          <w:lang w:val="es-PR"/>
        </w:rPr>
        <w:t xml:space="preserve"> </w:t>
      </w:r>
      <w:r w:rsidR="002D4655">
        <w:rPr>
          <w:rFonts w:ascii="Book Antiqua" w:eastAsia="Book Antiqua" w:hAnsi="Book Antiqua" w:cs="Book Antiqua"/>
          <w:color w:val="000000" w:themeColor="text1"/>
          <w:lang w:val="es-PR"/>
        </w:rPr>
        <w:t xml:space="preserve">el </w:t>
      </w:r>
      <w:r w:rsidR="006E576F">
        <w:rPr>
          <w:rFonts w:ascii="Book Antiqua" w:eastAsia="Book Antiqua" w:hAnsi="Book Antiqua" w:cs="Book Antiqua"/>
          <w:b/>
          <w:bCs/>
          <w:color w:val="000000" w:themeColor="text1"/>
          <w:lang w:val="es-PR"/>
        </w:rPr>
        <w:t>Departamento de Justicia</w:t>
      </w:r>
      <w:r w:rsidR="00F308FA">
        <w:rPr>
          <w:rFonts w:ascii="Book Antiqua" w:eastAsia="Book Antiqua" w:hAnsi="Book Antiqua" w:cs="Book Antiqua"/>
          <w:b/>
          <w:bCs/>
          <w:color w:val="000000" w:themeColor="text1"/>
          <w:lang w:val="es-PR"/>
        </w:rPr>
        <w:t xml:space="preserve"> </w:t>
      </w:r>
      <w:r w:rsidR="00F308FA">
        <w:rPr>
          <w:rFonts w:ascii="Book Antiqua" w:eastAsia="Book Antiqua" w:hAnsi="Book Antiqua" w:cs="Book Antiqua"/>
          <w:color w:val="000000" w:themeColor="text1"/>
          <w:lang w:val="es-PR"/>
        </w:rPr>
        <w:t>(</w:t>
      </w:r>
      <w:r w:rsidR="006E576F">
        <w:rPr>
          <w:rFonts w:ascii="Book Antiqua" w:eastAsia="Book Antiqua" w:hAnsi="Book Antiqua" w:cs="Book Antiqua"/>
          <w:color w:val="000000" w:themeColor="text1"/>
          <w:lang w:val="es-PR"/>
        </w:rPr>
        <w:t>DJ</w:t>
      </w:r>
      <w:r w:rsidR="00F308FA">
        <w:rPr>
          <w:rFonts w:ascii="Book Antiqua" w:eastAsia="Book Antiqua" w:hAnsi="Book Antiqua" w:cs="Book Antiqua"/>
          <w:color w:val="000000" w:themeColor="text1"/>
          <w:lang w:val="es-PR"/>
        </w:rPr>
        <w:t>)</w:t>
      </w:r>
      <w:r w:rsidR="00EC2402">
        <w:rPr>
          <w:rFonts w:ascii="Book Antiqua" w:eastAsia="Book Antiqua" w:hAnsi="Book Antiqua" w:cs="Book Antiqua"/>
          <w:color w:val="000000" w:themeColor="text1"/>
          <w:lang w:val="es-PR"/>
        </w:rPr>
        <w:t xml:space="preserve"> apoya </w:t>
      </w:r>
      <w:r w:rsidR="006E576F">
        <w:rPr>
          <w:rFonts w:ascii="Book Antiqua" w:eastAsia="Book Antiqua" w:hAnsi="Book Antiqua" w:cs="Book Antiqua"/>
          <w:color w:val="000000" w:themeColor="text1"/>
          <w:lang w:val="es-PR"/>
        </w:rPr>
        <w:t xml:space="preserve">la medida. Entiende que el desbalance entre el exceso de demanda y la disponibilidad de viviendas puede ser un elemento que justifique el que una persona demore </w:t>
      </w:r>
      <w:proofErr w:type="spellStart"/>
      <w:r w:rsidR="006E576F">
        <w:rPr>
          <w:rFonts w:ascii="Book Antiqua" w:eastAsia="Book Antiqua" w:hAnsi="Book Antiqua" w:cs="Book Antiqua"/>
          <w:color w:val="000000" w:themeColor="text1"/>
          <w:lang w:val="es-PR"/>
        </w:rPr>
        <w:t>mas</w:t>
      </w:r>
      <w:proofErr w:type="spellEnd"/>
      <w:r w:rsidR="006E576F">
        <w:rPr>
          <w:rFonts w:ascii="Book Antiqua" w:eastAsia="Book Antiqua" w:hAnsi="Book Antiqua" w:cs="Book Antiqua"/>
          <w:color w:val="000000" w:themeColor="text1"/>
          <w:lang w:val="es-PR"/>
        </w:rPr>
        <w:t xml:space="preserve"> de 9 meses en conseguir otra propiedad para constituirla como su nuevo hogar seguro —lo que pretende atender la enmienda al Artículo 8 de la Ley </w:t>
      </w:r>
      <w:r w:rsidR="006E576F" w:rsidRPr="008633AC">
        <w:rPr>
          <w:rFonts w:ascii="Book Antiqua" w:eastAsia="Book Antiqua" w:hAnsi="Book Antiqua" w:cs="Book Antiqua"/>
          <w:color w:val="000000" w:themeColor="text1"/>
          <w:lang w:val="es-PR"/>
        </w:rPr>
        <w:t>195-2011</w:t>
      </w:r>
      <w:r w:rsidR="006E576F">
        <w:rPr>
          <w:rFonts w:ascii="Book Antiqua" w:eastAsia="Book Antiqua" w:hAnsi="Book Antiqua" w:cs="Book Antiqua"/>
          <w:color w:val="000000" w:themeColor="text1"/>
          <w:lang w:val="es-PR"/>
        </w:rPr>
        <w:t>.</w:t>
      </w:r>
    </w:p>
    <w:p w14:paraId="12096C5A" w14:textId="5994F964" w:rsidR="006E576F" w:rsidRPr="006E576F" w:rsidRDefault="006E576F" w:rsidP="00661AB8">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De todos modos, el DJ resumió ciertas ponencias de la Asamblea Legislativa anterior sobre </w:t>
      </w:r>
      <w:bookmarkStart w:id="1" w:name="_Hlk207360576"/>
      <w:r>
        <w:rPr>
          <w:rFonts w:ascii="Book Antiqua" w:eastAsia="Book Antiqua" w:hAnsi="Book Antiqua" w:cs="Book Antiqua"/>
          <w:color w:val="000000" w:themeColor="text1"/>
          <w:lang w:val="es-PR"/>
        </w:rPr>
        <w:t>el P. de la C. 1349 —medida análoga a</w:t>
      </w:r>
      <w:r w:rsidR="00661AB8">
        <w:rPr>
          <w:rFonts w:ascii="Book Antiqua" w:eastAsia="Book Antiqua" w:hAnsi="Book Antiqua" w:cs="Book Antiqua"/>
          <w:color w:val="000000" w:themeColor="text1"/>
          <w:lang w:val="es-PR"/>
        </w:rPr>
        <w:t>l</w:t>
      </w:r>
      <w:r>
        <w:rPr>
          <w:rFonts w:ascii="Book Antiqua" w:eastAsia="Book Antiqua" w:hAnsi="Book Antiqua" w:cs="Book Antiqua"/>
          <w:color w:val="000000" w:themeColor="text1"/>
          <w:lang w:val="es-PR"/>
        </w:rPr>
        <w:t xml:space="preserve"> </w:t>
      </w:r>
      <w:r w:rsidRPr="001711E6">
        <w:rPr>
          <w:rFonts w:ascii="Book Antiqua" w:eastAsia="Book Antiqua" w:hAnsi="Book Antiqua" w:cs="Book Antiqua"/>
          <w:color w:val="000000" w:themeColor="text1"/>
          <w:lang w:val="es-PR"/>
        </w:rPr>
        <w:t xml:space="preserve">P. de la C. </w:t>
      </w:r>
      <w:r>
        <w:rPr>
          <w:rFonts w:ascii="Book Antiqua" w:eastAsia="Book Antiqua" w:hAnsi="Book Antiqua" w:cs="Book Antiqua"/>
          <w:color w:val="000000" w:themeColor="text1"/>
          <w:lang w:val="es-PR"/>
        </w:rPr>
        <w:t>216</w:t>
      </w:r>
      <w:bookmarkEnd w:id="1"/>
      <w:r>
        <w:rPr>
          <w:rFonts w:ascii="Book Antiqua" w:eastAsia="Book Antiqua" w:hAnsi="Book Antiqua" w:cs="Book Antiqua"/>
          <w:color w:val="000000" w:themeColor="text1"/>
          <w:lang w:val="es-PR"/>
        </w:rPr>
        <w:t xml:space="preserve">. El DJ reseñó la comparecencia del </w:t>
      </w:r>
      <w:proofErr w:type="spellStart"/>
      <w:r>
        <w:rPr>
          <w:rFonts w:ascii="Book Antiqua" w:eastAsia="Book Antiqua" w:hAnsi="Book Antiqua" w:cs="Book Antiqua"/>
          <w:i/>
          <w:iCs/>
          <w:color w:val="000000" w:themeColor="text1"/>
          <w:lang w:val="es-PR"/>
        </w:rPr>
        <w:t>Mortgage</w:t>
      </w:r>
      <w:proofErr w:type="spellEnd"/>
      <w:r>
        <w:rPr>
          <w:rFonts w:ascii="Book Antiqua" w:eastAsia="Book Antiqua" w:hAnsi="Book Antiqua" w:cs="Book Antiqua"/>
          <w:i/>
          <w:iCs/>
          <w:color w:val="000000" w:themeColor="text1"/>
          <w:lang w:val="es-PR"/>
        </w:rPr>
        <w:t xml:space="preserve"> </w:t>
      </w:r>
      <w:proofErr w:type="spellStart"/>
      <w:r>
        <w:rPr>
          <w:rFonts w:ascii="Book Antiqua" w:eastAsia="Book Antiqua" w:hAnsi="Book Antiqua" w:cs="Book Antiqua"/>
          <w:i/>
          <w:iCs/>
          <w:color w:val="000000" w:themeColor="text1"/>
          <w:lang w:val="es-PR"/>
        </w:rPr>
        <w:t>Bankers</w:t>
      </w:r>
      <w:proofErr w:type="spellEnd"/>
      <w:r>
        <w:rPr>
          <w:rFonts w:ascii="Book Antiqua" w:eastAsia="Book Antiqua" w:hAnsi="Book Antiqua" w:cs="Book Antiqua"/>
          <w:i/>
          <w:iCs/>
          <w:color w:val="000000" w:themeColor="text1"/>
          <w:lang w:val="es-PR"/>
        </w:rPr>
        <w:t xml:space="preserve"> </w:t>
      </w:r>
      <w:proofErr w:type="spellStart"/>
      <w:r>
        <w:rPr>
          <w:rFonts w:ascii="Book Antiqua" w:eastAsia="Book Antiqua" w:hAnsi="Book Antiqua" w:cs="Book Antiqua"/>
          <w:i/>
          <w:iCs/>
          <w:color w:val="000000" w:themeColor="text1"/>
          <w:lang w:val="es-PR"/>
        </w:rPr>
        <w:t>Association</w:t>
      </w:r>
      <w:proofErr w:type="spellEnd"/>
      <w:r w:rsidR="00661AB8">
        <w:rPr>
          <w:rFonts w:ascii="Book Antiqua" w:eastAsia="Book Antiqua" w:hAnsi="Book Antiqua" w:cs="Book Antiqua"/>
          <w:i/>
          <w:iCs/>
          <w:color w:val="000000" w:themeColor="text1"/>
          <w:lang w:val="es-PR"/>
        </w:rPr>
        <w:t xml:space="preserve"> </w:t>
      </w:r>
      <w:proofErr w:type="spellStart"/>
      <w:r w:rsidR="00661AB8">
        <w:rPr>
          <w:rFonts w:ascii="Book Antiqua" w:eastAsia="Book Antiqua" w:hAnsi="Book Antiqua" w:cs="Book Antiqua"/>
          <w:i/>
          <w:iCs/>
          <w:color w:val="000000" w:themeColor="text1"/>
          <w:lang w:val="es-PR"/>
        </w:rPr>
        <w:t>of</w:t>
      </w:r>
      <w:proofErr w:type="spellEnd"/>
      <w:r w:rsidR="00661AB8">
        <w:rPr>
          <w:rFonts w:ascii="Book Antiqua" w:eastAsia="Book Antiqua" w:hAnsi="Book Antiqua" w:cs="Book Antiqua"/>
          <w:i/>
          <w:iCs/>
          <w:color w:val="000000" w:themeColor="text1"/>
          <w:lang w:val="es-PR"/>
        </w:rPr>
        <w:t xml:space="preserve"> Puerto Rico</w:t>
      </w:r>
      <w:r>
        <w:rPr>
          <w:rFonts w:ascii="Book Antiqua" w:eastAsia="Book Antiqua" w:hAnsi="Book Antiqua" w:cs="Book Antiqua"/>
          <w:i/>
          <w:iCs/>
          <w:color w:val="000000" w:themeColor="text1"/>
          <w:lang w:val="es-PR"/>
        </w:rPr>
        <w:t xml:space="preserve"> </w:t>
      </w:r>
      <w:r>
        <w:rPr>
          <w:rFonts w:ascii="Book Antiqua" w:eastAsia="Book Antiqua" w:hAnsi="Book Antiqua" w:cs="Book Antiqua"/>
          <w:color w:val="000000" w:themeColor="text1"/>
          <w:lang w:val="es-PR"/>
        </w:rPr>
        <w:t>(MBA</w:t>
      </w:r>
      <w:r w:rsidR="00661AB8">
        <w:rPr>
          <w:rFonts w:ascii="Book Antiqua" w:eastAsia="Book Antiqua" w:hAnsi="Book Antiqua" w:cs="Book Antiqua"/>
          <w:color w:val="000000" w:themeColor="text1"/>
          <w:lang w:val="es-PR"/>
        </w:rPr>
        <w:t>PR</w:t>
      </w:r>
      <w:r>
        <w:rPr>
          <w:rFonts w:ascii="Book Antiqua" w:eastAsia="Book Antiqua" w:hAnsi="Book Antiqua" w:cs="Book Antiqua"/>
          <w:color w:val="000000" w:themeColor="text1"/>
          <w:lang w:val="es-PR"/>
        </w:rPr>
        <w:t>)</w:t>
      </w:r>
      <w:r>
        <w:rPr>
          <w:rFonts w:ascii="Book Antiqua" w:eastAsia="Book Antiqua" w:hAnsi="Book Antiqua" w:cs="Book Antiqua"/>
          <w:i/>
          <w:iCs/>
          <w:color w:val="000000" w:themeColor="text1"/>
          <w:lang w:val="es-PR"/>
        </w:rPr>
        <w:t xml:space="preserve">, </w:t>
      </w:r>
      <w:r>
        <w:rPr>
          <w:rFonts w:ascii="Book Antiqua" w:eastAsia="Book Antiqua" w:hAnsi="Book Antiqua" w:cs="Book Antiqua"/>
          <w:color w:val="000000" w:themeColor="text1"/>
          <w:lang w:val="es-PR"/>
        </w:rPr>
        <w:t>quien levantó argumentos similares a los de la ABPR. El MBA</w:t>
      </w:r>
      <w:r w:rsidR="00661AB8">
        <w:rPr>
          <w:rFonts w:ascii="Book Antiqua" w:eastAsia="Book Antiqua" w:hAnsi="Book Antiqua" w:cs="Book Antiqua"/>
          <w:color w:val="000000" w:themeColor="text1"/>
          <w:lang w:val="es-PR"/>
        </w:rPr>
        <w:t>PR</w:t>
      </w:r>
      <w:r>
        <w:rPr>
          <w:rFonts w:ascii="Book Antiqua" w:eastAsia="Book Antiqua" w:hAnsi="Book Antiqua" w:cs="Book Antiqua"/>
          <w:color w:val="000000" w:themeColor="text1"/>
          <w:lang w:val="es-PR"/>
        </w:rPr>
        <w:t xml:space="preserve"> sostuvo que extender los términos de la Ley </w:t>
      </w:r>
      <w:r w:rsidRPr="008633AC">
        <w:rPr>
          <w:rFonts w:ascii="Book Antiqua" w:eastAsia="Book Antiqua" w:hAnsi="Book Antiqua" w:cs="Book Antiqua"/>
          <w:color w:val="000000" w:themeColor="text1"/>
          <w:lang w:val="es-PR"/>
        </w:rPr>
        <w:t>195-2011</w:t>
      </w:r>
      <w:r>
        <w:rPr>
          <w:rFonts w:ascii="Book Antiqua" w:eastAsia="Book Antiqua" w:hAnsi="Book Antiqua" w:cs="Book Antiqua"/>
          <w:color w:val="000000" w:themeColor="text1"/>
          <w:lang w:val="es-PR"/>
        </w:rPr>
        <w:t xml:space="preserve"> </w:t>
      </w:r>
      <w:r w:rsidR="001F38BF">
        <w:rPr>
          <w:rFonts w:ascii="Book Antiqua" w:eastAsia="Book Antiqua" w:hAnsi="Book Antiqua" w:cs="Book Antiqua"/>
          <w:color w:val="000000" w:themeColor="text1"/>
          <w:lang w:val="es-PR"/>
        </w:rPr>
        <w:t>podría deteriorar las propiedades en controversia. Que también podría afectar a los Consejos de Titulares y las deudas vencidas por concepto de mantenimiento de apartamentos bajo el régimen de propiedad horizontal.</w:t>
      </w:r>
    </w:p>
    <w:p w14:paraId="4DFBB668" w14:textId="27C6D352" w:rsidR="001F38BF" w:rsidRDefault="001F38BF" w:rsidP="00661AB8">
      <w:pPr>
        <w:spacing w:after="36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DJ resumió la comparecencia de la Oficina de Administración de los Tribunales (OAT). Esta objetó las referencias a las dilaciones que el </w:t>
      </w:r>
      <w:r w:rsidR="00380606">
        <w:rPr>
          <w:rFonts w:ascii="Book Antiqua" w:eastAsia="Book Antiqua" w:hAnsi="Book Antiqua" w:cs="Book Antiqua"/>
          <w:color w:val="000000" w:themeColor="text1"/>
          <w:lang w:val="es-PR"/>
        </w:rPr>
        <w:t>h</w:t>
      </w:r>
      <w:r>
        <w:rPr>
          <w:rFonts w:ascii="Book Antiqua" w:eastAsia="Book Antiqua" w:hAnsi="Book Antiqua" w:cs="Book Antiqua"/>
          <w:color w:val="000000" w:themeColor="text1"/>
          <w:lang w:val="es-PR"/>
        </w:rPr>
        <w:t>uracán María produjo en los trámites judiciales para justificar la medida.</w:t>
      </w:r>
    </w:p>
    <w:p w14:paraId="52F5647D" w14:textId="5B28D184" w:rsidR="006E576F" w:rsidRDefault="001F38BF" w:rsidP="00661AB8">
      <w:pPr>
        <w:spacing w:after="36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Pr>
          <w:rFonts w:ascii="Book Antiqua" w:eastAsia="Book Antiqua" w:hAnsi="Book Antiqua" w:cs="Book Antiqua"/>
          <w:b/>
          <w:bCs/>
          <w:color w:val="000000" w:themeColor="text1"/>
          <w:lang w:val="es-PR"/>
        </w:rPr>
        <w:t xml:space="preserve">Oficina de Servicios Legislativos </w:t>
      </w:r>
      <w:r>
        <w:rPr>
          <w:rFonts w:ascii="Book Antiqua" w:eastAsia="Book Antiqua" w:hAnsi="Book Antiqua" w:cs="Book Antiqua"/>
          <w:color w:val="000000" w:themeColor="text1"/>
          <w:lang w:val="es-PR"/>
        </w:rPr>
        <w:t xml:space="preserve">(OSL) también compareció a favor del </w:t>
      </w:r>
      <w:r w:rsidRPr="001711E6">
        <w:rPr>
          <w:rFonts w:ascii="Book Antiqua" w:eastAsia="Book Antiqua" w:hAnsi="Book Antiqua" w:cs="Book Antiqua"/>
          <w:color w:val="000000" w:themeColor="text1"/>
          <w:lang w:val="es-PR"/>
        </w:rPr>
        <w:t xml:space="preserve">P. de la C. </w:t>
      </w:r>
      <w:r>
        <w:rPr>
          <w:rFonts w:ascii="Book Antiqua" w:eastAsia="Book Antiqua" w:hAnsi="Book Antiqua" w:cs="Book Antiqua"/>
          <w:color w:val="000000" w:themeColor="text1"/>
          <w:lang w:val="es-PR"/>
        </w:rPr>
        <w:t>216. Sostuvo que la referencia</w:t>
      </w:r>
      <w:r w:rsidR="00380606">
        <w:rPr>
          <w:rFonts w:ascii="Book Antiqua" w:eastAsia="Book Antiqua" w:hAnsi="Book Antiqua" w:cs="Book Antiqua"/>
          <w:color w:val="000000" w:themeColor="text1"/>
          <w:lang w:val="es-PR"/>
        </w:rPr>
        <w:t xml:space="preserve"> al</w:t>
      </w:r>
      <w:r>
        <w:rPr>
          <w:rFonts w:ascii="Book Antiqua" w:eastAsia="Book Antiqua" w:hAnsi="Book Antiqua" w:cs="Book Antiqua"/>
          <w:color w:val="000000" w:themeColor="text1"/>
          <w:lang w:val="es-PR"/>
        </w:rPr>
        <w:t xml:space="preserve"> </w:t>
      </w:r>
      <w:r w:rsidR="00380606">
        <w:rPr>
          <w:rFonts w:ascii="Book Antiqua" w:eastAsia="Book Antiqua" w:hAnsi="Book Antiqua" w:cs="Book Antiqua"/>
          <w:color w:val="000000" w:themeColor="text1"/>
          <w:lang w:val="es-PR"/>
        </w:rPr>
        <w:t>h</w:t>
      </w:r>
      <w:r>
        <w:rPr>
          <w:rFonts w:ascii="Book Antiqua" w:eastAsia="Book Antiqua" w:hAnsi="Book Antiqua" w:cs="Book Antiqua"/>
          <w:color w:val="000000" w:themeColor="text1"/>
          <w:lang w:val="es-PR"/>
        </w:rPr>
        <w:t xml:space="preserve">uracán María como parte de la medida original que se presentó en el 2017 no necesariamente </w:t>
      </w:r>
      <w:r w:rsidR="008B3539">
        <w:rPr>
          <w:rFonts w:ascii="Book Antiqua" w:eastAsia="Book Antiqua" w:hAnsi="Book Antiqua" w:cs="Book Antiqua"/>
          <w:color w:val="000000" w:themeColor="text1"/>
          <w:lang w:val="es-PR"/>
        </w:rPr>
        <w:t xml:space="preserve">era académica, ya que situaciones similares podrían volver a ocurrir. La OSL aseveró que esta medida es un ejercicio válido del poder legislativo para formular política pública, </w:t>
      </w:r>
      <w:r w:rsidR="00661AB8">
        <w:rPr>
          <w:rFonts w:ascii="Book Antiqua" w:eastAsia="Book Antiqua" w:hAnsi="Book Antiqua" w:cs="Book Antiqua"/>
          <w:color w:val="000000" w:themeColor="text1"/>
          <w:lang w:val="es-PR"/>
        </w:rPr>
        <w:t xml:space="preserve">y </w:t>
      </w:r>
      <w:r w:rsidR="008B3539">
        <w:rPr>
          <w:rFonts w:ascii="Book Antiqua" w:eastAsia="Book Antiqua" w:hAnsi="Book Antiqua" w:cs="Book Antiqua"/>
          <w:color w:val="000000" w:themeColor="text1"/>
          <w:lang w:val="es-PR"/>
        </w:rPr>
        <w:t>ofrec</w:t>
      </w:r>
      <w:r w:rsidR="00661AB8">
        <w:rPr>
          <w:rFonts w:ascii="Book Antiqua" w:eastAsia="Book Antiqua" w:hAnsi="Book Antiqua" w:cs="Book Antiqua"/>
          <w:color w:val="000000" w:themeColor="text1"/>
          <w:lang w:val="es-PR"/>
        </w:rPr>
        <w:t>ió</w:t>
      </w:r>
      <w:r w:rsidR="008B3539">
        <w:rPr>
          <w:rFonts w:ascii="Book Antiqua" w:eastAsia="Book Antiqua" w:hAnsi="Book Antiqua" w:cs="Book Antiqua"/>
          <w:color w:val="000000" w:themeColor="text1"/>
          <w:lang w:val="es-PR"/>
        </w:rPr>
        <w:t xml:space="preserve"> sugerencias técnicas para el </w:t>
      </w:r>
      <w:proofErr w:type="spellStart"/>
      <w:r w:rsidR="008B3539">
        <w:rPr>
          <w:rFonts w:ascii="Book Antiqua" w:eastAsia="Book Antiqua" w:hAnsi="Book Antiqua" w:cs="Book Antiqua"/>
          <w:color w:val="000000" w:themeColor="text1"/>
          <w:lang w:val="es-PR"/>
        </w:rPr>
        <w:t>entirillado</w:t>
      </w:r>
      <w:proofErr w:type="spellEnd"/>
      <w:r w:rsidR="008B3539">
        <w:rPr>
          <w:rFonts w:ascii="Book Antiqua" w:eastAsia="Book Antiqua" w:hAnsi="Book Antiqua" w:cs="Book Antiqua"/>
          <w:color w:val="000000" w:themeColor="text1"/>
          <w:lang w:val="es-PR"/>
        </w:rPr>
        <w:t xml:space="preserve"> de la medida.</w:t>
      </w:r>
    </w:p>
    <w:p w14:paraId="308505B6" w14:textId="77777777" w:rsidR="00770031" w:rsidRDefault="00661AB8" w:rsidP="003813FE">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Por último, </w:t>
      </w:r>
      <w:r w:rsidR="003813FE">
        <w:rPr>
          <w:rFonts w:ascii="Book Antiqua" w:eastAsia="Book Antiqua" w:hAnsi="Book Antiqua" w:cs="Book Antiqua"/>
          <w:color w:val="000000" w:themeColor="text1"/>
          <w:lang w:val="es-PR"/>
        </w:rPr>
        <w:t xml:space="preserve">la </w:t>
      </w:r>
      <w:r w:rsidR="003813FE" w:rsidRPr="00770031">
        <w:rPr>
          <w:rFonts w:ascii="Book Antiqua" w:eastAsia="Book Antiqua" w:hAnsi="Book Antiqua" w:cs="Book Antiqua"/>
          <w:b/>
          <w:bCs/>
          <w:color w:val="000000" w:themeColor="text1"/>
          <w:lang w:val="es-PR"/>
        </w:rPr>
        <w:t>MBAPR</w:t>
      </w:r>
      <w:r w:rsidR="003813FE">
        <w:rPr>
          <w:rFonts w:ascii="Book Antiqua" w:eastAsia="Book Antiqua" w:hAnsi="Book Antiqua" w:cs="Book Antiqua"/>
          <w:color w:val="000000" w:themeColor="text1"/>
          <w:lang w:val="es-PR"/>
        </w:rPr>
        <w:t xml:space="preserve"> compareció y sostuvo que el </w:t>
      </w:r>
      <w:r w:rsidR="003813FE" w:rsidRPr="001711E6">
        <w:rPr>
          <w:rFonts w:ascii="Book Antiqua" w:eastAsia="Book Antiqua" w:hAnsi="Book Antiqua" w:cs="Book Antiqua"/>
          <w:color w:val="000000" w:themeColor="text1"/>
          <w:lang w:val="es-PR"/>
        </w:rPr>
        <w:t xml:space="preserve">P. de la C. </w:t>
      </w:r>
      <w:r w:rsidR="003813FE">
        <w:rPr>
          <w:rFonts w:ascii="Book Antiqua" w:eastAsia="Book Antiqua" w:hAnsi="Book Antiqua" w:cs="Book Antiqua"/>
          <w:color w:val="000000" w:themeColor="text1"/>
          <w:lang w:val="es-PR"/>
        </w:rPr>
        <w:t xml:space="preserve">216 </w:t>
      </w:r>
      <w:r w:rsidR="003813FE" w:rsidRPr="003813FE">
        <w:rPr>
          <w:rFonts w:ascii="Book Antiqua" w:eastAsia="Book Antiqua" w:hAnsi="Book Antiqua" w:cs="Book Antiqua"/>
          <w:color w:val="000000" w:themeColor="text1"/>
          <w:lang w:val="es-PR"/>
        </w:rPr>
        <w:t xml:space="preserve">no impacta las relaciones y trámites hipotecarios, </w:t>
      </w:r>
      <w:r w:rsidR="003813FE">
        <w:rPr>
          <w:rFonts w:ascii="Book Antiqua" w:eastAsia="Book Antiqua" w:hAnsi="Book Antiqua" w:cs="Book Antiqua"/>
          <w:color w:val="000000" w:themeColor="text1"/>
          <w:lang w:val="es-PR"/>
        </w:rPr>
        <w:t xml:space="preserve">los cuales </w:t>
      </w:r>
      <w:r w:rsidR="003813FE" w:rsidRPr="003813FE">
        <w:rPr>
          <w:rFonts w:ascii="Book Antiqua" w:eastAsia="Book Antiqua" w:hAnsi="Book Antiqua" w:cs="Book Antiqua"/>
          <w:color w:val="000000" w:themeColor="text1"/>
          <w:lang w:val="es-PR"/>
        </w:rPr>
        <w:t>están exentos de la aplicación del derecho de hogar seguro.</w:t>
      </w:r>
      <w:r w:rsidR="003813FE">
        <w:rPr>
          <w:rFonts w:ascii="Book Antiqua" w:eastAsia="Book Antiqua" w:hAnsi="Book Antiqua" w:cs="Book Antiqua"/>
          <w:color w:val="000000" w:themeColor="text1"/>
          <w:lang w:val="es-PR"/>
        </w:rPr>
        <w:t xml:space="preserve"> Según la MBAPR</w:t>
      </w:r>
      <w:r w:rsidR="003813FE" w:rsidRPr="003813FE">
        <w:rPr>
          <w:rFonts w:ascii="Book Antiqua" w:eastAsia="Book Antiqua" w:hAnsi="Book Antiqua" w:cs="Book Antiqua"/>
          <w:color w:val="000000" w:themeColor="text1"/>
          <w:lang w:val="es-PR"/>
        </w:rPr>
        <w:t>,</w:t>
      </w:r>
      <w:r w:rsidR="00770031">
        <w:rPr>
          <w:rFonts w:ascii="Book Antiqua" w:eastAsia="Book Antiqua" w:hAnsi="Book Antiqua" w:cs="Book Antiqua"/>
          <w:color w:val="000000" w:themeColor="text1"/>
          <w:lang w:val="es-PR"/>
        </w:rPr>
        <w:t xml:space="preserve"> la medida</w:t>
      </w:r>
      <w:r w:rsidR="003813FE" w:rsidRPr="003813FE">
        <w:rPr>
          <w:rFonts w:ascii="Book Antiqua" w:eastAsia="Book Antiqua" w:hAnsi="Book Antiqua" w:cs="Book Antiqua"/>
          <w:color w:val="000000" w:themeColor="text1"/>
          <w:lang w:val="es-PR"/>
        </w:rPr>
        <w:t xml:space="preserve"> </w:t>
      </w:r>
      <w:r w:rsidR="00770031">
        <w:rPr>
          <w:rFonts w:ascii="Book Antiqua" w:eastAsia="Book Antiqua" w:hAnsi="Book Antiqua" w:cs="Book Antiqua"/>
          <w:color w:val="000000" w:themeColor="text1"/>
          <w:lang w:val="es-PR"/>
        </w:rPr>
        <w:t xml:space="preserve">tendría </w:t>
      </w:r>
      <w:r w:rsidR="003813FE" w:rsidRPr="003813FE">
        <w:rPr>
          <w:rFonts w:ascii="Book Antiqua" w:eastAsia="Book Antiqua" w:hAnsi="Book Antiqua" w:cs="Book Antiqua"/>
          <w:color w:val="000000" w:themeColor="text1"/>
          <w:lang w:val="es-PR"/>
        </w:rPr>
        <w:t>un impacto en otros negocios de financiamiento y en la capacidad de estos sectores de poder facilitar y mantener programas de préstamos que atienda las</w:t>
      </w:r>
      <w:r w:rsidR="00770031">
        <w:rPr>
          <w:rFonts w:ascii="Book Antiqua" w:eastAsia="Book Antiqua" w:hAnsi="Book Antiqua" w:cs="Book Antiqua"/>
          <w:color w:val="000000" w:themeColor="text1"/>
          <w:lang w:val="es-PR"/>
        </w:rPr>
        <w:t xml:space="preserve"> </w:t>
      </w:r>
      <w:r w:rsidR="003813FE" w:rsidRPr="003813FE">
        <w:rPr>
          <w:rFonts w:ascii="Book Antiqua" w:eastAsia="Book Antiqua" w:hAnsi="Book Antiqua" w:cs="Book Antiqua"/>
          <w:color w:val="000000" w:themeColor="text1"/>
          <w:lang w:val="es-PR"/>
        </w:rPr>
        <w:t>necesidades de los ciudadanos. También p</w:t>
      </w:r>
      <w:r w:rsidR="00770031">
        <w:rPr>
          <w:rFonts w:ascii="Book Antiqua" w:eastAsia="Book Antiqua" w:hAnsi="Book Antiqua" w:cs="Book Antiqua"/>
          <w:color w:val="000000" w:themeColor="text1"/>
          <w:lang w:val="es-PR"/>
        </w:rPr>
        <w:t>odría</w:t>
      </w:r>
      <w:r w:rsidR="003813FE" w:rsidRPr="003813FE">
        <w:rPr>
          <w:rFonts w:ascii="Book Antiqua" w:eastAsia="Book Antiqua" w:hAnsi="Book Antiqua" w:cs="Book Antiqua"/>
          <w:color w:val="000000" w:themeColor="text1"/>
          <w:lang w:val="es-PR"/>
        </w:rPr>
        <w:t xml:space="preserve"> impactar relaciones contractuales contraídas con clientes e inversionistas</w:t>
      </w:r>
      <w:r w:rsidR="00770031">
        <w:rPr>
          <w:rFonts w:ascii="Book Antiqua" w:eastAsia="Book Antiqua" w:hAnsi="Book Antiqua" w:cs="Book Antiqua"/>
          <w:color w:val="000000" w:themeColor="text1"/>
          <w:lang w:val="es-PR"/>
        </w:rPr>
        <w:t>.</w:t>
      </w:r>
    </w:p>
    <w:p w14:paraId="2A7123F0" w14:textId="18076CAE" w:rsidR="00770031" w:rsidRDefault="00770031" w:rsidP="00770031">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MBAPR dijo estar consciente </w:t>
      </w:r>
      <w:r w:rsidRPr="00770031">
        <w:rPr>
          <w:rFonts w:ascii="Book Antiqua" w:eastAsia="Book Antiqua" w:hAnsi="Book Antiqua" w:cs="Book Antiqua"/>
          <w:color w:val="000000" w:themeColor="text1"/>
          <w:lang w:val="es-PR"/>
        </w:rPr>
        <w:t>de la importancia del derecho al hogar seguro. No obstante,</w:t>
      </w:r>
      <w:r>
        <w:rPr>
          <w:rFonts w:ascii="Book Antiqua" w:eastAsia="Book Antiqua" w:hAnsi="Book Antiqua" w:cs="Book Antiqua"/>
          <w:color w:val="000000" w:themeColor="text1"/>
          <w:lang w:val="es-PR"/>
        </w:rPr>
        <w:t xml:space="preserve"> resaltó</w:t>
      </w:r>
      <w:r w:rsidRPr="00770031">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la</w:t>
      </w:r>
      <w:r w:rsidRPr="00770031">
        <w:rPr>
          <w:rFonts w:ascii="Book Antiqua" w:eastAsia="Book Antiqua" w:hAnsi="Book Antiqua" w:cs="Book Antiqua"/>
          <w:color w:val="000000" w:themeColor="text1"/>
          <w:lang w:val="es-PR"/>
        </w:rPr>
        <w:t xml:space="preserve"> importan</w:t>
      </w:r>
      <w:r>
        <w:rPr>
          <w:rFonts w:ascii="Book Antiqua" w:eastAsia="Book Antiqua" w:hAnsi="Book Antiqua" w:cs="Book Antiqua"/>
          <w:color w:val="000000" w:themeColor="text1"/>
          <w:lang w:val="es-PR"/>
        </w:rPr>
        <w:t>cia de</w:t>
      </w:r>
      <w:r w:rsidRPr="00770031">
        <w:rPr>
          <w:rFonts w:ascii="Book Antiqua" w:eastAsia="Book Antiqua" w:hAnsi="Book Antiqua" w:cs="Book Antiqua"/>
          <w:color w:val="000000" w:themeColor="text1"/>
          <w:lang w:val="es-PR"/>
        </w:rPr>
        <w:t xml:space="preserve"> evaluar la necesidad de las enmiendas con data</w:t>
      </w:r>
      <w:r>
        <w:rPr>
          <w:rFonts w:ascii="Book Antiqua" w:eastAsia="Book Antiqua" w:hAnsi="Book Antiqua" w:cs="Book Antiqua"/>
          <w:color w:val="000000" w:themeColor="text1"/>
          <w:lang w:val="es-PR"/>
        </w:rPr>
        <w:t xml:space="preserve"> o estudios </w:t>
      </w:r>
      <w:r w:rsidRPr="00770031">
        <w:rPr>
          <w:rFonts w:ascii="Book Antiqua" w:eastAsia="Book Antiqua" w:hAnsi="Book Antiqua" w:cs="Book Antiqua"/>
          <w:color w:val="000000" w:themeColor="text1"/>
          <w:lang w:val="es-PR"/>
        </w:rPr>
        <w:t>empíric</w:t>
      </w:r>
      <w:r>
        <w:rPr>
          <w:rFonts w:ascii="Book Antiqua" w:eastAsia="Book Antiqua" w:hAnsi="Book Antiqua" w:cs="Book Antiqua"/>
          <w:color w:val="000000" w:themeColor="text1"/>
          <w:lang w:val="es-PR"/>
        </w:rPr>
        <w:t>os</w:t>
      </w:r>
      <w:r w:rsidRPr="00770031">
        <w:rPr>
          <w:rFonts w:ascii="Book Antiqua" w:eastAsia="Book Antiqua" w:hAnsi="Book Antiqua" w:cs="Book Antiqua"/>
          <w:color w:val="000000" w:themeColor="text1"/>
          <w:lang w:val="es-PR"/>
        </w:rPr>
        <w:t xml:space="preserve"> que reflejen una necesidad de expandir los términos y su funcionalidad. </w:t>
      </w:r>
      <w:r>
        <w:rPr>
          <w:rFonts w:ascii="Book Antiqua" w:eastAsia="Book Antiqua" w:hAnsi="Book Antiqua" w:cs="Book Antiqua"/>
          <w:color w:val="000000" w:themeColor="text1"/>
          <w:lang w:val="es-PR"/>
        </w:rPr>
        <w:t>Para la MBAPR e</w:t>
      </w:r>
      <w:r w:rsidRPr="00770031">
        <w:rPr>
          <w:rFonts w:ascii="Book Antiqua" w:eastAsia="Book Antiqua" w:hAnsi="Book Antiqua" w:cs="Book Antiqua"/>
          <w:color w:val="000000" w:themeColor="text1"/>
          <w:lang w:val="es-PR"/>
        </w:rPr>
        <w:t>s</w:t>
      </w:r>
      <w:r>
        <w:rPr>
          <w:rFonts w:ascii="Book Antiqua" w:eastAsia="Book Antiqua" w:hAnsi="Book Antiqua" w:cs="Book Antiqua"/>
          <w:color w:val="000000" w:themeColor="text1"/>
          <w:lang w:val="es-PR"/>
        </w:rPr>
        <w:t xml:space="preserve"> </w:t>
      </w:r>
      <w:r w:rsidRPr="00770031">
        <w:rPr>
          <w:rFonts w:ascii="Book Antiqua" w:eastAsia="Book Antiqua" w:hAnsi="Book Antiqua" w:cs="Book Antiqua"/>
          <w:color w:val="000000" w:themeColor="text1"/>
          <w:lang w:val="es-PR"/>
        </w:rPr>
        <w:t>importante alcanzar un balance</w:t>
      </w:r>
      <w:r>
        <w:rPr>
          <w:rFonts w:ascii="Book Antiqua" w:eastAsia="Book Antiqua" w:hAnsi="Book Antiqua" w:cs="Book Antiqua"/>
          <w:color w:val="000000" w:themeColor="text1"/>
          <w:lang w:val="es-PR"/>
        </w:rPr>
        <w:t xml:space="preserve"> </w:t>
      </w:r>
      <w:r w:rsidRPr="00770031">
        <w:rPr>
          <w:rFonts w:ascii="Book Antiqua" w:eastAsia="Book Antiqua" w:hAnsi="Book Antiqua" w:cs="Book Antiqua"/>
          <w:color w:val="000000" w:themeColor="text1"/>
          <w:lang w:val="es-PR"/>
        </w:rPr>
        <w:t>que proteja al ciudadano</w:t>
      </w:r>
      <w:r w:rsidR="008B6C2B">
        <w:rPr>
          <w:rFonts w:ascii="Book Antiqua" w:eastAsia="Book Antiqua" w:hAnsi="Book Antiqua" w:cs="Book Antiqua"/>
          <w:color w:val="000000" w:themeColor="text1"/>
          <w:lang w:val="es-PR"/>
        </w:rPr>
        <w:t>,</w:t>
      </w:r>
      <w:r w:rsidRPr="00770031">
        <w:rPr>
          <w:rFonts w:ascii="Book Antiqua" w:eastAsia="Book Antiqua" w:hAnsi="Book Antiqua" w:cs="Book Antiqua"/>
          <w:color w:val="000000" w:themeColor="text1"/>
          <w:lang w:val="es-PR"/>
        </w:rPr>
        <w:t xml:space="preserve"> que sea razonable</w:t>
      </w:r>
      <w:r w:rsidR="008B6C2B">
        <w:rPr>
          <w:rFonts w:ascii="Book Antiqua" w:eastAsia="Book Antiqua" w:hAnsi="Book Antiqua" w:cs="Book Antiqua"/>
          <w:color w:val="000000" w:themeColor="text1"/>
          <w:lang w:val="es-PR"/>
        </w:rPr>
        <w:t>,</w:t>
      </w:r>
      <w:r w:rsidRPr="00770031">
        <w:rPr>
          <w:rFonts w:ascii="Book Antiqua" w:eastAsia="Book Antiqua" w:hAnsi="Book Antiqua" w:cs="Book Antiqua"/>
          <w:color w:val="000000" w:themeColor="text1"/>
          <w:lang w:val="es-PR"/>
        </w:rPr>
        <w:t xml:space="preserve"> y</w:t>
      </w:r>
      <w:r w:rsidR="008B6C2B">
        <w:rPr>
          <w:rFonts w:ascii="Book Antiqua" w:eastAsia="Book Antiqua" w:hAnsi="Book Antiqua" w:cs="Book Antiqua"/>
          <w:color w:val="000000" w:themeColor="text1"/>
          <w:lang w:val="es-PR"/>
        </w:rPr>
        <w:t xml:space="preserve"> que</w:t>
      </w:r>
      <w:r w:rsidRPr="00770031">
        <w:rPr>
          <w:rFonts w:ascii="Book Antiqua" w:eastAsia="Book Antiqua" w:hAnsi="Book Antiqua" w:cs="Book Antiqua"/>
          <w:color w:val="000000" w:themeColor="text1"/>
          <w:lang w:val="es-PR"/>
        </w:rPr>
        <w:t xml:space="preserve"> permita a la industria de financiamiento contar con </w:t>
      </w:r>
      <w:r w:rsidRPr="00770031">
        <w:rPr>
          <w:rFonts w:ascii="Book Antiqua" w:eastAsia="Book Antiqua" w:hAnsi="Book Antiqua" w:cs="Book Antiqua"/>
          <w:color w:val="000000" w:themeColor="text1"/>
          <w:lang w:val="es-PR"/>
        </w:rPr>
        <w:lastRenderedPageBreak/>
        <w:t>el capital para ofrecer productos competitivos que apoyen a los consumidores en sus necesidades financieras.</w:t>
      </w:r>
      <w:r w:rsidR="008B6C2B">
        <w:rPr>
          <w:rStyle w:val="FootnoteReference"/>
          <w:rFonts w:ascii="Book Antiqua" w:eastAsia="Book Antiqua" w:hAnsi="Book Antiqua" w:cs="Book Antiqua"/>
          <w:color w:val="000000" w:themeColor="text1"/>
          <w:lang w:val="es-PR"/>
        </w:rPr>
        <w:footnoteReference w:id="2"/>
      </w:r>
    </w:p>
    <w:p w14:paraId="26BD1212" w14:textId="77777777" w:rsidR="004C40F2" w:rsidRDefault="004C40F2" w:rsidP="008B701E">
      <w:pPr>
        <w:ind w:firstLine="720"/>
        <w:jc w:val="both"/>
        <w:rPr>
          <w:rFonts w:ascii="Book Antiqua" w:eastAsia="Book Antiqua" w:hAnsi="Book Antiqua" w:cs="Book Antiqua"/>
          <w:color w:val="000000" w:themeColor="text1"/>
          <w:lang w:val="es-PR"/>
        </w:rPr>
      </w:pPr>
    </w:p>
    <w:p w14:paraId="1B8085A1" w14:textId="61180783" w:rsidR="00F0476A" w:rsidRPr="001711E6" w:rsidRDefault="003B38A4" w:rsidP="00152502">
      <w:pPr>
        <w:spacing w:after="120"/>
        <w:jc w:val="center"/>
        <w:rPr>
          <w:rFonts w:ascii="Book Antiqua" w:eastAsia="Book Antiqua" w:hAnsi="Book Antiqua" w:cs="Book Antiqua"/>
          <w:b/>
          <w:bCs/>
          <w:color w:val="000000" w:themeColor="text1"/>
          <w:szCs w:val="24"/>
          <w:lang w:val="es-PR"/>
        </w:rPr>
      </w:pPr>
      <w:r w:rsidRPr="000142E7">
        <w:rPr>
          <w:rFonts w:ascii="Book Antiqua" w:eastAsia="Book Antiqua" w:hAnsi="Book Antiqua" w:cs="Book Antiqua"/>
          <w:b/>
          <w:bCs/>
          <w:color w:val="000000" w:themeColor="text1"/>
          <w:spacing w:val="12"/>
          <w:szCs w:val="24"/>
          <w:lang w:val="es-PR"/>
        </w:rPr>
        <w:t>CONCLUSIÓN</w:t>
      </w:r>
      <w:r w:rsidR="00F0476A" w:rsidRPr="000142E7">
        <w:rPr>
          <w:rFonts w:ascii="Book Antiqua" w:eastAsia="Book Antiqua" w:hAnsi="Book Antiqua" w:cs="Book Antiqua"/>
          <w:b/>
          <w:bCs/>
          <w:color w:val="000000" w:themeColor="text1"/>
          <w:spacing w:val="12"/>
          <w:szCs w:val="24"/>
          <w:lang w:val="es-PR"/>
        </w:rPr>
        <w:t xml:space="preserve"> Y RECOMENDAC</w:t>
      </w:r>
      <w:r w:rsidR="001711E6" w:rsidRPr="000142E7">
        <w:rPr>
          <w:rFonts w:ascii="Book Antiqua" w:eastAsia="Book Antiqua" w:hAnsi="Book Antiqua" w:cs="Book Antiqua"/>
          <w:b/>
          <w:bCs/>
          <w:color w:val="000000" w:themeColor="text1"/>
          <w:spacing w:val="12"/>
          <w:szCs w:val="24"/>
          <w:lang w:val="es-PR"/>
        </w:rPr>
        <w:t>I</w:t>
      </w:r>
      <w:r w:rsidR="00F0476A" w:rsidRPr="000142E7">
        <w:rPr>
          <w:rFonts w:ascii="Book Antiqua" w:eastAsia="Book Antiqua" w:hAnsi="Book Antiqua" w:cs="Book Antiqua"/>
          <w:b/>
          <w:bCs/>
          <w:color w:val="000000" w:themeColor="text1"/>
          <w:spacing w:val="12"/>
          <w:szCs w:val="24"/>
          <w:lang w:val="es-PR"/>
        </w:rPr>
        <w:t>ÓN</w:t>
      </w:r>
    </w:p>
    <w:p w14:paraId="342E35EA" w14:textId="77777777" w:rsidR="00911258" w:rsidRDefault="004A4A9F" w:rsidP="008B6C2B">
      <w:pPr>
        <w:spacing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Evaluada la exposición de motivos y los comentarios recibidos, esta Comisión</w:t>
      </w:r>
      <w:r w:rsidR="00770FEF">
        <w:rPr>
          <w:rFonts w:ascii="Book Antiqua" w:eastAsia="Book Antiqua" w:hAnsi="Book Antiqua" w:cs="Book Antiqua"/>
          <w:bCs/>
          <w:color w:val="000000" w:themeColor="text1"/>
          <w:szCs w:val="24"/>
          <w:lang w:val="es-PR"/>
        </w:rPr>
        <w:t xml:space="preserve"> entendió prudente </w:t>
      </w:r>
      <w:r w:rsidR="0029448F">
        <w:rPr>
          <w:rFonts w:ascii="Book Antiqua" w:eastAsia="Book Antiqua" w:hAnsi="Book Antiqua" w:cs="Book Antiqua"/>
          <w:bCs/>
          <w:color w:val="000000" w:themeColor="text1"/>
          <w:szCs w:val="24"/>
          <w:lang w:val="es-PR"/>
        </w:rPr>
        <w:t xml:space="preserve">acoger algunas de las recomendaciones </w:t>
      </w:r>
      <w:r w:rsidR="00F804D2">
        <w:rPr>
          <w:rFonts w:ascii="Book Antiqua" w:eastAsia="Book Antiqua" w:hAnsi="Book Antiqua" w:cs="Book Antiqua"/>
          <w:bCs/>
          <w:color w:val="000000" w:themeColor="text1"/>
          <w:szCs w:val="24"/>
          <w:lang w:val="es-PR"/>
        </w:rPr>
        <w:t xml:space="preserve">técnicas </w:t>
      </w:r>
      <w:r w:rsidR="0029448F">
        <w:rPr>
          <w:rFonts w:ascii="Book Antiqua" w:eastAsia="Book Antiqua" w:hAnsi="Book Antiqua" w:cs="Book Antiqua"/>
          <w:bCs/>
          <w:color w:val="000000" w:themeColor="text1"/>
          <w:szCs w:val="24"/>
          <w:lang w:val="es-PR"/>
        </w:rPr>
        <w:t>de</w:t>
      </w:r>
      <w:r w:rsidR="00152502">
        <w:rPr>
          <w:rFonts w:ascii="Book Antiqua" w:eastAsia="Book Antiqua" w:hAnsi="Book Antiqua" w:cs="Book Antiqua"/>
          <w:bCs/>
          <w:color w:val="000000" w:themeColor="text1"/>
          <w:szCs w:val="24"/>
          <w:lang w:val="es-PR"/>
        </w:rPr>
        <w:t xml:space="preserve"> </w:t>
      </w:r>
      <w:r w:rsidR="0029448F">
        <w:rPr>
          <w:rFonts w:ascii="Book Antiqua" w:eastAsia="Book Antiqua" w:hAnsi="Book Antiqua" w:cs="Book Antiqua"/>
          <w:bCs/>
          <w:color w:val="000000" w:themeColor="text1"/>
          <w:szCs w:val="24"/>
          <w:lang w:val="es-PR"/>
        </w:rPr>
        <w:t>l</w:t>
      </w:r>
      <w:r w:rsidR="00152502">
        <w:rPr>
          <w:rFonts w:ascii="Book Antiqua" w:eastAsia="Book Antiqua" w:hAnsi="Book Antiqua" w:cs="Book Antiqua"/>
          <w:bCs/>
          <w:color w:val="000000" w:themeColor="text1"/>
          <w:szCs w:val="24"/>
          <w:lang w:val="es-PR"/>
        </w:rPr>
        <w:t>a</w:t>
      </w:r>
      <w:r w:rsidR="0029448F">
        <w:rPr>
          <w:rFonts w:ascii="Book Antiqua" w:eastAsia="Book Antiqua" w:hAnsi="Book Antiqua" w:cs="Book Antiqua"/>
          <w:bCs/>
          <w:color w:val="000000" w:themeColor="text1"/>
          <w:szCs w:val="24"/>
          <w:lang w:val="es-PR"/>
        </w:rPr>
        <w:t xml:space="preserve"> </w:t>
      </w:r>
      <w:r w:rsidR="00152502">
        <w:rPr>
          <w:rFonts w:ascii="Book Antiqua" w:eastAsia="Book Antiqua" w:hAnsi="Book Antiqua" w:cs="Book Antiqua"/>
          <w:bCs/>
          <w:color w:val="000000" w:themeColor="text1"/>
          <w:szCs w:val="24"/>
          <w:lang w:val="es-PR"/>
        </w:rPr>
        <w:t>O</w:t>
      </w:r>
      <w:r w:rsidR="00F804D2">
        <w:rPr>
          <w:rFonts w:ascii="Book Antiqua" w:eastAsia="Book Antiqua" w:hAnsi="Book Antiqua" w:cs="Book Antiqua"/>
          <w:bCs/>
          <w:color w:val="000000" w:themeColor="text1"/>
          <w:szCs w:val="24"/>
          <w:lang w:val="es-PR"/>
        </w:rPr>
        <w:t>SL</w:t>
      </w:r>
      <w:r w:rsidR="0029448F">
        <w:rPr>
          <w:rFonts w:ascii="Book Antiqua" w:eastAsia="Book Antiqua" w:hAnsi="Book Antiqua" w:cs="Book Antiqua"/>
          <w:bCs/>
          <w:color w:val="000000" w:themeColor="text1"/>
          <w:szCs w:val="24"/>
          <w:lang w:val="es-PR"/>
        </w:rPr>
        <w:t>.</w:t>
      </w:r>
      <w:r w:rsidR="00F804D2">
        <w:rPr>
          <w:rFonts w:ascii="Book Antiqua" w:eastAsia="Book Antiqua" w:hAnsi="Book Antiqua" w:cs="Book Antiqua"/>
          <w:bCs/>
          <w:color w:val="000000" w:themeColor="text1"/>
          <w:szCs w:val="24"/>
          <w:lang w:val="es-PR"/>
        </w:rPr>
        <w:t xml:space="preserve"> </w:t>
      </w:r>
      <w:r w:rsidR="00911258">
        <w:rPr>
          <w:rFonts w:ascii="Book Antiqua" w:eastAsia="Book Antiqua" w:hAnsi="Book Antiqua" w:cs="Book Antiqua"/>
          <w:bCs/>
          <w:color w:val="000000" w:themeColor="text1"/>
          <w:szCs w:val="24"/>
          <w:lang w:val="es-PR"/>
        </w:rPr>
        <w:t>También se actualizó la exposición de motivos conforme a las recomendaciones de la OSL, la OAT, y la ABPR para reflejar el tiempo transcurrido desde el paso del huracán María en el 2017.</w:t>
      </w:r>
    </w:p>
    <w:p w14:paraId="46ABA8CB" w14:textId="693E4CF5" w:rsidR="00F804D2" w:rsidRDefault="00911258" w:rsidP="008B6C2B">
      <w:pPr>
        <w:spacing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Resultan meritorios los argumentos de la ABPR y la MBAPR sobre las enmiendas al </w:t>
      </w:r>
      <w:r w:rsidRPr="00911258">
        <w:rPr>
          <w:rFonts w:ascii="Book Antiqua" w:eastAsia="Book Antiqua" w:hAnsi="Book Antiqua" w:cs="Book Antiqua"/>
          <w:bCs/>
          <w:color w:val="000000" w:themeColor="text1"/>
          <w:szCs w:val="24"/>
          <w:lang w:val="es-PR"/>
        </w:rPr>
        <w:t>Artículo 12 de la Ley 195-2011</w:t>
      </w:r>
      <w:r>
        <w:rPr>
          <w:rFonts w:ascii="Book Antiqua" w:eastAsia="Book Antiqua" w:hAnsi="Book Antiqua" w:cs="Book Antiqua"/>
          <w:bCs/>
          <w:color w:val="000000" w:themeColor="text1"/>
          <w:szCs w:val="24"/>
          <w:lang w:val="es-PR"/>
        </w:rPr>
        <w:t>. Sin embargo, nos parece que el interés público para solicitar la protección del hogar seguro es demasiado apremiante. Además, el término de 60 días propuesto es cónsono con otros trámites judiciales civiles.</w:t>
      </w:r>
      <w:r>
        <w:rPr>
          <w:rStyle w:val="FootnoteReference"/>
          <w:rFonts w:ascii="Book Antiqua" w:eastAsia="Book Antiqua" w:hAnsi="Book Antiqua" w:cs="Book Antiqua"/>
          <w:bCs/>
          <w:color w:val="000000" w:themeColor="text1"/>
          <w:szCs w:val="24"/>
          <w:lang w:val="es-PR"/>
        </w:rPr>
        <w:footnoteReference w:id="3"/>
      </w:r>
      <w:r w:rsidRPr="00911258">
        <w:rPr>
          <w:rFonts w:ascii="Book Antiqua" w:eastAsia="Book Antiqua" w:hAnsi="Book Antiqua" w:cs="Book Antiqua"/>
          <w:bCs/>
          <w:color w:val="000000" w:themeColor="text1"/>
          <w:szCs w:val="24"/>
          <w:lang w:val="es-PR"/>
        </w:rPr>
        <w:t xml:space="preserve"> </w:t>
      </w:r>
      <w:r>
        <w:rPr>
          <w:rFonts w:ascii="Book Antiqua" w:eastAsia="Book Antiqua" w:hAnsi="Book Antiqua" w:cs="Book Antiqua"/>
          <w:bCs/>
          <w:color w:val="000000" w:themeColor="text1"/>
          <w:szCs w:val="24"/>
          <w:lang w:val="es-PR"/>
        </w:rPr>
        <w:t xml:space="preserve"> </w:t>
      </w:r>
    </w:p>
    <w:p w14:paraId="7E8C6A04" w14:textId="4695782F" w:rsidR="0029448F" w:rsidRDefault="0029448F" w:rsidP="008B6C2B">
      <w:pPr>
        <w:spacing w:line="288" w:lineRule="auto"/>
        <w:ind w:firstLine="720"/>
        <w:jc w:val="both"/>
        <w:rPr>
          <w:rFonts w:ascii="Book Antiqua" w:eastAsia="Book Antiqua" w:hAnsi="Book Antiqua" w:cs="Book Antiqua"/>
          <w:bCs/>
          <w:color w:val="000000" w:themeColor="text1"/>
          <w:szCs w:val="24"/>
          <w:lang w:val="es-PR"/>
        </w:rPr>
      </w:pPr>
    </w:p>
    <w:p w14:paraId="3BE57315" w14:textId="766DBE9C" w:rsidR="004512E8" w:rsidRPr="001711E6" w:rsidRDefault="00FD6179" w:rsidP="008B6C2B">
      <w:pPr>
        <w:spacing w:line="288" w:lineRule="auto"/>
        <w:ind w:firstLine="720"/>
        <w:jc w:val="both"/>
        <w:rPr>
          <w:rFonts w:ascii="Book Antiqua" w:eastAsia="Book Antiqua" w:hAnsi="Book Antiqua" w:cs="Book Antiqua"/>
          <w:bCs/>
          <w:color w:val="000000" w:themeColor="text1"/>
          <w:szCs w:val="24"/>
          <w:lang w:val="es-PR"/>
        </w:rPr>
      </w:pPr>
      <w:r w:rsidRPr="001711E6">
        <w:rPr>
          <w:rFonts w:ascii="Book Antiqua" w:eastAsia="Book Antiqua" w:hAnsi="Book Antiqua" w:cs="Book Antiqua"/>
          <w:bCs/>
          <w:color w:val="000000" w:themeColor="text1"/>
          <w:szCs w:val="24"/>
          <w:lang w:val="es-PR"/>
        </w:rPr>
        <w:t>Por los fundamentos expuestos, la Comisión de</w:t>
      </w:r>
      <w:r w:rsidR="007761C9" w:rsidRPr="001711E6">
        <w:rPr>
          <w:rFonts w:ascii="Book Antiqua" w:eastAsia="Book Antiqua" w:hAnsi="Book Antiqua" w:cs="Book Antiqua"/>
          <w:bCs/>
          <w:color w:val="000000" w:themeColor="text1"/>
          <w:szCs w:val="24"/>
          <w:lang w:val="es-PR"/>
        </w:rPr>
        <w:t xml:space="preserve"> </w:t>
      </w:r>
      <w:r w:rsidR="00542113">
        <w:rPr>
          <w:rFonts w:ascii="Book Antiqua" w:eastAsia="Book Antiqua" w:hAnsi="Book Antiqua" w:cs="Book Antiqua"/>
          <w:bCs/>
          <w:color w:val="000000" w:themeColor="text1"/>
          <w:szCs w:val="24"/>
          <w:lang w:val="es-PR"/>
        </w:rPr>
        <w:t>l</w:t>
      </w:r>
      <w:r w:rsidR="007761C9" w:rsidRPr="001711E6">
        <w:rPr>
          <w:rFonts w:ascii="Book Antiqua" w:eastAsia="Book Antiqua" w:hAnsi="Book Antiqua" w:cs="Book Antiqua"/>
          <w:bCs/>
          <w:color w:val="000000" w:themeColor="text1"/>
          <w:szCs w:val="24"/>
          <w:lang w:val="es-PR"/>
        </w:rPr>
        <w:t>o Jurídico</w:t>
      </w:r>
      <w:r w:rsidRPr="001711E6">
        <w:rPr>
          <w:rFonts w:ascii="Book Antiqua" w:eastAsia="Book Antiqua" w:hAnsi="Book Antiqua" w:cs="Book Antiqua"/>
          <w:bCs/>
          <w:color w:val="000000" w:themeColor="text1"/>
          <w:szCs w:val="24"/>
          <w:lang w:val="es-PR"/>
        </w:rPr>
        <w:t xml:space="preserve"> </w:t>
      </w:r>
      <w:r w:rsidR="00542113">
        <w:rPr>
          <w:rFonts w:ascii="Book Antiqua" w:eastAsia="Book Antiqua" w:hAnsi="Book Antiqua" w:cs="Book Antiqua"/>
          <w:bCs/>
          <w:color w:val="000000" w:themeColor="text1"/>
          <w:szCs w:val="24"/>
          <w:lang w:val="es-PR"/>
        </w:rPr>
        <w:t>presenta</w:t>
      </w:r>
      <w:r w:rsidRPr="001711E6">
        <w:rPr>
          <w:rFonts w:ascii="Book Antiqua" w:eastAsia="Book Antiqua" w:hAnsi="Book Antiqua" w:cs="Book Antiqua"/>
          <w:bCs/>
          <w:color w:val="000000" w:themeColor="text1"/>
          <w:szCs w:val="24"/>
          <w:lang w:val="es-PR"/>
        </w:rPr>
        <w:t xml:space="preserve"> e</w:t>
      </w:r>
      <w:r w:rsidR="00542113">
        <w:rPr>
          <w:rFonts w:ascii="Book Antiqua" w:eastAsia="Book Antiqua" w:hAnsi="Book Antiqua" w:cs="Book Antiqua"/>
          <w:bCs/>
          <w:color w:val="000000" w:themeColor="text1"/>
          <w:szCs w:val="24"/>
          <w:lang w:val="es-PR"/>
        </w:rPr>
        <w:t>ste</w:t>
      </w:r>
      <w:r w:rsidRPr="001711E6">
        <w:rPr>
          <w:rFonts w:ascii="Book Antiqua" w:eastAsia="Book Antiqua" w:hAnsi="Book Antiqua" w:cs="Book Antiqua"/>
          <w:bCs/>
          <w:color w:val="000000" w:themeColor="text1"/>
          <w:szCs w:val="24"/>
          <w:lang w:val="es-PR"/>
        </w:rPr>
        <w:t xml:space="preserve"> Informe Positivo en el que</w:t>
      </w:r>
      <w:r w:rsidR="004C34EA">
        <w:rPr>
          <w:rFonts w:ascii="Book Antiqua" w:eastAsia="Book Antiqua" w:hAnsi="Book Antiqua" w:cs="Book Antiqua"/>
          <w:bCs/>
          <w:color w:val="000000" w:themeColor="text1"/>
          <w:szCs w:val="24"/>
          <w:lang w:val="es-PR"/>
        </w:rPr>
        <w:t xml:space="preserve"> recomienda </w:t>
      </w:r>
      <w:r w:rsidRPr="001711E6">
        <w:rPr>
          <w:rFonts w:ascii="Book Antiqua" w:eastAsia="Book Antiqua" w:hAnsi="Book Antiqua" w:cs="Book Antiqua"/>
          <w:bCs/>
          <w:color w:val="000000" w:themeColor="text1"/>
          <w:szCs w:val="24"/>
          <w:lang w:val="es-PR"/>
        </w:rPr>
        <w:t xml:space="preserve">a este Honorable Cuerpo la aprobación del P. de la C. </w:t>
      </w:r>
      <w:r w:rsidR="00380606">
        <w:rPr>
          <w:rFonts w:ascii="Book Antiqua" w:eastAsia="Book Antiqua" w:hAnsi="Book Antiqua" w:cs="Book Antiqua"/>
          <w:bCs/>
          <w:color w:val="000000" w:themeColor="text1"/>
          <w:szCs w:val="24"/>
          <w:lang w:val="es-PR"/>
        </w:rPr>
        <w:t>216</w:t>
      </w:r>
      <w:r w:rsidR="00C11C5A">
        <w:rPr>
          <w:rFonts w:ascii="Book Antiqua" w:eastAsia="Book Antiqua" w:hAnsi="Book Antiqua" w:cs="Book Antiqua"/>
          <w:bCs/>
          <w:color w:val="000000" w:themeColor="text1"/>
          <w:szCs w:val="24"/>
          <w:lang w:val="es-PR"/>
        </w:rPr>
        <w:t>. Ello,</w:t>
      </w:r>
      <w:r w:rsidR="00F0476A" w:rsidRPr="001711E6">
        <w:rPr>
          <w:rFonts w:ascii="Book Antiqua" w:eastAsia="Book Antiqua" w:hAnsi="Book Antiqua" w:cs="Book Antiqua"/>
          <w:bCs/>
          <w:color w:val="000000" w:themeColor="text1"/>
          <w:szCs w:val="24"/>
          <w:lang w:val="es-PR"/>
        </w:rPr>
        <w:t xml:space="preserve"> con las enmiendas contenidas en el </w:t>
      </w:r>
      <w:proofErr w:type="spellStart"/>
      <w:r w:rsidR="00F0476A" w:rsidRPr="001711E6">
        <w:rPr>
          <w:rFonts w:ascii="Book Antiqua" w:eastAsia="Book Antiqua" w:hAnsi="Book Antiqua" w:cs="Book Antiqua"/>
          <w:bCs/>
          <w:color w:val="000000" w:themeColor="text1"/>
          <w:szCs w:val="24"/>
          <w:lang w:val="es-PR"/>
        </w:rPr>
        <w:t>entirillado</w:t>
      </w:r>
      <w:proofErr w:type="spellEnd"/>
      <w:r w:rsidR="00F0476A" w:rsidRPr="001711E6">
        <w:rPr>
          <w:rFonts w:ascii="Book Antiqua" w:eastAsia="Book Antiqua" w:hAnsi="Book Antiqua" w:cs="Book Antiqua"/>
          <w:bCs/>
          <w:color w:val="000000" w:themeColor="text1"/>
          <w:szCs w:val="24"/>
          <w:lang w:val="es-PR"/>
        </w:rPr>
        <w:t xml:space="preserve"> electrónico que se acompaña junto al informe</w:t>
      </w:r>
      <w:r w:rsidR="00F17F1C" w:rsidRPr="001711E6">
        <w:rPr>
          <w:rFonts w:ascii="Book Antiqua" w:eastAsia="Book Antiqua" w:hAnsi="Book Antiqua" w:cs="Book Antiqua"/>
          <w:bCs/>
          <w:color w:val="000000" w:themeColor="text1"/>
          <w:szCs w:val="24"/>
          <w:lang w:val="es-PR"/>
        </w:rPr>
        <w:t>.</w:t>
      </w:r>
      <w:r w:rsidR="004512E8" w:rsidRPr="001711E6">
        <w:rPr>
          <w:rFonts w:ascii="Book Antiqua" w:eastAsia="Book Antiqua" w:hAnsi="Book Antiqua" w:cs="Book Antiqua"/>
          <w:bCs/>
          <w:color w:val="000000" w:themeColor="text1"/>
          <w:szCs w:val="24"/>
          <w:lang w:val="es-PR"/>
        </w:rPr>
        <w:t xml:space="preserve"> </w:t>
      </w:r>
    </w:p>
    <w:p w14:paraId="55324CE2" w14:textId="77777777" w:rsidR="004512E8" w:rsidRPr="001711E6" w:rsidRDefault="004512E8" w:rsidP="004512E8">
      <w:pPr>
        <w:jc w:val="both"/>
        <w:rPr>
          <w:rFonts w:ascii="Book Antiqua" w:eastAsia="Book Antiqua" w:hAnsi="Book Antiqua" w:cs="Book Antiqua"/>
          <w:bCs/>
          <w:color w:val="000000" w:themeColor="text1"/>
          <w:szCs w:val="24"/>
          <w:lang w:val="es-PR"/>
        </w:rPr>
      </w:pPr>
    </w:p>
    <w:p w14:paraId="6C8FC9E5" w14:textId="60A2F689"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Respetuosamente,</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DA036F" w:rsidRDefault="00447224" w:rsidP="003B38A4">
      <w:pPr>
        <w:jc w:val="both"/>
        <w:rPr>
          <w:rFonts w:ascii="Book Antiqua" w:eastAsia="Book Antiqua" w:hAnsi="Book Antiqua" w:cs="Book Antiqua"/>
          <w:b/>
          <w:bCs/>
          <w:color w:val="000000" w:themeColor="text1"/>
          <w:szCs w:val="24"/>
          <w:lang w:val="es-PR"/>
        </w:rPr>
      </w:pPr>
      <w:r w:rsidRPr="00DA036F">
        <w:rPr>
          <w:rFonts w:ascii="Book Antiqua" w:eastAsia="Book Antiqua" w:hAnsi="Book Antiqua" w:cs="Book Antiqua"/>
          <w:b/>
          <w:bCs/>
          <w:color w:val="000000" w:themeColor="text1"/>
          <w:szCs w:val="24"/>
          <w:lang w:val="es-PR"/>
        </w:rPr>
        <w:t>José</w:t>
      </w:r>
      <w:r w:rsidR="00D60D6E" w:rsidRPr="00DA036F">
        <w:rPr>
          <w:rFonts w:ascii="Book Antiqua" w:eastAsia="Book Antiqua" w:hAnsi="Book Antiqua" w:cs="Book Antiqua"/>
          <w:b/>
          <w:bCs/>
          <w:color w:val="000000" w:themeColor="text1"/>
          <w:szCs w:val="24"/>
          <w:lang w:val="es-PR"/>
        </w:rPr>
        <w:t xml:space="preserve"> J. </w:t>
      </w:r>
      <w:r w:rsidRPr="00DA036F">
        <w:rPr>
          <w:rFonts w:ascii="Book Antiqua" w:eastAsia="Book Antiqua" w:hAnsi="Book Antiqua" w:cs="Book Antiqua"/>
          <w:b/>
          <w:bCs/>
          <w:color w:val="000000" w:themeColor="text1"/>
          <w:szCs w:val="24"/>
          <w:lang w:val="es-PR"/>
        </w:rPr>
        <w:t>Pérez</w:t>
      </w:r>
      <w:r w:rsidR="00D60D6E" w:rsidRPr="00DA036F">
        <w:rPr>
          <w:rFonts w:ascii="Book Antiqua" w:eastAsia="Book Antiqua" w:hAnsi="Book Antiqua" w:cs="Book Antiqua"/>
          <w:b/>
          <w:bCs/>
          <w:color w:val="000000" w:themeColor="text1"/>
          <w:szCs w:val="24"/>
          <w:lang w:val="es-PR"/>
        </w:rPr>
        <w:t xml:space="preserve"> Cordero</w:t>
      </w:r>
      <w:r w:rsidR="003B38A4" w:rsidRPr="00DA036F">
        <w:rPr>
          <w:rFonts w:ascii="Book Antiqua" w:eastAsia="Book Antiqua" w:hAnsi="Book Antiqua" w:cs="Book Antiqua"/>
          <w:b/>
          <w:bCs/>
          <w:color w:val="000000" w:themeColor="text1"/>
          <w:szCs w:val="24"/>
          <w:lang w:val="es-PR"/>
        </w:rPr>
        <w:tab/>
        <w:t xml:space="preserve"> </w:t>
      </w:r>
    </w:p>
    <w:p w14:paraId="6768602C" w14:textId="40E4AC25"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p>
    <w:p w14:paraId="48961C1A" w14:textId="51D15A6B" w:rsidR="007B2F4F" w:rsidRPr="001711E6" w:rsidRDefault="003B38A4" w:rsidP="00F248D5">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Comisión </w:t>
      </w:r>
      <w:r w:rsidR="00F248D5" w:rsidRPr="001711E6">
        <w:rPr>
          <w:rFonts w:ascii="Book Antiqua" w:eastAsia="Book Antiqua" w:hAnsi="Book Antiqua" w:cs="Book Antiqua"/>
          <w:color w:val="000000" w:themeColor="text1"/>
          <w:szCs w:val="24"/>
          <w:lang w:val="es-PR"/>
        </w:rPr>
        <w:t xml:space="preserve">de </w:t>
      </w:r>
      <w:r w:rsidR="00D56E4A">
        <w:rPr>
          <w:rFonts w:ascii="Book Antiqua" w:eastAsia="Book Antiqua" w:hAnsi="Book Antiqua" w:cs="Book Antiqua"/>
          <w:color w:val="000000" w:themeColor="text1"/>
          <w:szCs w:val="24"/>
          <w:lang w:val="es-PR"/>
        </w:rPr>
        <w:t>l</w:t>
      </w:r>
      <w:r w:rsidR="009535ED" w:rsidRPr="001711E6">
        <w:rPr>
          <w:rFonts w:ascii="Book Antiqua" w:eastAsia="Book Antiqua" w:hAnsi="Book Antiqua" w:cs="Book Antiqua"/>
          <w:color w:val="000000" w:themeColor="text1"/>
          <w:szCs w:val="24"/>
          <w:lang w:val="es-PR"/>
        </w:rPr>
        <w:t xml:space="preserve">o Jurídico </w:t>
      </w:r>
    </w:p>
    <w:sectPr w:rsidR="007B2F4F" w:rsidRPr="001711E6" w:rsidSect="005D2A7D">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91EDE" w14:textId="77777777" w:rsidR="002349AA" w:rsidRDefault="002349AA">
      <w:r>
        <w:separator/>
      </w:r>
    </w:p>
  </w:endnote>
  <w:endnote w:type="continuationSeparator" w:id="0">
    <w:p w14:paraId="347119F8" w14:textId="77777777" w:rsidR="002349AA" w:rsidRDefault="00234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4014A" w14:textId="77777777" w:rsidR="002349AA" w:rsidRDefault="002349AA">
      <w:r>
        <w:separator/>
      </w:r>
    </w:p>
  </w:footnote>
  <w:footnote w:type="continuationSeparator" w:id="0">
    <w:p w14:paraId="6615340B" w14:textId="77777777" w:rsidR="002349AA" w:rsidRDefault="002349AA">
      <w:r>
        <w:continuationSeparator/>
      </w:r>
    </w:p>
  </w:footnote>
  <w:footnote w:id="1">
    <w:p w14:paraId="5830ABC5" w14:textId="22012362" w:rsidR="003813FE" w:rsidRPr="003813FE" w:rsidRDefault="003813FE">
      <w:pPr>
        <w:pStyle w:val="FootnoteText"/>
        <w:rPr>
          <w:rFonts w:ascii="Book Antiqua" w:hAnsi="Book Antiqua"/>
        </w:rPr>
      </w:pPr>
      <w:r w:rsidRPr="003813FE">
        <w:rPr>
          <w:rStyle w:val="FootnoteReference"/>
          <w:rFonts w:ascii="Book Antiqua" w:hAnsi="Book Antiqua"/>
        </w:rPr>
        <w:footnoteRef/>
      </w:r>
      <w:r w:rsidRPr="003813FE">
        <w:rPr>
          <w:rFonts w:ascii="Book Antiqua" w:hAnsi="Book Antiqua"/>
        </w:rPr>
        <w:t xml:space="preserve"> Conocida como </w:t>
      </w:r>
      <w:r w:rsidRPr="003813FE">
        <w:rPr>
          <w:rFonts w:ascii="Book Antiqua" w:hAnsi="Book Antiqua"/>
          <w:i/>
          <w:iCs/>
        </w:rPr>
        <w:t>Ley del Derecho a la Protección del Hogar Principal y el Hogar Familiar</w:t>
      </w:r>
      <w:r w:rsidRPr="003813FE">
        <w:rPr>
          <w:rFonts w:ascii="Book Antiqua" w:hAnsi="Book Antiqua"/>
        </w:rPr>
        <w:t>.</w:t>
      </w:r>
    </w:p>
  </w:footnote>
  <w:footnote w:id="2">
    <w:p w14:paraId="6FE10B60" w14:textId="62B8CD8B" w:rsidR="008B6C2B" w:rsidRPr="00911258" w:rsidRDefault="008B6C2B" w:rsidP="00911258">
      <w:pPr>
        <w:pStyle w:val="FootnoteText"/>
        <w:spacing w:after="120"/>
        <w:rPr>
          <w:rFonts w:ascii="Book Antiqua" w:hAnsi="Book Antiqua"/>
        </w:rPr>
      </w:pPr>
      <w:r w:rsidRPr="00911258">
        <w:rPr>
          <w:rStyle w:val="FootnoteReference"/>
          <w:rFonts w:ascii="Book Antiqua" w:hAnsi="Book Antiqua"/>
        </w:rPr>
        <w:footnoteRef/>
      </w:r>
      <w:r w:rsidRPr="00911258">
        <w:rPr>
          <w:rFonts w:ascii="Book Antiqua" w:hAnsi="Book Antiqua"/>
        </w:rPr>
        <w:t xml:space="preserve"> En otras palabras, la MBAPR se expresó sobre ambas medidas análogas: el P. de la C. 1349</w:t>
      </w:r>
      <w:r w:rsidR="00265F15" w:rsidRPr="00911258">
        <w:rPr>
          <w:rFonts w:ascii="Book Antiqua" w:hAnsi="Book Antiqua"/>
        </w:rPr>
        <w:t xml:space="preserve"> —del cuatrienio anterior—</w:t>
      </w:r>
      <w:r w:rsidRPr="00911258">
        <w:rPr>
          <w:rFonts w:ascii="Book Antiqua" w:hAnsi="Book Antiqua"/>
        </w:rPr>
        <w:t xml:space="preserve"> y el P. de la C. 216</w:t>
      </w:r>
      <w:r w:rsidR="00265F15" w:rsidRPr="00911258">
        <w:rPr>
          <w:rFonts w:ascii="Book Antiqua" w:hAnsi="Book Antiqua"/>
        </w:rPr>
        <w:t>.</w:t>
      </w:r>
    </w:p>
  </w:footnote>
  <w:footnote w:id="3">
    <w:p w14:paraId="161B3709" w14:textId="7F77DFDA" w:rsidR="00911258" w:rsidRPr="00A46B87" w:rsidRDefault="00911258">
      <w:pPr>
        <w:pStyle w:val="FootnoteText"/>
      </w:pPr>
      <w:r w:rsidRPr="00911258">
        <w:rPr>
          <w:rStyle w:val="FootnoteReference"/>
          <w:rFonts w:ascii="Book Antiqua" w:hAnsi="Book Antiqua"/>
        </w:rPr>
        <w:footnoteRef/>
      </w:r>
      <w:r w:rsidRPr="00911258">
        <w:rPr>
          <w:rFonts w:ascii="Book Antiqua" w:hAnsi="Book Antiqua"/>
        </w:rPr>
        <w:t xml:space="preserve"> Véase, </w:t>
      </w:r>
      <w:r w:rsidR="00A46B87" w:rsidRPr="00A46B87">
        <w:rPr>
          <w:rFonts w:ascii="Book Antiqua" w:hAnsi="Book Antiqua"/>
        </w:rPr>
        <w:t>Reglas de Procedimiento Civil de 2009</w:t>
      </w:r>
      <w:r w:rsidR="00A46B87">
        <w:rPr>
          <w:rFonts w:ascii="Book Antiqua" w:hAnsi="Book Antiqua"/>
        </w:rPr>
        <w:t>, Regla 10.1, 37.2, y 52.2(c).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626E724F"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D076CD">
      <w:rPr>
        <w:rFonts w:ascii="Calibri" w:eastAsia="Calibri" w:hAnsi="Calibri"/>
        <w:b/>
        <w:iCs/>
        <w:sz w:val="22"/>
        <w:szCs w:val="22"/>
        <w:lang w:val="es-PR"/>
      </w:rPr>
      <w:t>Informe</w:t>
    </w:r>
    <w:r w:rsidR="00900740" w:rsidRPr="00D076CD">
      <w:rPr>
        <w:rFonts w:ascii="Calibri" w:eastAsia="Calibri" w:hAnsi="Calibri"/>
        <w:b/>
        <w:iCs/>
        <w:sz w:val="22"/>
        <w:szCs w:val="22"/>
        <w:lang w:val="es-PR"/>
      </w:rPr>
      <w:t xml:space="preserve"> Positivo</w:t>
    </w:r>
    <w:r w:rsidRPr="00D076CD">
      <w:rPr>
        <w:rFonts w:ascii="Calibri" w:eastAsia="Calibri" w:hAnsi="Calibri"/>
        <w:b/>
        <w:iCs/>
        <w:sz w:val="22"/>
        <w:szCs w:val="22"/>
        <w:lang w:val="es-PR"/>
      </w:rPr>
      <w:t xml:space="preserve"> P. de la C. </w:t>
    </w:r>
    <w:r w:rsidR="00FB46E9">
      <w:rPr>
        <w:rFonts w:ascii="Calibri" w:eastAsia="Calibri" w:hAnsi="Calibri"/>
        <w:b/>
        <w:iCs/>
        <w:sz w:val="22"/>
        <w:szCs w:val="22"/>
        <w:lang w:val="es-PR"/>
      </w:rPr>
      <w:t>21</w:t>
    </w:r>
    <w:r w:rsidR="00A41993">
      <w:rPr>
        <w:rFonts w:ascii="Calibri" w:eastAsia="Calibri" w:hAnsi="Calibri"/>
        <w:b/>
        <w:iCs/>
        <w:sz w:val="22"/>
        <w:szCs w:val="22"/>
        <w:lang w:val="es-PR"/>
      </w:rPr>
      <w:t>6</w:t>
    </w:r>
    <w:r w:rsidRPr="00D076CD">
      <w:rPr>
        <w:rFonts w:ascii="Calibri" w:eastAsia="Calibri" w:hAnsi="Calibri"/>
        <w:b/>
        <w:iCs/>
        <w:sz w:val="22"/>
        <w:szCs w:val="22"/>
        <w:lang w:val="es-PR"/>
      </w:rPr>
      <w:tab/>
    </w:r>
    <w:r w:rsidRPr="00D076CD">
      <w:rPr>
        <w:rFonts w:ascii="Calibri" w:eastAsia="Calibri" w:hAnsi="Calibri"/>
        <w:b/>
        <w:iCs/>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86C"/>
    <w:rsid w:val="00000EC6"/>
    <w:rsid w:val="00012682"/>
    <w:rsid w:val="000126B6"/>
    <w:rsid w:val="000142E7"/>
    <w:rsid w:val="00014D02"/>
    <w:rsid w:val="00015228"/>
    <w:rsid w:val="00021243"/>
    <w:rsid w:val="000220C0"/>
    <w:rsid w:val="000307E4"/>
    <w:rsid w:val="00035FFD"/>
    <w:rsid w:val="0004014A"/>
    <w:rsid w:val="00041144"/>
    <w:rsid w:val="000412FD"/>
    <w:rsid w:val="00045711"/>
    <w:rsid w:val="0004737C"/>
    <w:rsid w:val="00047B9F"/>
    <w:rsid w:val="00050E9A"/>
    <w:rsid w:val="0005159B"/>
    <w:rsid w:val="000673D8"/>
    <w:rsid w:val="00071207"/>
    <w:rsid w:val="00071FD5"/>
    <w:rsid w:val="0009035A"/>
    <w:rsid w:val="00090A11"/>
    <w:rsid w:val="00093934"/>
    <w:rsid w:val="000968F0"/>
    <w:rsid w:val="000A0600"/>
    <w:rsid w:val="000A4C87"/>
    <w:rsid w:val="000B0D43"/>
    <w:rsid w:val="000B52DC"/>
    <w:rsid w:val="000B6B0E"/>
    <w:rsid w:val="000C4E3C"/>
    <w:rsid w:val="000C66A9"/>
    <w:rsid w:val="000D2BDF"/>
    <w:rsid w:val="000D5F7E"/>
    <w:rsid w:val="000D68FC"/>
    <w:rsid w:val="000E47C9"/>
    <w:rsid w:val="000E5521"/>
    <w:rsid w:val="000E5D36"/>
    <w:rsid w:val="000F3BA0"/>
    <w:rsid w:val="000F67BD"/>
    <w:rsid w:val="001015D5"/>
    <w:rsid w:val="00101C99"/>
    <w:rsid w:val="001049CF"/>
    <w:rsid w:val="001070BB"/>
    <w:rsid w:val="00111DF4"/>
    <w:rsid w:val="00112412"/>
    <w:rsid w:val="001209AD"/>
    <w:rsid w:val="00126659"/>
    <w:rsid w:val="001311BA"/>
    <w:rsid w:val="00140F2B"/>
    <w:rsid w:val="00141605"/>
    <w:rsid w:val="00141703"/>
    <w:rsid w:val="00151328"/>
    <w:rsid w:val="00152502"/>
    <w:rsid w:val="00153CDD"/>
    <w:rsid w:val="00153D68"/>
    <w:rsid w:val="001573DC"/>
    <w:rsid w:val="001601C3"/>
    <w:rsid w:val="00163D3F"/>
    <w:rsid w:val="00166C0A"/>
    <w:rsid w:val="0017100B"/>
    <w:rsid w:val="001711E6"/>
    <w:rsid w:val="00171FDF"/>
    <w:rsid w:val="00172770"/>
    <w:rsid w:val="001A1EAC"/>
    <w:rsid w:val="001A4C40"/>
    <w:rsid w:val="001A5A3D"/>
    <w:rsid w:val="001C338F"/>
    <w:rsid w:val="001D23E0"/>
    <w:rsid w:val="001D5EE7"/>
    <w:rsid w:val="001D6791"/>
    <w:rsid w:val="001E3CBC"/>
    <w:rsid w:val="001E4D33"/>
    <w:rsid w:val="001E4FEC"/>
    <w:rsid w:val="001F38BF"/>
    <w:rsid w:val="001F5243"/>
    <w:rsid w:val="001F5FB1"/>
    <w:rsid w:val="0020167D"/>
    <w:rsid w:val="00203D0D"/>
    <w:rsid w:val="00206CC4"/>
    <w:rsid w:val="00206D79"/>
    <w:rsid w:val="00206E0B"/>
    <w:rsid w:val="0021655A"/>
    <w:rsid w:val="00216AC7"/>
    <w:rsid w:val="0022092E"/>
    <w:rsid w:val="00221403"/>
    <w:rsid w:val="002222DA"/>
    <w:rsid w:val="0022487E"/>
    <w:rsid w:val="00227846"/>
    <w:rsid w:val="0023302B"/>
    <w:rsid w:val="002349AA"/>
    <w:rsid w:val="002442C0"/>
    <w:rsid w:val="00251481"/>
    <w:rsid w:val="00253152"/>
    <w:rsid w:val="00265DD8"/>
    <w:rsid w:val="00265F15"/>
    <w:rsid w:val="00275876"/>
    <w:rsid w:val="002864AF"/>
    <w:rsid w:val="0029300A"/>
    <w:rsid w:val="002939AA"/>
    <w:rsid w:val="0029448F"/>
    <w:rsid w:val="00296FB9"/>
    <w:rsid w:val="0029745E"/>
    <w:rsid w:val="002A2577"/>
    <w:rsid w:val="002A2E53"/>
    <w:rsid w:val="002A795A"/>
    <w:rsid w:val="002B5B63"/>
    <w:rsid w:val="002C516C"/>
    <w:rsid w:val="002C63ED"/>
    <w:rsid w:val="002D2AD0"/>
    <w:rsid w:val="002D4655"/>
    <w:rsid w:val="002E4FD3"/>
    <w:rsid w:val="002E54E3"/>
    <w:rsid w:val="002F16BF"/>
    <w:rsid w:val="002F21E5"/>
    <w:rsid w:val="00300F27"/>
    <w:rsid w:val="003022F8"/>
    <w:rsid w:val="00302A76"/>
    <w:rsid w:val="00304248"/>
    <w:rsid w:val="00305C9F"/>
    <w:rsid w:val="00316753"/>
    <w:rsid w:val="0032247A"/>
    <w:rsid w:val="00327FC3"/>
    <w:rsid w:val="003344C6"/>
    <w:rsid w:val="003361A3"/>
    <w:rsid w:val="0034229A"/>
    <w:rsid w:val="00342992"/>
    <w:rsid w:val="00346418"/>
    <w:rsid w:val="00354AD0"/>
    <w:rsid w:val="00354EC7"/>
    <w:rsid w:val="0035755F"/>
    <w:rsid w:val="00357B74"/>
    <w:rsid w:val="00363230"/>
    <w:rsid w:val="00364147"/>
    <w:rsid w:val="00366718"/>
    <w:rsid w:val="00370F8A"/>
    <w:rsid w:val="00371331"/>
    <w:rsid w:val="003735A7"/>
    <w:rsid w:val="00380606"/>
    <w:rsid w:val="003813FE"/>
    <w:rsid w:val="003832F6"/>
    <w:rsid w:val="003842C2"/>
    <w:rsid w:val="0038510E"/>
    <w:rsid w:val="00387212"/>
    <w:rsid w:val="003910E6"/>
    <w:rsid w:val="00392CEF"/>
    <w:rsid w:val="00393ADF"/>
    <w:rsid w:val="003B38A4"/>
    <w:rsid w:val="003B5459"/>
    <w:rsid w:val="003D601E"/>
    <w:rsid w:val="003E1A9C"/>
    <w:rsid w:val="003E4335"/>
    <w:rsid w:val="003E529E"/>
    <w:rsid w:val="003E6E10"/>
    <w:rsid w:val="003E6FC9"/>
    <w:rsid w:val="003E7648"/>
    <w:rsid w:val="003F10BB"/>
    <w:rsid w:val="003F2674"/>
    <w:rsid w:val="003F6F83"/>
    <w:rsid w:val="00407674"/>
    <w:rsid w:val="00413139"/>
    <w:rsid w:val="00414133"/>
    <w:rsid w:val="0042168B"/>
    <w:rsid w:val="00431F68"/>
    <w:rsid w:val="00436471"/>
    <w:rsid w:val="00442843"/>
    <w:rsid w:val="00447224"/>
    <w:rsid w:val="00447621"/>
    <w:rsid w:val="004512E8"/>
    <w:rsid w:val="00451F27"/>
    <w:rsid w:val="004523CD"/>
    <w:rsid w:val="00452D84"/>
    <w:rsid w:val="00455A76"/>
    <w:rsid w:val="004654B5"/>
    <w:rsid w:val="00467CB0"/>
    <w:rsid w:val="00471DF9"/>
    <w:rsid w:val="00474109"/>
    <w:rsid w:val="004756BA"/>
    <w:rsid w:val="00486EB4"/>
    <w:rsid w:val="00496F72"/>
    <w:rsid w:val="004A2226"/>
    <w:rsid w:val="004A4A9F"/>
    <w:rsid w:val="004A5426"/>
    <w:rsid w:val="004A5A18"/>
    <w:rsid w:val="004A6CE9"/>
    <w:rsid w:val="004B3B30"/>
    <w:rsid w:val="004B4977"/>
    <w:rsid w:val="004B5B10"/>
    <w:rsid w:val="004C34EA"/>
    <w:rsid w:val="004C40F2"/>
    <w:rsid w:val="004C499B"/>
    <w:rsid w:val="004D28B0"/>
    <w:rsid w:val="004D2F67"/>
    <w:rsid w:val="004E02D2"/>
    <w:rsid w:val="004E356B"/>
    <w:rsid w:val="004E7F19"/>
    <w:rsid w:val="004F38E8"/>
    <w:rsid w:val="004F3AEE"/>
    <w:rsid w:val="004F4A0B"/>
    <w:rsid w:val="004F4CAD"/>
    <w:rsid w:val="004F7711"/>
    <w:rsid w:val="004F79AB"/>
    <w:rsid w:val="00507E5F"/>
    <w:rsid w:val="00512238"/>
    <w:rsid w:val="005132E2"/>
    <w:rsid w:val="00515C7B"/>
    <w:rsid w:val="00515F9D"/>
    <w:rsid w:val="00516AB2"/>
    <w:rsid w:val="00524E93"/>
    <w:rsid w:val="0052624F"/>
    <w:rsid w:val="00532F3A"/>
    <w:rsid w:val="005340D9"/>
    <w:rsid w:val="00542113"/>
    <w:rsid w:val="005432C2"/>
    <w:rsid w:val="00553A53"/>
    <w:rsid w:val="0055476C"/>
    <w:rsid w:val="005574C7"/>
    <w:rsid w:val="0056097C"/>
    <w:rsid w:val="00560E41"/>
    <w:rsid w:val="0056258E"/>
    <w:rsid w:val="00566BF6"/>
    <w:rsid w:val="00573AA9"/>
    <w:rsid w:val="00577FB8"/>
    <w:rsid w:val="00582CE9"/>
    <w:rsid w:val="00584753"/>
    <w:rsid w:val="00591C6D"/>
    <w:rsid w:val="005922E8"/>
    <w:rsid w:val="00592D59"/>
    <w:rsid w:val="00597504"/>
    <w:rsid w:val="005A1F13"/>
    <w:rsid w:val="005A3DAC"/>
    <w:rsid w:val="005B42F2"/>
    <w:rsid w:val="005B4FA8"/>
    <w:rsid w:val="005B69A9"/>
    <w:rsid w:val="005B750B"/>
    <w:rsid w:val="005D2A7D"/>
    <w:rsid w:val="005D5254"/>
    <w:rsid w:val="005E4CF7"/>
    <w:rsid w:val="005F4078"/>
    <w:rsid w:val="00602E29"/>
    <w:rsid w:val="00603D79"/>
    <w:rsid w:val="00603FE4"/>
    <w:rsid w:val="006114BF"/>
    <w:rsid w:val="00611979"/>
    <w:rsid w:val="00611DBB"/>
    <w:rsid w:val="00612378"/>
    <w:rsid w:val="00613CE5"/>
    <w:rsid w:val="006175F7"/>
    <w:rsid w:val="0062203D"/>
    <w:rsid w:val="00622B23"/>
    <w:rsid w:val="00623890"/>
    <w:rsid w:val="00623D71"/>
    <w:rsid w:val="006430D4"/>
    <w:rsid w:val="00661AB8"/>
    <w:rsid w:val="00661CDA"/>
    <w:rsid w:val="006620D1"/>
    <w:rsid w:val="0066649B"/>
    <w:rsid w:val="00671B9A"/>
    <w:rsid w:val="006739EE"/>
    <w:rsid w:val="006916A9"/>
    <w:rsid w:val="00691BD1"/>
    <w:rsid w:val="0069342C"/>
    <w:rsid w:val="00694718"/>
    <w:rsid w:val="006B2F9D"/>
    <w:rsid w:val="006B4F55"/>
    <w:rsid w:val="006B6B13"/>
    <w:rsid w:val="006B6B87"/>
    <w:rsid w:val="006C5F3E"/>
    <w:rsid w:val="006E176E"/>
    <w:rsid w:val="006E2A38"/>
    <w:rsid w:val="006E576F"/>
    <w:rsid w:val="006E649B"/>
    <w:rsid w:val="006E65D9"/>
    <w:rsid w:val="006F6951"/>
    <w:rsid w:val="007006EB"/>
    <w:rsid w:val="0070305E"/>
    <w:rsid w:val="00712B22"/>
    <w:rsid w:val="00715AB6"/>
    <w:rsid w:val="00716098"/>
    <w:rsid w:val="00716C22"/>
    <w:rsid w:val="007250C9"/>
    <w:rsid w:val="00733E40"/>
    <w:rsid w:val="007363D7"/>
    <w:rsid w:val="00744264"/>
    <w:rsid w:val="007475E1"/>
    <w:rsid w:val="0076029D"/>
    <w:rsid w:val="00760D00"/>
    <w:rsid w:val="00770031"/>
    <w:rsid w:val="00770FEF"/>
    <w:rsid w:val="0077131A"/>
    <w:rsid w:val="00773FDD"/>
    <w:rsid w:val="0077444F"/>
    <w:rsid w:val="007761C9"/>
    <w:rsid w:val="00782A64"/>
    <w:rsid w:val="007842E6"/>
    <w:rsid w:val="0078548C"/>
    <w:rsid w:val="00786886"/>
    <w:rsid w:val="0079108D"/>
    <w:rsid w:val="007A4CF4"/>
    <w:rsid w:val="007A56A3"/>
    <w:rsid w:val="007B257D"/>
    <w:rsid w:val="007B2F4F"/>
    <w:rsid w:val="007B5EBE"/>
    <w:rsid w:val="007C5122"/>
    <w:rsid w:val="007D1CE3"/>
    <w:rsid w:val="007D22F5"/>
    <w:rsid w:val="007D3647"/>
    <w:rsid w:val="007D3EE2"/>
    <w:rsid w:val="007D458C"/>
    <w:rsid w:val="007D79C4"/>
    <w:rsid w:val="007E1D67"/>
    <w:rsid w:val="007E1E1B"/>
    <w:rsid w:val="007E2AC1"/>
    <w:rsid w:val="007E6834"/>
    <w:rsid w:val="00801B1B"/>
    <w:rsid w:val="00802900"/>
    <w:rsid w:val="008071E7"/>
    <w:rsid w:val="008142DA"/>
    <w:rsid w:val="008162A8"/>
    <w:rsid w:val="00821551"/>
    <w:rsid w:val="008225E7"/>
    <w:rsid w:val="00822FEF"/>
    <w:rsid w:val="00824B51"/>
    <w:rsid w:val="00825016"/>
    <w:rsid w:val="00826766"/>
    <w:rsid w:val="008270AA"/>
    <w:rsid w:val="00831407"/>
    <w:rsid w:val="008326DB"/>
    <w:rsid w:val="0083492B"/>
    <w:rsid w:val="008360F7"/>
    <w:rsid w:val="00844B7A"/>
    <w:rsid w:val="00844E45"/>
    <w:rsid w:val="00851E49"/>
    <w:rsid w:val="008558D3"/>
    <w:rsid w:val="00857D49"/>
    <w:rsid w:val="00860494"/>
    <w:rsid w:val="00861B05"/>
    <w:rsid w:val="00862B38"/>
    <w:rsid w:val="008633AC"/>
    <w:rsid w:val="008714C1"/>
    <w:rsid w:val="00874C34"/>
    <w:rsid w:val="00877968"/>
    <w:rsid w:val="008858A8"/>
    <w:rsid w:val="00887F45"/>
    <w:rsid w:val="008A0AE1"/>
    <w:rsid w:val="008A170D"/>
    <w:rsid w:val="008A268E"/>
    <w:rsid w:val="008A6900"/>
    <w:rsid w:val="008B129E"/>
    <w:rsid w:val="008B2262"/>
    <w:rsid w:val="008B25F8"/>
    <w:rsid w:val="008B3539"/>
    <w:rsid w:val="008B6C2B"/>
    <w:rsid w:val="008B701E"/>
    <w:rsid w:val="008C1517"/>
    <w:rsid w:val="008D32D5"/>
    <w:rsid w:val="008D3573"/>
    <w:rsid w:val="008E1117"/>
    <w:rsid w:val="008E1A90"/>
    <w:rsid w:val="008F1AA4"/>
    <w:rsid w:val="008F30F3"/>
    <w:rsid w:val="008F345E"/>
    <w:rsid w:val="00900740"/>
    <w:rsid w:val="00900FC1"/>
    <w:rsid w:val="0090114E"/>
    <w:rsid w:val="00910DF8"/>
    <w:rsid w:val="00911258"/>
    <w:rsid w:val="009205EE"/>
    <w:rsid w:val="00926C28"/>
    <w:rsid w:val="009324FA"/>
    <w:rsid w:val="009343BD"/>
    <w:rsid w:val="009347CF"/>
    <w:rsid w:val="009412C4"/>
    <w:rsid w:val="00945265"/>
    <w:rsid w:val="00950E91"/>
    <w:rsid w:val="00951AA5"/>
    <w:rsid w:val="009535ED"/>
    <w:rsid w:val="00953609"/>
    <w:rsid w:val="0097085B"/>
    <w:rsid w:val="00971173"/>
    <w:rsid w:val="00974EC2"/>
    <w:rsid w:val="00977DC2"/>
    <w:rsid w:val="0099305E"/>
    <w:rsid w:val="009970E2"/>
    <w:rsid w:val="009971DC"/>
    <w:rsid w:val="009A01B5"/>
    <w:rsid w:val="009A024D"/>
    <w:rsid w:val="009A6C55"/>
    <w:rsid w:val="009B4405"/>
    <w:rsid w:val="009B56D7"/>
    <w:rsid w:val="009C3A34"/>
    <w:rsid w:val="009D1B03"/>
    <w:rsid w:val="009D6759"/>
    <w:rsid w:val="009D6D72"/>
    <w:rsid w:val="009E17C9"/>
    <w:rsid w:val="009E55BD"/>
    <w:rsid w:val="009E66CF"/>
    <w:rsid w:val="009F5A85"/>
    <w:rsid w:val="009F7004"/>
    <w:rsid w:val="00A11658"/>
    <w:rsid w:val="00A1240D"/>
    <w:rsid w:val="00A139D6"/>
    <w:rsid w:val="00A26824"/>
    <w:rsid w:val="00A31859"/>
    <w:rsid w:val="00A37EF9"/>
    <w:rsid w:val="00A41844"/>
    <w:rsid w:val="00A41993"/>
    <w:rsid w:val="00A45537"/>
    <w:rsid w:val="00A46238"/>
    <w:rsid w:val="00A46B87"/>
    <w:rsid w:val="00A46BD3"/>
    <w:rsid w:val="00A47175"/>
    <w:rsid w:val="00A54DAB"/>
    <w:rsid w:val="00A77BD5"/>
    <w:rsid w:val="00A83531"/>
    <w:rsid w:val="00A8365E"/>
    <w:rsid w:val="00A852BB"/>
    <w:rsid w:val="00A87A79"/>
    <w:rsid w:val="00A87C62"/>
    <w:rsid w:val="00A92396"/>
    <w:rsid w:val="00A93642"/>
    <w:rsid w:val="00AA1FFA"/>
    <w:rsid w:val="00AA3A37"/>
    <w:rsid w:val="00AC3E49"/>
    <w:rsid w:val="00AC79A9"/>
    <w:rsid w:val="00AE513E"/>
    <w:rsid w:val="00AE5181"/>
    <w:rsid w:val="00AE5FE1"/>
    <w:rsid w:val="00AF0F3C"/>
    <w:rsid w:val="00AF17B1"/>
    <w:rsid w:val="00AF7DF1"/>
    <w:rsid w:val="00B10DAB"/>
    <w:rsid w:val="00B16378"/>
    <w:rsid w:val="00B2137C"/>
    <w:rsid w:val="00B241A8"/>
    <w:rsid w:val="00B26EB3"/>
    <w:rsid w:val="00B33F53"/>
    <w:rsid w:val="00B34F68"/>
    <w:rsid w:val="00B4018B"/>
    <w:rsid w:val="00B45797"/>
    <w:rsid w:val="00B459B3"/>
    <w:rsid w:val="00B4782D"/>
    <w:rsid w:val="00B51406"/>
    <w:rsid w:val="00B5359C"/>
    <w:rsid w:val="00B54B4A"/>
    <w:rsid w:val="00B55DDB"/>
    <w:rsid w:val="00B62EFA"/>
    <w:rsid w:val="00B67472"/>
    <w:rsid w:val="00B71425"/>
    <w:rsid w:val="00B72CFE"/>
    <w:rsid w:val="00B7649E"/>
    <w:rsid w:val="00B802A6"/>
    <w:rsid w:val="00B815F8"/>
    <w:rsid w:val="00B81E9B"/>
    <w:rsid w:val="00B85B25"/>
    <w:rsid w:val="00BA0B5D"/>
    <w:rsid w:val="00BA379A"/>
    <w:rsid w:val="00BC0B39"/>
    <w:rsid w:val="00BC108E"/>
    <w:rsid w:val="00BC52BE"/>
    <w:rsid w:val="00BD28BD"/>
    <w:rsid w:val="00BD5751"/>
    <w:rsid w:val="00BD5B9E"/>
    <w:rsid w:val="00BE2D33"/>
    <w:rsid w:val="00BF383C"/>
    <w:rsid w:val="00BF548D"/>
    <w:rsid w:val="00BF5BE0"/>
    <w:rsid w:val="00C06C9E"/>
    <w:rsid w:val="00C0782C"/>
    <w:rsid w:val="00C11C5A"/>
    <w:rsid w:val="00C17189"/>
    <w:rsid w:val="00C2134F"/>
    <w:rsid w:val="00C361D2"/>
    <w:rsid w:val="00C434F0"/>
    <w:rsid w:val="00C43FB3"/>
    <w:rsid w:val="00C50A72"/>
    <w:rsid w:val="00C54AD6"/>
    <w:rsid w:val="00C554B6"/>
    <w:rsid w:val="00C5715B"/>
    <w:rsid w:val="00C57B5F"/>
    <w:rsid w:val="00C76280"/>
    <w:rsid w:val="00C840E7"/>
    <w:rsid w:val="00C87850"/>
    <w:rsid w:val="00C9100A"/>
    <w:rsid w:val="00C924D1"/>
    <w:rsid w:val="00C93D06"/>
    <w:rsid w:val="00CA20B0"/>
    <w:rsid w:val="00CA3427"/>
    <w:rsid w:val="00CC1984"/>
    <w:rsid w:val="00CC26FF"/>
    <w:rsid w:val="00CC6626"/>
    <w:rsid w:val="00CD162B"/>
    <w:rsid w:val="00CD345B"/>
    <w:rsid w:val="00CE1153"/>
    <w:rsid w:val="00CE16EE"/>
    <w:rsid w:val="00CE54D8"/>
    <w:rsid w:val="00CE7486"/>
    <w:rsid w:val="00CF2FE6"/>
    <w:rsid w:val="00CF60CD"/>
    <w:rsid w:val="00D00F5B"/>
    <w:rsid w:val="00D076CD"/>
    <w:rsid w:val="00D145C0"/>
    <w:rsid w:val="00D1510D"/>
    <w:rsid w:val="00D16AE8"/>
    <w:rsid w:val="00D2019B"/>
    <w:rsid w:val="00D24AE1"/>
    <w:rsid w:val="00D25F25"/>
    <w:rsid w:val="00D36C6D"/>
    <w:rsid w:val="00D44A4A"/>
    <w:rsid w:val="00D50870"/>
    <w:rsid w:val="00D5157A"/>
    <w:rsid w:val="00D56E4A"/>
    <w:rsid w:val="00D60BDE"/>
    <w:rsid w:val="00D60D6E"/>
    <w:rsid w:val="00D60DA4"/>
    <w:rsid w:val="00D7288F"/>
    <w:rsid w:val="00D73BB1"/>
    <w:rsid w:val="00D74E07"/>
    <w:rsid w:val="00D778D6"/>
    <w:rsid w:val="00D84FD0"/>
    <w:rsid w:val="00D85064"/>
    <w:rsid w:val="00D85A8A"/>
    <w:rsid w:val="00D86F2E"/>
    <w:rsid w:val="00D91478"/>
    <w:rsid w:val="00D93990"/>
    <w:rsid w:val="00D95C66"/>
    <w:rsid w:val="00D97459"/>
    <w:rsid w:val="00D97C86"/>
    <w:rsid w:val="00DA036F"/>
    <w:rsid w:val="00DA1A59"/>
    <w:rsid w:val="00DA58F0"/>
    <w:rsid w:val="00DB6542"/>
    <w:rsid w:val="00DC2214"/>
    <w:rsid w:val="00DC2703"/>
    <w:rsid w:val="00DC738B"/>
    <w:rsid w:val="00DD7201"/>
    <w:rsid w:val="00DE0815"/>
    <w:rsid w:val="00DE68EE"/>
    <w:rsid w:val="00DF633C"/>
    <w:rsid w:val="00DF7D86"/>
    <w:rsid w:val="00E05E49"/>
    <w:rsid w:val="00E0615E"/>
    <w:rsid w:val="00E06415"/>
    <w:rsid w:val="00E20220"/>
    <w:rsid w:val="00E271CF"/>
    <w:rsid w:val="00E305DD"/>
    <w:rsid w:val="00E32D34"/>
    <w:rsid w:val="00E34AB9"/>
    <w:rsid w:val="00E434BC"/>
    <w:rsid w:val="00E45D22"/>
    <w:rsid w:val="00E50D55"/>
    <w:rsid w:val="00E519DF"/>
    <w:rsid w:val="00E5593E"/>
    <w:rsid w:val="00E61999"/>
    <w:rsid w:val="00E63238"/>
    <w:rsid w:val="00E638A7"/>
    <w:rsid w:val="00E65FED"/>
    <w:rsid w:val="00E70179"/>
    <w:rsid w:val="00E84C3D"/>
    <w:rsid w:val="00E94262"/>
    <w:rsid w:val="00E9522A"/>
    <w:rsid w:val="00E97D41"/>
    <w:rsid w:val="00EA1BFC"/>
    <w:rsid w:val="00EA2439"/>
    <w:rsid w:val="00EA282F"/>
    <w:rsid w:val="00EA2E6E"/>
    <w:rsid w:val="00EB02B7"/>
    <w:rsid w:val="00EB7E14"/>
    <w:rsid w:val="00EC1B0D"/>
    <w:rsid w:val="00EC2402"/>
    <w:rsid w:val="00EC35AA"/>
    <w:rsid w:val="00EC6817"/>
    <w:rsid w:val="00EC7D5C"/>
    <w:rsid w:val="00ED405F"/>
    <w:rsid w:val="00ED5C81"/>
    <w:rsid w:val="00EF42E1"/>
    <w:rsid w:val="00EF4B3F"/>
    <w:rsid w:val="00EF5B1D"/>
    <w:rsid w:val="00F03879"/>
    <w:rsid w:val="00F0476A"/>
    <w:rsid w:val="00F10E6D"/>
    <w:rsid w:val="00F147F4"/>
    <w:rsid w:val="00F17F1C"/>
    <w:rsid w:val="00F248D5"/>
    <w:rsid w:val="00F25FE5"/>
    <w:rsid w:val="00F26EA6"/>
    <w:rsid w:val="00F308FA"/>
    <w:rsid w:val="00F32A21"/>
    <w:rsid w:val="00F345BA"/>
    <w:rsid w:val="00F36459"/>
    <w:rsid w:val="00F41AC8"/>
    <w:rsid w:val="00F43E0C"/>
    <w:rsid w:val="00F51CDB"/>
    <w:rsid w:val="00F52F26"/>
    <w:rsid w:val="00F53669"/>
    <w:rsid w:val="00F60C20"/>
    <w:rsid w:val="00F66656"/>
    <w:rsid w:val="00F67C65"/>
    <w:rsid w:val="00F75150"/>
    <w:rsid w:val="00F77115"/>
    <w:rsid w:val="00F77E91"/>
    <w:rsid w:val="00F804D2"/>
    <w:rsid w:val="00F82809"/>
    <w:rsid w:val="00F87D59"/>
    <w:rsid w:val="00F91378"/>
    <w:rsid w:val="00F91B1D"/>
    <w:rsid w:val="00F9450C"/>
    <w:rsid w:val="00FA207C"/>
    <w:rsid w:val="00FA6A94"/>
    <w:rsid w:val="00FB0F24"/>
    <w:rsid w:val="00FB3863"/>
    <w:rsid w:val="00FB46E9"/>
    <w:rsid w:val="00FB7E04"/>
    <w:rsid w:val="00FC1C6B"/>
    <w:rsid w:val="00FD6179"/>
    <w:rsid w:val="00FD7A2D"/>
    <w:rsid w:val="00FE0E23"/>
    <w:rsid w:val="00FE1B6F"/>
    <w:rsid w:val="00FE4ACA"/>
    <w:rsid w:val="00FE7780"/>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4C02EB-AEDA-4445-A3F3-968BC8921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BC151913-9AEB-4770-9FC5-0BEC63FF20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1113</Words>
  <Characters>6350</Characters>
  <Application>Microsoft Office Word</Application>
  <DocSecurity>4</DocSecurity>
  <Lines>52</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Carlos Y. Rosado Cruz</cp:lastModifiedBy>
  <cp:revision>2</cp:revision>
  <cp:lastPrinted>2025-02-26T14:29:00Z</cp:lastPrinted>
  <dcterms:created xsi:type="dcterms:W3CDTF">2025-09-09T14:04:00Z</dcterms:created>
  <dcterms:modified xsi:type="dcterms:W3CDTF">2025-09-09T14:04:00Z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