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665EBC20" w:rsidR="003E7820" w:rsidRPr="003C2711" w:rsidRDefault="0000723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5B641700" w:rsidR="003E7820" w:rsidRPr="003C2711" w:rsidRDefault="006D3ED1"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r>
      <w:r w:rsidR="00007237">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29D3531D"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r>
      <w:r w:rsidR="00007237">
        <w:rPr>
          <w:rFonts w:ascii="Book Antiqua" w:eastAsia="Times New Roman" w:hAnsi="Book Antiqua"/>
          <w:sz w:val="24"/>
          <w:szCs w:val="20"/>
          <w:lang w:val="es-ES_tradnl"/>
        </w:rPr>
        <w:t xml:space="preserve"> </w:t>
      </w:r>
      <w:r w:rsidRPr="003C2711">
        <w:rPr>
          <w:rFonts w:ascii="Book Antiqua" w:eastAsia="Times New Roman" w:hAnsi="Book Antiqua"/>
          <w:sz w:val="24"/>
          <w:szCs w:val="20"/>
          <w:lang w:val="es-ES_tradnl"/>
        </w:rPr>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46897CEC"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R. de la C.</w:t>
      </w:r>
      <w:r w:rsidR="000176BA">
        <w:rPr>
          <w:rFonts w:ascii="Book Antiqua" w:eastAsia="Times New Roman" w:hAnsi="Book Antiqua"/>
          <w:b/>
          <w:sz w:val="52"/>
          <w:szCs w:val="20"/>
          <w:lang w:val="es-ES_tradnl"/>
        </w:rPr>
        <w:t xml:space="preserve"> 51</w:t>
      </w:r>
      <w:r w:rsidRPr="003C2711">
        <w:rPr>
          <w:rFonts w:ascii="Book Antiqua" w:eastAsia="Times New Roman" w:hAnsi="Book Antiqua"/>
          <w:b/>
          <w:sz w:val="52"/>
          <w:szCs w:val="20"/>
          <w:lang w:val="es-ES_tradnl"/>
        </w:rPr>
        <w:t xml:space="preserve"> </w:t>
      </w:r>
      <w:r w:rsidRPr="003C2711">
        <w:rPr>
          <w:rFonts w:ascii="Book Antiqua" w:eastAsia="Times New Roman" w:hAnsi="Book Antiqua"/>
          <w:b/>
          <w:sz w:val="52"/>
          <w:szCs w:val="20"/>
          <w:lang w:val="es-ES_tradnl"/>
        </w:rPr>
        <w:br/>
      </w:r>
    </w:p>
    <w:p w14:paraId="3D22D064" w14:textId="5166C443" w:rsidR="003E7820" w:rsidRDefault="000176BA"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6D3ED1">
        <w:rPr>
          <w:rFonts w:ascii="Book Antiqua" w:eastAsia="Times New Roman" w:hAnsi="Book Antiqua"/>
          <w:sz w:val="24"/>
          <w:szCs w:val="20"/>
          <w:lang w:val="es-ES_tradnl"/>
        </w:rPr>
        <w:t>ENERO</w:t>
      </w:r>
      <w:r w:rsidR="003E782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6D3ED1">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1D065185" w:rsidR="003E7820" w:rsidRPr="00545A5E" w:rsidRDefault="003E7820" w:rsidP="00007237">
      <w:pPr>
        <w:pStyle w:val="BodyTextIndent2"/>
        <w:spacing w:after="0" w:line="240" w:lineRule="auto"/>
        <w:ind w:left="567" w:hanging="567"/>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w:t>
      </w:r>
      <w:bookmarkStart w:id="1" w:name="_Hlk181770674"/>
      <w:r>
        <w:rPr>
          <w:rFonts w:ascii="Book Antiqua" w:hAnsi="Book Antiqua"/>
          <w:sz w:val="24"/>
          <w:szCs w:val="24"/>
          <w:lang w:val="es-PR"/>
        </w:rPr>
        <w:t xml:space="preserve">la Comisión de </w:t>
      </w:r>
      <w:r w:rsidR="006D7F2B">
        <w:rPr>
          <w:rFonts w:ascii="Book Antiqua" w:hAnsi="Book Antiqua"/>
          <w:sz w:val="24"/>
          <w:szCs w:val="24"/>
          <w:lang w:val="es-PR"/>
        </w:rPr>
        <w:t>Educación</w:t>
      </w:r>
      <w:r>
        <w:rPr>
          <w:rFonts w:ascii="Book Antiqua" w:hAnsi="Book Antiqua"/>
          <w:sz w:val="24"/>
          <w:szCs w:val="24"/>
          <w:lang w:val="es-PR"/>
        </w:rPr>
        <w:t xml:space="preserve">, investigar la </w:t>
      </w:r>
      <w:r w:rsidR="00441D4D">
        <w:rPr>
          <w:rFonts w:ascii="Book Antiqua" w:hAnsi="Book Antiqua"/>
          <w:sz w:val="24"/>
          <w:szCs w:val="24"/>
          <w:lang w:val="es-PR"/>
        </w:rPr>
        <w:t xml:space="preserve">operación, implementación y retos </w:t>
      </w:r>
      <w:r w:rsidR="00441D4D" w:rsidRPr="00007237">
        <w:rPr>
          <w:rFonts w:ascii="Book Antiqua" w:hAnsi="Book Antiqua"/>
          <w:sz w:val="24"/>
          <w:szCs w:val="24"/>
          <w:lang w:val="es-PR"/>
        </w:rPr>
        <w:t>del programa de Educaci</w:t>
      </w:r>
      <w:r w:rsidR="00C750A6" w:rsidRPr="00007237">
        <w:rPr>
          <w:rFonts w:ascii="Book Antiqua" w:hAnsi="Book Antiqua" w:cs="Calibri"/>
          <w:sz w:val="24"/>
          <w:szCs w:val="24"/>
          <w:lang w:val="es-PR"/>
        </w:rPr>
        <w:t>ó</w:t>
      </w:r>
      <w:r w:rsidR="00441D4D" w:rsidRPr="00007237">
        <w:rPr>
          <w:rFonts w:ascii="Book Antiqua" w:hAnsi="Book Antiqua"/>
          <w:sz w:val="24"/>
          <w:szCs w:val="24"/>
          <w:lang w:val="es-PR"/>
        </w:rPr>
        <w:t>n Especial, específicamente los Servicios Compensatorios a estudiantes</w:t>
      </w:r>
      <w:bookmarkEnd w:id="1"/>
      <w:r w:rsidR="00441D4D" w:rsidRPr="00007237">
        <w:rPr>
          <w:rFonts w:ascii="Book Antiqua" w:hAnsi="Book Antiqua"/>
          <w:sz w:val="24"/>
          <w:szCs w:val="24"/>
          <w:lang w:val="es-PR"/>
        </w:rPr>
        <w:t>; y</w:t>
      </w:r>
      <w:r w:rsidRPr="00007237">
        <w:rPr>
          <w:rFonts w:ascii="Book Antiqua" w:hAnsi="Book Antiqua"/>
          <w:sz w:val="24"/>
          <w:szCs w:val="24"/>
          <w:lang w:val="es-PR"/>
        </w:rPr>
        <w:t xml:space="preserve"> para otros fines relacionados.</w:t>
      </w:r>
      <w:r w:rsidRPr="00545A5E">
        <w:rPr>
          <w:rFonts w:ascii="Book Antiqua" w:hAnsi="Book Antiqua"/>
          <w:sz w:val="24"/>
          <w:szCs w:val="24"/>
          <w:lang w:val="es-PR"/>
        </w:rPr>
        <w:t xml:space="preserve"> </w:t>
      </w:r>
    </w:p>
    <w:bookmarkEnd w:id="0"/>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3937A14E" w14:textId="01A926D6" w:rsidR="003E7820" w:rsidRDefault="003E7820" w:rsidP="00007237">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53A81D05" w14:textId="77777777" w:rsidR="00007237" w:rsidRPr="00007237" w:rsidRDefault="00007237" w:rsidP="00007237">
      <w:pPr>
        <w:spacing w:after="0" w:line="240" w:lineRule="auto"/>
        <w:jc w:val="center"/>
        <w:rPr>
          <w:rFonts w:ascii="Book Antiqua" w:eastAsia="Times New Roman" w:hAnsi="Book Antiqua"/>
          <w:sz w:val="24"/>
          <w:szCs w:val="20"/>
          <w:lang w:val="es-PR"/>
        </w:rPr>
      </w:pPr>
    </w:p>
    <w:p w14:paraId="76DEEF18" w14:textId="77777777" w:rsid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La educación especial representa un derecho fundamental para los estudiantes con necesidades diversas, garantizando su desarrollo integral en igualdad de condiciones. El Departamento de Educación de Puerto Rico, a través de su Secretaría Asociada de Educación Especial, tiene la responsabilidad de proveer los servicios necesarios para que estos estudiantes puedan acceder a una educación de calidad adaptada a sus necesidades. Sin embargo, en las últimas décadas, diversas situaciones y casos legales han evidenciado incumplimientos en la prestación de estos servicios, lo que ha afectado significativamente a esta población vulnerable.</w:t>
      </w:r>
    </w:p>
    <w:p w14:paraId="660B97FB"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618767C3" w14:textId="77777777" w:rsid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 xml:space="preserve">Un componente esencial de la educación especial en Puerto Rico es el programa de Servicios Compensatorios. Este programa se activa cuando un estudiante, con un Programa Educativo Individualizado (PEI) o un Plan de Servicios (PS) vigente, no recibe los servicios necesarios por falta de recursos o por interrupciones en su disponibilidad. El Manual de Procedimientos de Educación Especial, actualizado en julio de 2020, establece las guías y requisitos para que los padres y funcionarios del Departamento puedan solicitar servicios compensatorios. Este manual especifica el procedimiento para documentar y solicitar estos servicios, la evidencia necesaria, y los pasos para asegurar que el estudiante reciba la compensación correspondiente durante el Año Escolar </w:t>
      </w:r>
      <w:r w:rsidRPr="00441D4D">
        <w:rPr>
          <w:rFonts w:ascii="Book Antiqua" w:hAnsi="Book Antiqua"/>
          <w:lang w:val="es-PR"/>
        </w:rPr>
        <w:lastRenderedPageBreak/>
        <w:t>Extendido (AEE). A pesar de estos lineamientos, se han identificado retos importantes en la implementación del programa, los cuales requieren una evaluación detallada.</w:t>
      </w:r>
    </w:p>
    <w:p w14:paraId="7C9FA09B"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6B539C70" w14:textId="3D5AD842" w:rsidR="005D2CF3"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 xml:space="preserve">La necesidad de estos servicios </w:t>
      </w:r>
      <w:r>
        <w:rPr>
          <w:rFonts w:ascii="Book Antiqua" w:hAnsi="Book Antiqua"/>
          <w:lang w:val="es-PR"/>
        </w:rPr>
        <w:t>surge</w:t>
      </w:r>
      <w:r w:rsidRPr="00441D4D">
        <w:rPr>
          <w:rFonts w:ascii="Book Antiqua" w:hAnsi="Book Antiqua"/>
          <w:lang w:val="es-PR"/>
        </w:rPr>
        <w:t xml:space="preserve"> </w:t>
      </w:r>
      <w:r>
        <w:rPr>
          <w:rFonts w:ascii="Book Antiqua" w:hAnsi="Book Antiqua"/>
          <w:lang w:val="es-PR"/>
        </w:rPr>
        <w:t>d</w:t>
      </w:r>
      <w:r w:rsidRPr="00441D4D">
        <w:rPr>
          <w:rFonts w:ascii="Book Antiqua" w:hAnsi="Book Antiqua"/>
          <w:lang w:val="es-PR"/>
        </w:rPr>
        <w:t xml:space="preserve">el caso </w:t>
      </w:r>
      <w:r w:rsidRPr="00441D4D">
        <w:rPr>
          <w:rStyle w:val="Emphasis"/>
          <w:rFonts w:ascii="Book Antiqua" w:eastAsiaTheme="majorEastAsia" w:hAnsi="Book Antiqua"/>
          <w:lang w:val="es-PR"/>
        </w:rPr>
        <w:t>Rosa Lydia Vélez v. Departamento de Educación de Puerto Rico</w:t>
      </w:r>
      <w:r w:rsidRPr="00441D4D">
        <w:rPr>
          <w:rFonts w:ascii="Book Antiqua" w:hAnsi="Book Antiqua"/>
          <w:lang w:val="es-PR"/>
        </w:rPr>
        <w:t xml:space="preserve">, iniciado en 1980. Rosa Lydia Vélez, madre de Isamar Malaret Vélez, una niña con condiciones de salud que requerían educación especial, demandó al Departamento de Educación por la falta de servicios para su hija. Este caso histórico se convirtió en un pleito de clase, logrando que el Tribunal emitiera varias órdenes para asegurar el acceso a servicios educativos y relacionados para miles de niños con impedimentos. Entre las órdenes dictadas se incluyeron disposiciones para que el Departamento evaluara a estos estudiantes en un plazo determinado, proveer los servicios necesarios y llevar a cabo un programa de orientación para padres y maestros sobre los derechos de los estudiantes a recibir servicios de educación especial. </w:t>
      </w:r>
    </w:p>
    <w:p w14:paraId="01732078"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7F678FE7" w14:textId="43D7CDF3" w:rsidR="005D2CF3" w:rsidRDefault="005D2CF3" w:rsidP="00007237">
      <w:pPr>
        <w:pStyle w:val="NormalWeb"/>
        <w:spacing w:before="0" w:beforeAutospacing="0" w:after="0" w:afterAutospacing="0"/>
        <w:ind w:firstLine="567"/>
        <w:jc w:val="both"/>
        <w:rPr>
          <w:rFonts w:ascii="Book Antiqua" w:hAnsi="Book Antiqua"/>
          <w:lang w:val="es-PR"/>
        </w:rPr>
      </w:pPr>
      <w:r w:rsidRPr="005D2CF3">
        <w:rPr>
          <w:rFonts w:ascii="Book Antiqua" w:hAnsi="Book Antiqua"/>
          <w:lang w:val="es-PR"/>
        </w:rPr>
        <w:t>Los servicios compensatorios están dirigidos, en su mayoría, a estudiantes que ya se graduaron del Departamento de Educación y que, durante sus años educativos — desde primer hasta cuarto año de escuela superior — no recibieron los servicios de educación especial adecuados. Muchos de estos estudiantes superan los 18 años y, en caso de que no se les provean los servicios compensatorios correspondientes, podrían considerar acciones legales contra el Estado, incluyendo demandas por daños. Este programa representa un costo millonario para el Departamento de Educación, que debe enfrentar el impacto financiero de compensar por servicios no ofrecidos en el pasado. Además, el programa plantea un reto significativo para los proveedores de servicios, quienes generalmente cuentan con la formación y experiencia necesarias para atender a niños y adolescentes, pero no a adultos, lo que dificulta aún más la oferta adecuada y eficiente de estos servicios compensatorios.</w:t>
      </w:r>
    </w:p>
    <w:p w14:paraId="171ABECB" w14:textId="77777777" w:rsidR="00007237" w:rsidRDefault="00007237" w:rsidP="00007237">
      <w:pPr>
        <w:pStyle w:val="NormalWeb"/>
        <w:spacing w:before="0" w:beforeAutospacing="0" w:after="0" w:afterAutospacing="0"/>
        <w:ind w:firstLine="567"/>
        <w:jc w:val="both"/>
        <w:rPr>
          <w:rFonts w:ascii="Book Antiqua" w:hAnsi="Book Antiqua"/>
          <w:lang w:val="es-PR"/>
        </w:rPr>
      </w:pPr>
    </w:p>
    <w:p w14:paraId="1CA7002D" w14:textId="472C0924" w:rsid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A la luz de esta situación, resulta imperativo que la Cámara de Representantes de Puerto Rico lleve a cabo una investigación exhaustiva sobre el estado y la efectividad del programa de Servicios Compensatorios dentro del sistema de Educación Especial. Es fundamental examinar la implementación de los procedimientos establecidos en el manual de educación especial y evaluar los retos que enfrentan tanto los estudiantes como el Departamento de Educación para garantizar una prestación adecuada de estos servicios. Este análisis también debe considerar el impacto de decisiones judiciales previas y actuales, así como la posibilidad de mejoras en los procesos administrativos para asegurar que todos los estudiantes con necesidades especiales reciban una educación adecuada y oportuna.</w:t>
      </w:r>
    </w:p>
    <w:p w14:paraId="10B829E2"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4DBE88E7" w14:textId="77777777" w:rsidR="00441D4D" w:rsidRP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Por todo lo anterior, la Cámara de Representantes de Puerto Rico entiende que es necesario realizar esta investigación con el propósito de obtener información precisa, identificar áreas de mejora y recomendar acciones concretas que aseguren una prestación de servicios compensatorios efectiva y eficiente para los estudiantes que más lo necesitan.</w:t>
      </w:r>
    </w:p>
    <w:p w14:paraId="42C77E68" w14:textId="77777777" w:rsidR="003E7820" w:rsidRPr="00007237" w:rsidRDefault="003E7820" w:rsidP="00007237">
      <w:pPr>
        <w:spacing w:after="0" w:line="240" w:lineRule="auto"/>
        <w:ind w:firstLine="567"/>
        <w:jc w:val="both"/>
        <w:rPr>
          <w:rFonts w:ascii="Book Antiqua" w:eastAsia="Times New Roman" w:hAnsi="Book Antiqua"/>
          <w:i/>
          <w:iCs/>
          <w:sz w:val="24"/>
          <w:szCs w:val="24"/>
          <w:lang w:val="es-ES"/>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lastRenderedPageBreak/>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headerReference w:type="first" r:id="rId8"/>
          <w:pgSz w:w="12240" w:h="15840" w:code="1"/>
          <w:pgMar w:top="1440" w:right="1440" w:bottom="1440" w:left="1440" w:header="720" w:footer="720" w:gutter="0"/>
          <w:cols w:space="720"/>
          <w:titlePg/>
          <w:docGrid w:linePitch="360"/>
        </w:sectPr>
      </w:pPr>
    </w:p>
    <w:p w14:paraId="5F4E1BD5" w14:textId="05FA5C93" w:rsidR="003E7820" w:rsidRPr="00CB5567" w:rsidRDefault="003E7820" w:rsidP="00007237">
      <w:pPr>
        <w:widowControl w:val="0"/>
        <w:spacing w:after="0" w:line="480" w:lineRule="auto"/>
        <w:ind w:firstLine="567"/>
        <w:jc w:val="both"/>
        <w:rPr>
          <w:rFonts w:ascii="Book Antiqua" w:eastAsia="MS Mincho" w:hAnsi="Book Antiqua"/>
          <w:i/>
          <w:iCs/>
          <w:sz w:val="24"/>
          <w:szCs w:val="24"/>
          <w:u w:val="single"/>
          <w:lang w:val="es-PR"/>
        </w:rPr>
      </w:pPr>
      <w:r w:rsidRPr="003C2711">
        <w:rPr>
          <w:rFonts w:ascii="Book Antiqua" w:eastAsia="MS Mincho" w:hAnsi="Book Antiqua"/>
          <w:sz w:val="24"/>
          <w:szCs w:val="24"/>
          <w:lang w:val="es-PR"/>
        </w:rPr>
        <w:t>Sección 1.-Se ordena a la</w:t>
      </w:r>
      <w:r w:rsidR="00441D4D" w:rsidRPr="00441D4D">
        <w:rPr>
          <w:rFonts w:ascii="Book Antiqua" w:eastAsia="MS Mincho" w:hAnsi="Book Antiqua"/>
          <w:sz w:val="24"/>
          <w:szCs w:val="24"/>
          <w:lang w:val="es-PR"/>
        </w:rPr>
        <w:t xml:space="preserve"> Comisión de Educación, investigar la operación, implementación y retos del programa de </w:t>
      </w:r>
      <w:proofErr w:type="spellStart"/>
      <w:r w:rsidR="00441D4D" w:rsidRPr="00DD7CE2">
        <w:rPr>
          <w:rFonts w:ascii="Book Antiqua" w:eastAsia="MS Mincho" w:hAnsi="Book Antiqua"/>
          <w:strike/>
          <w:sz w:val="24"/>
          <w:szCs w:val="24"/>
          <w:lang w:val="es-PR"/>
        </w:rPr>
        <w:t>Educacion</w:t>
      </w:r>
      <w:proofErr w:type="spellEnd"/>
      <w:r w:rsidR="00441D4D" w:rsidRPr="00441D4D">
        <w:rPr>
          <w:rFonts w:ascii="Book Antiqua" w:eastAsia="MS Mincho" w:hAnsi="Book Antiqua"/>
          <w:sz w:val="24"/>
          <w:szCs w:val="24"/>
          <w:lang w:val="es-PR"/>
        </w:rPr>
        <w:t xml:space="preserve"> </w:t>
      </w:r>
      <w:r w:rsidR="00DD7CE2">
        <w:rPr>
          <w:rFonts w:ascii="Book Antiqua" w:eastAsia="MS Mincho" w:hAnsi="Book Antiqua"/>
          <w:i/>
          <w:iCs/>
          <w:sz w:val="24"/>
          <w:szCs w:val="24"/>
          <w:u w:val="single"/>
          <w:lang w:val="es-PR"/>
        </w:rPr>
        <w:t>Educación</w:t>
      </w:r>
      <w:r w:rsidR="00DD7CE2">
        <w:rPr>
          <w:rFonts w:ascii="Book Antiqua" w:eastAsia="MS Mincho" w:hAnsi="Book Antiqua"/>
          <w:sz w:val="24"/>
          <w:szCs w:val="24"/>
          <w:lang w:val="es-PR"/>
        </w:rPr>
        <w:t xml:space="preserve"> </w:t>
      </w:r>
      <w:r w:rsidR="00441D4D" w:rsidRPr="00441D4D">
        <w:rPr>
          <w:rFonts w:ascii="Book Antiqua" w:eastAsia="MS Mincho" w:hAnsi="Book Antiqua"/>
          <w:sz w:val="24"/>
          <w:szCs w:val="24"/>
          <w:lang w:val="es-PR"/>
        </w:rPr>
        <w:t>Especial, específicamente los Servicios Compensatorios a estudiantes</w:t>
      </w:r>
      <w:r w:rsidR="00CB5567">
        <w:rPr>
          <w:rFonts w:ascii="Book Antiqua" w:eastAsia="MS Mincho" w:hAnsi="Book Antiqua"/>
          <w:i/>
          <w:iCs/>
          <w:sz w:val="24"/>
          <w:szCs w:val="24"/>
          <w:u w:val="single"/>
          <w:lang w:val="es-PR"/>
        </w:rPr>
        <w:t>.</w:t>
      </w:r>
    </w:p>
    <w:p w14:paraId="528EA9F2" w14:textId="0F6EFFD3" w:rsidR="003E7820" w:rsidRPr="00FF541B" w:rsidRDefault="003E7820" w:rsidP="00007237">
      <w:pPr>
        <w:widowControl w:val="0"/>
        <w:spacing w:after="0" w:line="480" w:lineRule="auto"/>
        <w:ind w:firstLine="567"/>
        <w:jc w:val="both"/>
        <w:rPr>
          <w:rFonts w:ascii="Book Antiqua" w:eastAsia="MS Mincho" w:hAnsi="Book Antiqua"/>
          <w:i/>
          <w:iCs/>
          <w:sz w:val="24"/>
          <w:szCs w:val="24"/>
          <w:u w:val="single"/>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 xml:space="preserve">Comisión de </w:t>
      </w:r>
      <w:r w:rsidR="006D7F2B" w:rsidRPr="00CD19AE">
        <w:rPr>
          <w:rFonts w:ascii="Book Antiqua" w:eastAsia="MS Mincho" w:hAnsi="Book Antiqua"/>
          <w:sz w:val="24"/>
          <w:szCs w:val="24"/>
          <w:lang w:val="es-PR"/>
        </w:rPr>
        <w:t>Educación</w:t>
      </w:r>
      <w:r w:rsidRPr="003C2711">
        <w:rPr>
          <w:rFonts w:ascii="Book Antiqua" w:eastAsia="MS Mincho" w:hAnsi="Book Antiqua"/>
          <w:sz w:val="24"/>
          <w:szCs w:val="24"/>
          <w:lang w:val="es-PR"/>
        </w:rPr>
        <w:t>, someterá a la Cámara de Representantes un informe final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w:t>
      </w:r>
      <w:r w:rsidRPr="00193D93">
        <w:rPr>
          <w:rFonts w:ascii="Book Antiqua" w:eastAsia="MS Mincho" w:hAnsi="Book Antiqua"/>
          <w:strike/>
          <w:sz w:val="24"/>
          <w:szCs w:val="24"/>
          <w:lang w:val="es-PR"/>
        </w:rPr>
        <w:t>este estudio</w:t>
      </w:r>
      <w:r w:rsidR="00193D93">
        <w:rPr>
          <w:rFonts w:ascii="Book Antiqua" w:eastAsia="MS Mincho" w:hAnsi="Book Antiqua"/>
          <w:sz w:val="24"/>
          <w:szCs w:val="24"/>
          <w:lang w:val="es-PR"/>
        </w:rPr>
        <w:t xml:space="preserve"> </w:t>
      </w:r>
      <w:r w:rsidR="00193D93">
        <w:rPr>
          <w:rFonts w:ascii="Book Antiqua" w:eastAsia="MS Mincho" w:hAnsi="Book Antiqua"/>
          <w:i/>
          <w:iCs/>
          <w:sz w:val="24"/>
          <w:szCs w:val="24"/>
          <w:u w:val="single"/>
          <w:lang w:val="es-PR"/>
        </w:rPr>
        <w:t>esta investigación</w:t>
      </w:r>
      <w:r w:rsidRPr="003C2711">
        <w:rPr>
          <w:rFonts w:ascii="Book Antiqua" w:eastAsia="MS Mincho" w:hAnsi="Book Antiqua"/>
          <w:sz w:val="24"/>
          <w:szCs w:val="24"/>
          <w:lang w:val="es-PR"/>
        </w:rPr>
        <w:t xml:space="preserve">, </w:t>
      </w:r>
      <w:r w:rsidRPr="00FF541B">
        <w:rPr>
          <w:rFonts w:ascii="Book Antiqua" w:eastAsia="MS Mincho" w:hAnsi="Book Antiqua"/>
          <w:strike/>
          <w:sz w:val="24"/>
          <w:szCs w:val="24"/>
          <w:lang w:val="es-PR"/>
        </w:rPr>
        <w:t>dentro del término de ciento veinte (120) días contados a partir de la aprobación de la presente medida.</w:t>
      </w:r>
      <w:r w:rsidRPr="003C2711">
        <w:rPr>
          <w:rFonts w:ascii="Book Antiqua" w:eastAsia="MS Mincho" w:hAnsi="Book Antiqua"/>
          <w:sz w:val="24"/>
          <w:szCs w:val="24"/>
          <w:lang w:val="es-PR"/>
        </w:rPr>
        <w:t xml:space="preserve"> </w:t>
      </w:r>
      <w:r w:rsidR="001839D3">
        <w:rPr>
          <w:rFonts w:ascii="Book Antiqua" w:eastAsia="MS Mincho" w:hAnsi="Book Antiqua"/>
          <w:i/>
          <w:iCs/>
          <w:sz w:val="24"/>
          <w:szCs w:val="24"/>
          <w:u w:val="single"/>
          <w:lang w:val="es-PR"/>
        </w:rPr>
        <w:t>antes</w:t>
      </w:r>
      <w:r w:rsidR="00FF541B">
        <w:rPr>
          <w:rFonts w:ascii="Book Antiqua" w:eastAsia="MS Mincho" w:hAnsi="Book Antiqua"/>
          <w:i/>
          <w:iCs/>
          <w:sz w:val="24"/>
          <w:szCs w:val="24"/>
          <w:u w:val="single"/>
          <w:lang w:val="es-PR"/>
        </w:rPr>
        <w:t xml:space="preserve"> de que finalice el término de la</w:t>
      </w:r>
      <w:r w:rsidR="001839D3">
        <w:rPr>
          <w:rFonts w:ascii="Book Antiqua" w:eastAsia="MS Mincho" w:hAnsi="Book Antiqua"/>
          <w:i/>
          <w:iCs/>
          <w:sz w:val="24"/>
          <w:szCs w:val="24"/>
          <w:u w:val="single"/>
          <w:lang w:val="es-PR"/>
        </w:rPr>
        <w:t xml:space="preserve"> Vigésima Asamblea Legislativa.</w:t>
      </w:r>
    </w:p>
    <w:p w14:paraId="714746C8" w14:textId="3615D1A8" w:rsidR="00D056D7" w:rsidRPr="006D7F2B" w:rsidRDefault="003E7820" w:rsidP="00007237">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4D538" w14:textId="77777777" w:rsidR="008322DF" w:rsidRDefault="008322DF">
      <w:pPr>
        <w:spacing w:after="0" w:line="240" w:lineRule="auto"/>
      </w:pPr>
      <w:r>
        <w:separator/>
      </w:r>
    </w:p>
  </w:endnote>
  <w:endnote w:type="continuationSeparator" w:id="0">
    <w:p w14:paraId="48908C17" w14:textId="77777777" w:rsidR="008322DF" w:rsidRDefault="00832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60500" w14:textId="77777777" w:rsidR="008322DF" w:rsidRDefault="008322DF">
      <w:pPr>
        <w:spacing w:after="0" w:line="240" w:lineRule="auto"/>
      </w:pPr>
      <w:r>
        <w:separator/>
      </w:r>
    </w:p>
  </w:footnote>
  <w:footnote w:type="continuationSeparator" w:id="0">
    <w:p w14:paraId="08A5F663" w14:textId="77777777" w:rsidR="008322DF" w:rsidRDefault="00832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0A331" w14:textId="6D8EA6A2" w:rsidR="009317DC" w:rsidRPr="009317DC" w:rsidRDefault="009317DC" w:rsidP="009317DC">
    <w:pPr>
      <w:pStyle w:val="Header"/>
      <w:jc w:val="center"/>
      <w:rPr>
        <w:rFonts w:ascii="Book Antiqua" w:hAnsi="Book Antiqua"/>
        <w:sz w:val="24"/>
        <w:szCs w:val="24"/>
      </w:rPr>
    </w:pPr>
    <w:r>
      <w:rPr>
        <w:rFonts w:ascii="Book Antiqua" w:hAnsi="Book Antiqua"/>
        <w:sz w:val="24"/>
        <w:szCs w:val="24"/>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07237"/>
    <w:rsid w:val="000176BA"/>
    <w:rsid w:val="00140BBA"/>
    <w:rsid w:val="001839D3"/>
    <w:rsid w:val="00193D93"/>
    <w:rsid w:val="00197B8C"/>
    <w:rsid w:val="003850C8"/>
    <w:rsid w:val="003C65C8"/>
    <w:rsid w:val="003E7820"/>
    <w:rsid w:val="00420E28"/>
    <w:rsid w:val="00441D4D"/>
    <w:rsid w:val="00521E8B"/>
    <w:rsid w:val="005253C3"/>
    <w:rsid w:val="00592027"/>
    <w:rsid w:val="005D2CF3"/>
    <w:rsid w:val="00654548"/>
    <w:rsid w:val="006D3ED1"/>
    <w:rsid w:val="006D7F2B"/>
    <w:rsid w:val="00721FBC"/>
    <w:rsid w:val="0075798F"/>
    <w:rsid w:val="008322DF"/>
    <w:rsid w:val="009317DC"/>
    <w:rsid w:val="00A6433F"/>
    <w:rsid w:val="00AF2422"/>
    <w:rsid w:val="00BE1412"/>
    <w:rsid w:val="00C1045A"/>
    <w:rsid w:val="00C12FCF"/>
    <w:rsid w:val="00C65B08"/>
    <w:rsid w:val="00C750A6"/>
    <w:rsid w:val="00C912E5"/>
    <w:rsid w:val="00CB5567"/>
    <w:rsid w:val="00CC5BA7"/>
    <w:rsid w:val="00CD6646"/>
    <w:rsid w:val="00D056D7"/>
    <w:rsid w:val="00DD7CE2"/>
    <w:rsid w:val="00EC61EE"/>
    <w:rsid w:val="00EF303D"/>
    <w:rsid w:val="00FF5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NormalWeb">
    <w:name w:val="Normal (Web)"/>
    <w:basedOn w:val="Normal"/>
    <w:uiPriority w:val="99"/>
    <w:semiHidden/>
    <w:unhideWhenUsed/>
    <w:rsid w:val="00441D4D"/>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441D4D"/>
    <w:rPr>
      <w:i/>
      <w:iCs/>
    </w:rPr>
  </w:style>
  <w:style w:type="paragraph" w:styleId="Footer">
    <w:name w:val="footer"/>
    <w:basedOn w:val="Normal"/>
    <w:link w:val="FooterChar"/>
    <w:uiPriority w:val="99"/>
    <w:unhideWhenUsed/>
    <w:rsid w:val="009317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17DC"/>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58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845</Words>
  <Characters>5002</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Camyl Moreno Pantojas</cp:lastModifiedBy>
  <cp:revision>2</cp:revision>
  <dcterms:created xsi:type="dcterms:W3CDTF">2025-03-10T17:27:00Z</dcterms:created>
  <dcterms:modified xsi:type="dcterms:W3CDTF">2025-03-10T17:27:00Z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