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2D693" w14:textId="665EBC20" w:rsidR="003E7820" w:rsidRPr="003C2711" w:rsidRDefault="00007237" w:rsidP="003E7820">
      <w:pPr>
        <w:spacing w:after="0" w:line="240" w:lineRule="auto"/>
        <w:jc w:val="center"/>
        <w:rPr>
          <w:rFonts w:ascii="Book Antiqua" w:eastAsia="Times New Roman" w:hAnsi="Book Antiqua"/>
          <w:sz w:val="28"/>
          <w:szCs w:val="20"/>
          <w:lang w:val="es-ES_tradnl"/>
        </w:rPr>
      </w:pPr>
      <w:r>
        <w:rPr>
          <w:rFonts w:ascii="Book Antiqua" w:eastAsia="Times New Roman" w:hAnsi="Book Antiqua"/>
          <w:sz w:val="28"/>
          <w:szCs w:val="20"/>
          <w:lang w:val="es-ES_tradnl"/>
        </w:rPr>
        <w:t>GOBIERNO DE PUERTO RICO</w:t>
      </w:r>
    </w:p>
    <w:p w14:paraId="08BEACE2" w14:textId="77777777" w:rsidR="003E7820" w:rsidRPr="00E967F4" w:rsidRDefault="003E7820" w:rsidP="003E7820">
      <w:pPr>
        <w:spacing w:after="0" w:line="240" w:lineRule="auto"/>
        <w:jc w:val="center"/>
        <w:rPr>
          <w:rFonts w:ascii="Book Antiqua" w:eastAsia="Times New Roman" w:hAnsi="Book Antiqua"/>
          <w:sz w:val="24"/>
          <w:szCs w:val="20"/>
          <w:lang w:val="es-ES_tradnl"/>
        </w:rPr>
      </w:pPr>
    </w:p>
    <w:p w14:paraId="15FB07A9" w14:textId="5B641700" w:rsidR="003E7820" w:rsidRPr="003C2711" w:rsidRDefault="006D3ED1" w:rsidP="003E7820">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20m</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r>
      <w:r w:rsidR="00007237">
        <w:rPr>
          <w:rFonts w:ascii="Book Antiqua" w:eastAsia="Times New Roman" w:hAnsi="Book Antiqua"/>
          <w:sz w:val="24"/>
          <w:szCs w:val="20"/>
          <w:lang w:val="es-ES_tradnl"/>
        </w:rPr>
        <w:t xml:space="preserve"> </w:t>
      </w:r>
      <w:r w:rsidR="003E7820" w:rsidRPr="003C2711">
        <w:rPr>
          <w:rFonts w:ascii="Book Antiqua" w:eastAsia="Times New Roman" w:hAnsi="Book Antiqua"/>
          <w:sz w:val="24"/>
          <w:szCs w:val="20"/>
          <w:lang w:val="es-ES_tradnl"/>
        </w:rPr>
        <w:t>Asamblea</w:t>
      </w:r>
      <w:r w:rsidR="003E7820" w:rsidRPr="003C2711">
        <w:rPr>
          <w:rFonts w:ascii="Book Antiqua" w:eastAsia="Times New Roman" w:hAnsi="Book Antiqua"/>
          <w:sz w:val="24"/>
          <w:szCs w:val="20"/>
          <w:lang w:val="es-ES_tradnl"/>
        </w:rPr>
        <w:tab/>
      </w:r>
      <w:r>
        <w:rPr>
          <w:rFonts w:ascii="Book Antiqua" w:eastAsia="Times New Roman" w:hAnsi="Book Antiqua"/>
          <w:sz w:val="24"/>
          <w:szCs w:val="20"/>
          <w:lang w:val="es-ES_tradnl"/>
        </w:rPr>
        <w:t>1r</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Sesión</w:t>
      </w:r>
    </w:p>
    <w:p w14:paraId="5A61A2A7" w14:textId="29D3531D" w:rsidR="003E7820" w:rsidRPr="003C2711" w:rsidRDefault="003E7820" w:rsidP="003E7820">
      <w:pPr>
        <w:tabs>
          <w:tab w:val="left" w:pos="648"/>
          <w:tab w:val="right" w:pos="7776"/>
          <w:tab w:val="left" w:pos="7848"/>
        </w:tabs>
        <w:spacing w:after="0" w:line="240" w:lineRule="auto"/>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ab/>
      </w:r>
      <w:r w:rsidR="00007237">
        <w:rPr>
          <w:rFonts w:ascii="Book Antiqua" w:eastAsia="Times New Roman" w:hAnsi="Book Antiqua"/>
          <w:sz w:val="24"/>
          <w:szCs w:val="20"/>
          <w:lang w:val="es-ES_tradnl"/>
        </w:rPr>
        <w:t xml:space="preserve"> </w:t>
      </w:r>
      <w:r w:rsidRPr="003C2711">
        <w:rPr>
          <w:rFonts w:ascii="Book Antiqua" w:eastAsia="Times New Roman" w:hAnsi="Book Antiqua"/>
          <w:sz w:val="24"/>
          <w:szCs w:val="20"/>
          <w:lang w:val="es-ES_tradnl"/>
        </w:rPr>
        <w:t>Legislativa</w:t>
      </w:r>
      <w:r w:rsidRPr="003C2711">
        <w:rPr>
          <w:rFonts w:ascii="Book Antiqua" w:eastAsia="Times New Roman" w:hAnsi="Book Antiqua"/>
          <w:sz w:val="24"/>
          <w:szCs w:val="20"/>
          <w:lang w:val="es-ES_tradnl"/>
        </w:rPr>
        <w:tab/>
      </w:r>
      <w:r w:rsidRPr="003C2711">
        <w:rPr>
          <w:rFonts w:ascii="Book Antiqua" w:eastAsia="Times New Roman" w:hAnsi="Book Antiqua"/>
          <w:sz w:val="24"/>
          <w:szCs w:val="20"/>
          <w:lang w:val="es-ES_tradnl"/>
        </w:rPr>
        <w:tab/>
        <w:t>Ordinaria</w:t>
      </w:r>
    </w:p>
    <w:p w14:paraId="6EA9CCB6" w14:textId="77777777" w:rsidR="003E7820" w:rsidRPr="003C2711" w:rsidRDefault="003E7820" w:rsidP="003E7820">
      <w:pPr>
        <w:spacing w:after="0" w:line="240" w:lineRule="auto"/>
        <w:rPr>
          <w:rFonts w:ascii="Times New Roman" w:eastAsia="Times New Roman" w:hAnsi="Times New Roman"/>
          <w:sz w:val="24"/>
          <w:szCs w:val="20"/>
          <w:lang w:val="es-ES_tradnl"/>
        </w:rPr>
      </w:pPr>
    </w:p>
    <w:p w14:paraId="031F5F7A" w14:textId="77777777" w:rsidR="003E7820" w:rsidRDefault="003E7820" w:rsidP="003E7820">
      <w:pPr>
        <w:spacing w:after="0" w:line="240" w:lineRule="auto"/>
        <w:jc w:val="center"/>
        <w:rPr>
          <w:rFonts w:ascii="Book Antiqua" w:eastAsia="Times New Roman" w:hAnsi="Book Antiqua"/>
          <w:b/>
          <w:sz w:val="36"/>
          <w:szCs w:val="20"/>
          <w:lang w:val="es-ES_tradnl"/>
        </w:rPr>
      </w:pPr>
      <w:r w:rsidRPr="003C2711">
        <w:rPr>
          <w:rFonts w:ascii="Book Antiqua" w:eastAsia="Times New Roman" w:hAnsi="Book Antiqua"/>
          <w:b/>
          <w:sz w:val="36"/>
          <w:szCs w:val="20"/>
          <w:lang w:val="es-ES_tradnl"/>
        </w:rPr>
        <w:t>CÁMARA DE REPRESENTANTES</w:t>
      </w:r>
    </w:p>
    <w:p w14:paraId="659E7A73" w14:textId="77777777" w:rsidR="003E7820" w:rsidRPr="00E967F4" w:rsidRDefault="003E7820" w:rsidP="003E7820">
      <w:pPr>
        <w:spacing w:after="0" w:line="240" w:lineRule="auto"/>
        <w:jc w:val="center"/>
        <w:rPr>
          <w:rFonts w:ascii="Book Antiqua" w:eastAsia="Times New Roman" w:hAnsi="Book Antiqua"/>
          <w:b/>
          <w:sz w:val="24"/>
          <w:szCs w:val="24"/>
          <w:lang w:val="es-ES_tradnl"/>
        </w:rPr>
      </w:pPr>
    </w:p>
    <w:p w14:paraId="0BCC714A" w14:textId="46897CEC" w:rsidR="003E7820" w:rsidRPr="003C2711" w:rsidRDefault="003E7820" w:rsidP="003E7820">
      <w:pPr>
        <w:spacing w:after="0" w:line="240" w:lineRule="auto"/>
        <w:jc w:val="center"/>
        <w:rPr>
          <w:rFonts w:ascii="Book Antiqua" w:eastAsia="Times New Roman" w:hAnsi="Book Antiqua"/>
          <w:b/>
          <w:sz w:val="24"/>
          <w:szCs w:val="20"/>
          <w:lang w:val="es-ES_tradnl"/>
        </w:rPr>
      </w:pPr>
      <w:r w:rsidRPr="003C2711">
        <w:rPr>
          <w:rFonts w:ascii="Book Antiqua" w:eastAsia="Times New Roman" w:hAnsi="Book Antiqua"/>
          <w:b/>
          <w:sz w:val="52"/>
          <w:szCs w:val="20"/>
          <w:lang w:val="es-ES_tradnl"/>
        </w:rPr>
        <w:t>R. de la C.</w:t>
      </w:r>
      <w:r w:rsidR="000176BA">
        <w:rPr>
          <w:rFonts w:ascii="Book Antiqua" w:eastAsia="Times New Roman" w:hAnsi="Book Antiqua"/>
          <w:b/>
          <w:sz w:val="52"/>
          <w:szCs w:val="20"/>
          <w:lang w:val="es-ES_tradnl"/>
        </w:rPr>
        <w:t xml:space="preserve"> 51</w:t>
      </w:r>
      <w:r w:rsidRPr="003C2711">
        <w:rPr>
          <w:rFonts w:ascii="Book Antiqua" w:eastAsia="Times New Roman" w:hAnsi="Book Antiqua"/>
          <w:b/>
          <w:sz w:val="52"/>
          <w:szCs w:val="20"/>
          <w:lang w:val="es-ES_tradnl"/>
        </w:rPr>
        <w:t xml:space="preserve"> </w:t>
      </w:r>
      <w:r w:rsidRPr="003C2711">
        <w:rPr>
          <w:rFonts w:ascii="Book Antiqua" w:eastAsia="Times New Roman" w:hAnsi="Book Antiqua"/>
          <w:b/>
          <w:sz w:val="52"/>
          <w:szCs w:val="20"/>
          <w:lang w:val="es-ES_tradnl"/>
        </w:rPr>
        <w:br/>
      </w:r>
    </w:p>
    <w:p w14:paraId="3D22D064" w14:textId="5166C443" w:rsidR="003E7820" w:rsidRDefault="000176BA" w:rsidP="003E7820">
      <w:pPr>
        <w:spacing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 xml:space="preserve">13 </w:t>
      </w:r>
      <w:r w:rsidR="003E7820" w:rsidRPr="003C2711">
        <w:rPr>
          <w:rFonts w:ascii="Book Antiqua" w:eastAsia="Times New Roman" w:hAnsi="Book Antiqua"/>
          <w:sz w:val="24"/>
          <w:szCs w:val="20"/>
          <w:lang w:val="es-ES_tradnl"/>
        </w:rPr>
        <w:t>DE</w:t>
      </w:r>
      <w:r w:rsidR="003E7820">
        <w:rPr>
          <w:rFonts w:ascii="Book Antiqua" w:eastAsia="Times New Roman" w:hAnsi="Book Antiqua"/>
          <w:sz w:val="24"/>
          <w:szCs w:val="20"/>
          <w:lang w:val="es-ES_tradnl"/>
        </w:rPr>
        <w:t xml:space="preserve"> </w:t>
      </w:r>
      <w:r w:rsidR="006D3ED1">
        <w:rPr>
          <w:rFonts w:ascii="Book Antiqua" w:eastAsia="Times New Roman" w:hAnsi="Book Antiqua"/>
          <w:sz w:val="24"/>
          <w:szCs w:val="20"/>
          <w:lang w:val="es-ES_tradnl"/>
        </w:rPr>
        <w:t>ENERO</w:t>
      </w:r>
      <w:r w:rsidR="003E7820">
        <w:rPr>
          <w:rFonts w:ascii="Book Antiqua" w:eastAsia="Times New Roman" w:hAnsi="Book Antiqua"/>
          <w:sz w:val="24"/>
          <w:szCs w:val="20"/>
          <w:lang w:val="es-ES_tradnl"/>
        </w:rPr>
        <w:t xml:space="preserve"> </w:t>
      </w:r>
      <w:r w:rsidR="003E7820" w:rsidRPr="003C2711">
        <w:rPr>
          <w:rFonts w:ascii="Book Antiqua" w:eastAsia="Times New Roman" w:hAnsi="Book Antiqua"/>
          <w:sz w:val="24"/>
          <w:szCs w:val="20"/>
          <w:lang w:val="es-ES_tradnl"/>
        </w:rPr>
        <w:t>DE 202</w:t>
      </w:r>
      <w:r w:rsidR="006D3ED1">
        <w:rPr>
          <w:rFonts w:ascii="Book Antiqua" w:eastAsia="Times New Roman" w:hAnsi="Book Antiqua"/>
          <w:sz w:val="24"/>
          <w:szCs w:val="20"/>
          <w:lang w:val="es-ES_tradnl"/>
        </w:rPr>
        <w:t>5</w:t>
      </w:r>
    </w:p>
    <w:p w14:paraId="7BA1621E"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793E1846" w14:textId="77777777" w:rsidR="003E7820" w:rsidRDefault="003E7820" w:rsidP="003E7820">
      <w:pPr>
        <w:spacing w:after="0" w:line="240" w:lineRule="auto"/>
        <w:jc w:val="center"/>
        <w:rPr>
          <w:rFonts w:ascii="Book Antiqua" w:eastAsia="Times New Roman" w:hAnsi="Book Antiqua"/>
          <w:i/>
          <w:sz w:val="24"/>
          <w:szCs w:val="20"/>
          <w:lang w:val="es-ES_tradnl"/>
        </w:rPr>
      </w:pPr>
      <w:r w:rsidRPr="003C2711">
        <w:rPr>
          <w:rFonts w:ascii="Book Antiqua" w:eastAsia="Times New Roman" w:hAnsi="Book Antiqua"/>
          <w:sz w:val="24"/>
          <w:szCs w:val="20"/>
          <w:lang w:val="es-ES_tradnl"/>
        </w:rPr>
        <w:t xml:space="preserve">Presentada por el representante </w:t>
      </w:r>
      <w:r>
        <w:rPr>
          <w:rFonts w:ascii="Book Antiqua" w:eastAsia="Times New Roman" w:hAnsi="Book Antiqua"/>
          <w:i/>
          <w:sz w:val="24"/>
          <w:szCs w:val="20"/>
          <w:lang w:val="es-ES_tradnl"/>
        </w:rPr>
        <w:t xml:space="preserve">Pérez Ortiz </w:t>
      </w:r>
    </w:p>
    <w:p w14:paraId="5E362D8A"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5F7DE790" w14:textId="77777777" w:rsidR="003E7820" w:rsidRPr="00582258" w:rsidRDefault="003E7820" w:rsidP="003E7820">
      <w:pPr>
        <w:spacing w:after="0" w:line="240" w:lineRule="auto"/>
        <w:jc w:val="center"/>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 xml:space="preserve">Referida a la Comisión de </w:t>
      </w:r>
      <w:r>
        <w:rPr>
          <w:rFonts w:ascii="Book Antiqua" w:eastAsia="Times New Roman" w:hAnsi="Book Antiqua"/>
          <w:sz w:val="24"/>
          <w:szCs w:val="20"/>
          <w:lang w:val="es-ES_tradnl"/>
        </w:rPr>
        <w:t>Asuntos Internos</w:t>
      </w:r>
    </w:p>
    <w:p w14:paraId="7C2976BF"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5DBD6BC1" w14:textId="77777777" w:rsidR="003E7820" w:rsidRPr="00582258" w:rsidRDefault="003E7820" w:rsidP="003E7820">
      <w:pPr>
        <w:spacing w:after="0" w:line="240" w:lineRule="auto"/>
        <w:jc w:val="center"/>
        <w:rPr>
          <w:rFonts w:ascii="Book Antiqua" w:eastAsia="Times New Roman" w:hAnsi="Book Antiqua"/>
          <w:b/>
          <w:sz w:val="28"/>
          <w:szCs w:val="20"/>
          <w:lang w:val="es-ES_tradnl"/>
        </w:rPr>
      </w:pPr>
      <w:r w:rsidRPr="00582258">
        <w:rPr>
          <w:rFonts w:ascii="Book Antiqua" w:eastAsia="Times New Roman" w:hAnsi="Book Antiqua"/>
          <w:b/>
          <w:sz w:val="28"/>
          <w:szCs w:val="20"/>
          <w:lang w:val="es-ES_tradnl"/>
        </w:rPr>
        <w:t>RESOLUCIÓN</w:t>
      </w:r>
    </w:p>
    <w:p w14:paraId="46DBBA62"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768A1152" w14:textId="1D065185" w:rsidR="003E7820" w:rsidRPr="00545A5E" w:rsidRDefault="003E7820" w:rsidP="00007237">
      <w:pPr>
        <w:pStyle w:val="Sangra2detindependiente"/>
        <w:spacing w:after="0" w:line="240" w:lineRule="auto"/>
        <w:ind w:left="567" w:hanging="567"/>
        <w:jc w:val="both"/>
        <w:rPr>
          <w:rFonts w:ascii="Book Antiqua" w:hAnsi="Book Antiqua"/>
          <w:sz w:val="24"/>
          <w:szCs w:val="24"/>
          <w:lang w:val="es-PR"/>
        </w:rPr>
      </w:pPr>
      <w:bookmarkStart w:id="0" w:name="_Hlk94518690"/>
      <w:r w:rsidRPr="00545A5E">
        <w:rPr>
          <w:rFonts w:ascii="Book Antiqua" w:hAnsi="Book Antiqua"/>
          <w:sz w:val="24"/>
          <w:szCs w:val="24"/>
          <w:lang w:val="es-PR"/>
        </w:rPr>
        <w:t xml:space="preserve">Para ordenar </w:t>
      </w:r>
      <w:bookmarkStart w:id="1" w:name="_Hlk181770674"/>
      <w:r>
        <w:rPr>
          <w:rFonts w:ascii="Book Antiqua" w:hAnsi="Book Antiqua"/>
          <w:sz w:val="24"/>
          <w:szCs w:val="24"/>
          <w:lang w:val="es-PR"/>
        </w:rPr>
        <w:t xml:space="preserve">la Comisión de </w:t>
      </w:r>
      <w:r w:rsidR="006D7F2B">
        <w:rPr>
          <w:rFonts w:ascii="Book Antiqua" w:hAnsi="Book Antiqua"/>
          <w:sz w:val="24"/>
          <w:szCs w:val="24"/>
          <w:lang w:val="es-PR"/>
        </w:rPr>
        <w:t>Educación</w:t>
      </w:r>
      <w:r>
        <w:rPr>
          <w:rFonts w:ascii="Book Antiqua" w:hAnsi="Book Antiqua"/>
          <w:sz w:val="24"/>
          <w:szCs w:val="24"/>
          <w:lang w:val="es-PR"/>
        </w:rPr>
        <w:t xml:space="preserve">, investigar la </w:t>
      </w:r>
      <w:r w:rsidR="00441D4D">
        <w:rPr>
          <w:rFonts w:ascii="Book Antiqua" w:hAnsi="Book Antiqua"/>
          <w:sz w:val="24"/>
          <w:szCs w:val="24"/>
          <w:lang w:val="es-PR"/>
        </w:rPr>
        <w:t xml:space="preserve">operación, implementación y retos </w:t>
      </w:r>
      <w:r w:rsidR="00441D4D" w:rsidRPr="00007237">
        <w:rPr>
          <w:rFonts w:ascii="Book Antiqua" w:hAnsi="Book Antiqua"/>
          <w:sz w:val="24"/>
          <w:szCs w:val="24"/>
          <w:lang w:val="es-PR"/>
        </w:rPr>
        <w:t>del programa de Educaci</w:t>
      </w:r>
      <w:r w:rsidR="00C750A6" w:rsidRPr="00007237">
        <w:rPr>
          <w:rFonts w:ascii="Book Antiqua" w:hAnsi="Book Antiqua" w:cs="Calibri"/>
          <w:sz w:val="24"/>
          <w:szCs w:val="24"/>
          <w:lang w:val="es-PR"/>
        </w:rPr>
        <w:t>ó</w:t>
      </w:r>
      <w:r w:rsidR="00441D4D" w:rsidRPr="00007237">
        <w:rPr>
          <w:rFonts w:ascii="Book Antiqua" w:hAnsi="Book Antiqua"/>
          <w:sz w:val="24"/>
          <w:szCs w:val="24"/>
          <w:lang w:val="es-PR"/>
        </w:rPr>
        <w:t>n Especial, específicamente los Servicios Compensatorios a estudiantes</w:t>
      </w:r>
      <w:bookmarkEnd w:id="1"/>
      <w:r w:rsidR="00441D4D" w:rsidRPr="00007237">
        <w:rPr>
          <w:rFonts w:ascii="Book Antiqua" w:hAnsi="Book Antiqua"/>
          <w:sz w:val="24"/>
          <w:szCs w:val="24"/>
          <w:lang w:val="es-PR"/>
        </w:rPr>
        <w:t>; y</w:t>
      </w:r>
      <w:r w:rsidRPr="00007237">
        <w:rPr>
          <w:rFonts w:ascii="Book Antiqua" w:hAnsi="Book Antiqua"/>
          <w:sz w:val="24"/>
          <w:szCs w:val="24"/>
          <w:lang w:val="es-PR"/>
        </w:rPr>
        <w:t xml:space="preserve"> para otros fines relacionados.</w:t>
      </w:r>
      <w:r w:rsidRPr="00545A5E">
        <w:rPr>
          <w:rFonts w:ascii="Book Antiqua" w:hAnsi="Book Antiqua"/>
          <w:sz w:val="24"/>
          <w:szCs w:val="24"/>
          <w:lang w:val="es-PR"/>
        </w:rPr>
        <w:t xml:space="preserve"> </w:t>
      </w:r>
    </w:p>
    <w:bookmarkEnd w:id="0"/>
    <w:p w14:paraId="29C7812F" w14:textId="77777777" w:rsidR="003E7820" w:rsidRPr="00545A5E" w:rsidRDefault="003E7820" w:rsidP="003E7820">
      <w:pPr>
        <w:spacing w:after="0" w:line="240" w:lineRule="auto"/>
        <w:rPr>
          <w:rFonts w:ascii="Book Antiqua" w:eastAsia="Times New Roman" w:hAnsi="Book Antiqua"/>
          <w:sz w:val="24"/>
          <w:szCs w:val="20"/>
          <w:lang w:val="es-PR"/>
        </w:rPr>
      </w:pPr>
    </w:p>
    <w:p w14:paraId="3937A14E" w14:textId="01A926D6" w:rsidR="003E7820" w:rsidRDefault="003E7820" w:rsidP="00007237">
      <w:pPr>
        <w:spacing w:after="0" w:line="240" w:lineRule="auto"/>
        <w:jc w:val="center"/>
        <w:rPr>
          <w:rFonts w:ascii="Book Antiqua" w:eastAsia="Times New Roman" w:hAnsi="Book Antiqua"/>
          <w:sz w:val="24"/>
          <w:szCs w:val="20"/>
          <w:lang w:val="es-PR"/>
        </w:rPr>
      </w:pPr>
      <w:r w:rsidRPr="00BC3615">
        <w:rPr>
          <w:rFonts w:ascii="Book Antiqua" w:eastAsia="Times New Roman" w:hAnsi="Book Antiqua"/>
          <w:sz w:val="24"/>
          <w:szCs w:val="20"/>
          <w:lang w:val="es-PR"/>
        </w:rPr>
        <w:t>EXPOSICIÓN DE MOTIVOS</w:t>
      </w:r>
    </w:p>
    <w:p w14:paraId="53A81D05" w14:textId="77777777" w:rsidR="00007237" w:rsidRPr="00007237" w:rsidRDefault="00007237" w:rsidP="00007237">
      <w:pPr>
        <w:spacing w:after="0" w:line="240" w:lineRule="auto"/>
        <w:jc w:val="center"/>
        <w:rPr>
          <w:rFonts w:ascii="Book Antiqua" w:eastAsia="Times New Roman" w:hAnsi="Book Antiqua"/>
          <w:sz w:val="24"/>
          <w:szCs w:val="20"/>
          <w:lang w:val="es-PR"/>
        </w:rPr>
      </w:pPr>
    </w:p>
    <w:p w14:paraId="76DEEF18" w14:textId="77777777" w:rsidR="00441D4D" w:rsidRDefault="00441D4D" w:rsidP="00007237">
      <w:pPr>
        <w:pStyle w:val="NormalWeb"/>
        <w:spacing w:before="0" w:beforeAutospacing="0" w:after="0" w:afterAutospacing="0"/>
        <w:ind w:firstLine="567"/>
        <w:jc w:val="both"/>
        <w:rPr>
          <w:rFonts w:ascii="Book Antiqua" w:hAnsi="Book Antiqua"/>
          <w:lang w:val="es-PR"/>
        </w:rPr>
      </w:pPr>
      <w:r w:rsidRPr="00441D4D">
        <w:rPr>
          <w:rFonts w:ascii="Book Antiqua" w:hAnsi="Book Antiqua"/>
          <w:lang w:val="es-PR"/>
        </w:rPr>
        <w:t>La educación especial representa un derecho fundamental para los estudiantes con necesidades diversas, garantizando su desarrollo integral en igualdad de condiciones. El Departamento de Educación de Puerto Rico, a través de su Secretaría Asociada de Educación Especial, tiene la responsabilidad de proveer los servicios necesarios para que estos estudiantes puedan acceder a una educación de calidad adaptada a sus necesidades. Sin embargo, en las últimas décadas, diversas situaciones y casos legales han evidenciado incumplimientos en la prestación de estos servicios, lo que ha afectado significativamente a esta población vulnerable.</w:t>
      </w:r>
    </w:p>
    <w:p w14:paraId="660B97FB" w14:textId="77777777" w:rsidR="00007237" w:rsidRPr="00441D4D" w:rsidRDefault="00007237" w:rsidP="00007237">
      <w:pPr>
        <w:pStyle w:val="NormalWeb"/>
        <w:spacing w:before="0" w:beforeAutospacing="0" w:after="0" w:afterAutospacing="0"/>
        <w:ind w:firstLine="567"/>
        <w:jc w:val="both"/>
        <w:rPr>
          <w:rFonts w:ascii="Book Antiqua" w:hAnsi="Book Antiqua"/>
          <w:lang w:val="es-PR"/>
        </w:rPr>
      </w:pPr>
    </w:p>
    <w:p w14:paraId="618767C3" w14:textId="77777777" w:rsidR="00441D4D" w:rsidRDefault="00441D4D" w:rsidP="00007237">
      <w:pPr>
        <w:pStyle w:val="NormalWeb"/>
        <w:spacing w:before="0" w:beforeAutospacing="0" w:after="0" w:afterAutospacing="0"/>
        <w:ind w:firstLine="567"/>
        <w:jc w:val="both"/>
        <w:rPr>
          <w:rFonts w:ascii="Book Antiqua" w:hAnsi="Book Antiqua"/>
          <w:lang w:val="es-PR"/>
        </w:rPr>
      </w:pPr>
      <w:r w:rsidRPr="00441D4D">
        <w:rPr>
          <w:rFonts w:ascii="Book Antiqua" w:hAnsi="Book Antiqua"/>
          <w:lang w:val="es-PR"/>
        </w:rPr>
        <w:t xml:space="preserve">Un componente esencial de la educación especial en Puerto Rico es el programa de Servicios Compensatorios. Este programa se activa cuando un estudiante, con un Programa Educativo Individualizado (PEI) o un Plan de Servicios (PS) vigente, no recibe los servicios necesarios por falta de recursos o por interrupciones en su disponibilidad. El Manual de Procedimientos de Educación Especial, actualizado en julio de 2020, establece las guías y requisitos para que los padres y funcionarios del Departamento puedan solicitar servicios compensatorios. Este manual especifica el procedimiento para documentar y solicitar estos servicios, la evidencia necesaria, y los pasos para asegurar que el estudiante reciba la compensación correspondiente durante el Año Escolar </w:t>
      </w:r>
      <w:r w:rsidRPr="00441D4D">
        <w:rPr>
          <w:rFonts w:ascii="Book Antiqua" w:hAnsi="Book Antiqua"/>
          <w:lang w:val="es-PR"/>
        </w:rPr>
        <w:lastRenderedPageBreak/>
        <w:t>Extendido (AEE). A pesar de estos lineamientos, se han identificado retos importantes en la implementación del programa, los cuales requieren una evaluación detallada.</w:t>
      </w:r>
    </w:p>
    <w:p w14:paraId="7C9FA09B" w14:textId="77777777" w:rsidR="00007237" w:rsidRPr="00441D4D" w:rsidRDefault="00007237" w:rsidP="00007237">
      <w:pPr>
        <w:pStyle w:val="NormalWeb"/>
        <w:spacing w:before="0" w:beforeAutospacing="0" w:after="0" w:afterAutospacing="0"/>
        <w:ind w:firstLine="567"/>
        <w:jc w:val="both"/>
        <w:rPr>
          <w:rFonts w:ascii="Book Antiqua" w:hAnsi="Book Antiqua"/>
          <w:lang w:val="es-PR"/>
        </w:rPr>
      </w:pPr>
    </w:p>
    <w:p w14:paraId="6B539C70" w14:textId="3D5AD842" w:rsidR="005D2CF3" w:rsidRDefault="00441D4D" w:rsidP="00007237">
      <w:pPr>
        <w:pStyle w:val="NormalWeb"/>
        <w:spacing w:before="0" w:beforeAutospacing="0" w:after="0" w:afterAutospacing="0"/>
        <w:ind w:firstLine="567"/>
        <w:jc w:val="both"/>
        <w:rPr>
          <w:rFonts w:ascii="Book Antiqua" w:hAnsi="Book Antiqua"/>
          <w:lang w:val="es-PR"/>
        </w:rPr>
      </w:pPr>
      <w:r w:rsidRPr="00441D4D">
        <w:rPr>
          <w:rFonts w:ascii="Book Antiqua" w:hAnsi="Book Antiqua"/>
          <w:lang w:val="es-PR"/>
        </w:rPr>
        <w:t xml:space="preserve">La necesidad de estos servicios </w:t>
      </w:r>
      <w:r>
        <w:rPr>
          <w:rFonts w:ascii="Book Antiqua" w:hAnsi="Book Antiqua"/>
          <w:lang w:val="es-PR"/>
        </w:rPr>
        <w:t>surge</w:t>
      </w:r>
      <w:r w:rsidRPr="00441D4D">
        <w:rPr>
          <w:rFonts w:ascii="Book Antiqua" w:hAnsi="Book Antiqua"/>
          <w:lang w:val="es-PR"/>
        </w:rPr>
        <w:t xml:space="preserve"> </w:t>
      </w:r>
      <w:r>
        <w:rPr>
          <w:rFonts w:ascii="Book Antiqua" w:hAnsi="Book Antiqua"/>
          <w:lang w:val="es-PR"/>
        </w:rPr>
        <w:t>d</w:t>
      </w:r>
      <w:r w:rsidRPr="00441D4D">
        <w:rPr>
          <w:rFonts w:ascii="Book Antiqua" w:hAnsi="Book Antiqua"/>
          <w:lang w:val="es-PR"/>
        </w:rPr>
        <w:t xml:space="preserve">el caso </w:t>
      </w:r>
      <w:r w:rsidRPr="00441D4D">
        <w:rPr>
          <w:rStyle w:val="nfasis"/>
          <w:rFonts w:ascii="Book Antiqua" w:eastAsiaTheme="majorEastAsia" w:hAnsi="Book Antiqua"/>
          <w:lang w:val="es-PR"/>
        </w:rPr>
        <w:t>Rosa Lydia Vélez v. Departamento de Educación de Puerto Rico</w:t>
      </w:r>
      <w:r w:rsidRPr="00441D4D">
        <w:rPr>
          <w:rFonts w:ascii="Book Antiqua" w:hAnsi="Book Antiqua"/>
          <w:lang w:val="es-PR"/>
        </w:rPr>
        <w:t xml:space="preserve">, iniciado en 1980. Rosa Lydia Vélez, madre de Isamar Malaret Vélez, una niña con condiciones de salud que requerían educación especial, demandó al Departamento de Educación por la falta de servicios para su hija. Este caso histórico se convirtió en un pleito de clase, logrando que el Tribunal emitiera varias órdenes para asegurar el acceso a servicios educativos y relacionados para miles de niños con impedimentos. Entre las órdenes dictadas se incluyeron disposiciones para que el Departamento evaluara a estos estudiantes en un plazo determinado, proveer los servicios necesarios y llevar a cabo un programa de orientación para padres y maestros sobre los derechos de los estudiantes a recibir servicios de educación especial. </w:t>
      </w:r>
    </w:p>
    <w:p w14:paraId="01732078" w14:textId="77777777" w:rsidR="00007237" w:rsidRPr="00441D4D" w:rsidRDefault="00007237" w:rsidP="00007237">
      <w:pPr>
        <w:pStyle w:val="NormalWeb"/>
        <w:spacing w:before="0" w:beforeAutospacing="0" w:after="0" w:afterAutospacing="0"/>
        <w:ind w:firstLine="567"/>
        <w:jc w:val="both"/>
        <w:rPr>
          <w:rFonts w:ascii="Book Antiqua" w:hAnsi="Book Antiqua"/>
          <w:lang w:val="es-PR"/>
        </w:rPr>
      </w:pPr>
    </w:p>
    <w:p w14:paraId="7F678FE7" w14:textId="43D7CDF3" w:rsidR="005D2CF3" w:rsidRDefault="005D2CF3" w:rsidP="00007237">
      <w:pPr>
        <w:pStyle w:val="NormalWeb"/>
        <w:spacing w:before="0" w:beforeAutospacing="0" w:after="0" w:afterAutospacing="0"/>
        <w:ind w:firstLine="567"/>
        <w:jc w:val="both"/>
        <w:rPr>
          <w:rFonts w:ascii="Book Antiqua" w:hAnsi="Book Antiqua"/>
          <w:lang w:val="es-PR"/>
        </w:rPr>
      </w:pPr>
      <w:r w:rsidRPr="005D2CF3">
        <w:rPr>
          <w:rFonts w:ascii="Book Antiqua" w:hAnsi="Book Antiqua"/>
          <w:lang w:val="es-PR"/>
        </w:rPr>
        <w:t>Los servicios compensatorios están dirigidos, en su mayoría, a estudiantes que ya se graduaron del Departamento de Educación y que, durante sus años educativos — desde primer hasta cuarto año de escuela superior — no recibieron los servicios de educación especial adecuados. Muchos de estos estudiantes superan los 18 años y, en caso de que no se les provean los servicios compensatorios correspondientes, podrían considerar acciones legales contra el Estado, incluyendo demandas por daños. Este programa representa un costo millonario para el Departamento de Educación, que debe enfrentar el impacto financiero de compensar por servicios no ofrecidos en el pasado. Además, el programa plantea un reto significativo para los proveedores de servicios, quienes generalmente cuentan con la formación y experiencia necesarias para atender a niños y adolescentes, pero no a adultos, lo que dificulta aún más la oferta adecuada y eficiente de estos servicios compensatorios.</w:t>
      </w:r>
    </w:p>
    <w:p w14:paraId="171ABECB" w14:textId="77777777" w:rsidR="00007237" w:rsidRDefault="00007237" w:rsidP="00007237">
      <w:pPr>
        <w:pStyle w:val="NormalWeb"/>
        <w:spacing w:before="0" w:beforeAutospacing="0" w:after="0" w:afterAutospacing="0"/>
        <w:ind w:firstLine="567"/>
        <w:jc w:val="both"/>
        <w:rPr>
          <w:rFonts w:ascii="Book Antiqua" w:hAnsi="Book Antiqua"/>
          <w:lang w:val="es-PR"/>
        </w:rPr>
      </w:pPr>
    </w:p>
    <w:p w14:paraId="1CA7002D" w14:textId="472C0924" w:rsidR="00441D4D" w:rsidRDefault="00441D4D" w:rsidP="00007237">
      <w:pPr>
        <w:pStyle w:val="NormalWeb"/>
        <w:spacing w:before="0" w:beforeAutospacing="0" w:after="0" w:afterAutospacing="0"/>
        <w:ind w:firstLine="567"/>
        <w:jc w:val="both"/>
        <w:rPr>
          <w:rFonts w:ascii="Book Antiqua" w:hAnsi="Book Antiqua"/>
          <w:lang w:val="es-PR"/>
        </w:rPr>
      </w:pPr>
      <w:r w:rsidRPr="00441D4D">
        <w:rPr>
          <w:rFonts w:ascii="Book Antiqua" w:hAnsi="Book Antiqua"/>
          <w:lang w:val="es-PR"/>
        </w:rPr>
        <w:t>A la luz de esta situación, resulta imperativo que la Cámara de Representantes de Puerto Rico lleve a cabo una investigación exhaustiva sobre el estado y la efectividad del programa de Servicios Compensatorios dentro del sistema de Educación Especial. Es fundamental examinar la implementación de los procedimientos establecidos en el manual de educación especial y evaluar los retos que enfrentan tanto los estudiantes como el Departamento de Educación para garantizar una prestación adecuada de estos servicios. Este análisis también debe considerar el impacto de decisiones judiciales previas y actuales, así como la posibilidad de mejoras en los procesos administrativos para asegurar que todos los estudiantes con necesidades especiales reciban una educación adecuada y oportuna.</w:t>
      </w:r>
    </w:p>
    <w:p w14:paraId="10B829E2" w14:textId="77777777" w:rsidR="00007237" w:rsidRPr="00441D4D" w:rsidRDefault="00007237" w:rsidP="00007237">
      <w:pPr>
        <w:pStyle w:val="NormalWeb"/>
        <w:spacing w:before="0" w:beforeAutospacing="0" w:after="0" w:afterAutospacing="0"/>
        <w:ind w:firstLine="567"/>
        <w:jc w:val="both"/>
        <w:rPr>
          <w:rFonts w:ascii="Book Antiqua" w:hAnsi="Book Antiqua"/>
          <w:lang w:val="es-PR"/>
        </w:rPr>
      </w:pPr>
    </w:p>
    <w:p w14:paraId="4DBE88E7" w14:textId="77777777" w:rsidR="00441D4D" w:rsidRPr="00441D4D" w:rsidRDefault="00441D4D" w:rsidP="00007237">
      <w:pPr>
        <w:pStyle w:val="NormalWeb"/>
        <w:spacing w:before="0" w:beforeAutospacing="0" w:after="0" w:afterAutospacing="0"/>
        <w:ind w:firstLine="567"/>
        <w:jc w:val="both"/>
        <w:rPr>
          <w:rFonts w:ascii="Book Antiqua" w:hAnsi="Book Antiqua"/>
          <w:lang w:val="es-PR"/>
        </w:rPr>
      </w:pPr>
      <w:r w:rsidRPr="00441D4D">
        <w:rPr>
          <w:rFonts w:ascii="Book Antiqua" w:hAnsi="Book Antiqua"/>
          <w:lang w:val="es-PR"/>
        </w:rPr>
        <w:t>Por todo lo anterior, la Cámara de Representantes de Puerto Rico entiende que es necesario realizar esta investigación con el propósito de obtener información precisa, identificar áreas de mejora y recomendar acciones concretas que aseguren una prestación de servicios compensatorios efectiva y eficiente para los estudiantes que más lo necesitan.</w:t>
      </w:r>
    </w:p>
    <w:p w14:paraId="42C77E68" w14:textId="77777777" w:rsidR="003E7820" w:rsidRPr="00007237" w:rsidRDefault="003E7820" w:rsidP="00007237">
      <w:pPr>
        <w:spacing w:after="0" w:line="240" w:lineRule="auto"/>
        <w:ind w:firstLine="567"/>
        <w:jc w:val="both"/>
        <w:rPr>
          <w:rFonts w:ascii="Book Antiqua" w:eastAsia="Times New Roman" w:hAnsi="Book Antiqua"/>
          <w:i/>
          <w:iCs/>
          <w:sz w:val="24"/>
          <w:szCs w:val="24"/>
          <w:lang w:val="es-ES"/>
        </w:rPr>
      </w:pPr>
    </w:p>
    <w:p w14:paraId="7A49401B" w14:textId="77777777" w:rsidR="003E7820" w:rsidRPr="00683111" w:rsidRDefault="003E7820" w:rsidP="003E7820">
      <w:pPr>
        <w:spacing w:after="0" w:line="240" w:lineRule="auto"/>
        <w:jc w:val="both"/>
        <w:rPr>
          <w:rFonts w:ascii="Book Antiqua" w:eastAsia="Times New Roman" w:hAnsi="Book Antiqua"/>
          <w:i/>
          <w:sz w:val="24"/>
          <w:szCs w:val="24"/>
          <w:lang w:val="es-ES_tradnl"/>
        </w:rPr>
      </w:pPr>
      <w:r w:rsidRPr="00683111">
        <w:rPr>
          <w:rFonts w:ascii="Book Antiqua" w:eastAsia="Times New Roman" w:hAnsi="Book Antiqua"/>
          <w:i/>
          <w:iCs/>
          <w:sz w:val="24"/>
          <w:szCs w:val="24"/>
          <w:lang w:val="es-ES_tradnl"/>
        </w:rPr>
        <w:lastRenderedPageBreak/>
        <w:t xml:space="preserve">RESUÉLVESE POR LA </w:t>
      </w:r>
      <w:r>
        <w:rPr>
          <w:rFonts w:ascii="Book Antiqua" w:eastAsia="Times New Roman" w:hAnsi="Book Antiqua"/>
          <w:i/>
          <w:iCs/>
          <w:sz w:val="24"/>
          <w:szCs w:val="24"/>
          <w:lang w:val="es-ES_tradnl"/>
        </w:rPr>
        <w:t>CÁMARA DE REPRESENTANTES</w:t>
      </w:r>
      <w:r w:rsidRPr="00683111">
        <w:rPr>
          <w:rFonts w:ascii="Book Antiqua" w:eastAsia="Times New Roman" w:hAnsi="Book Antiqua"/>
          <w:i/>
          <w:iCs/>
          <w:sz w:val="24"/>
          <w:szCs w:val="24"/>
          <w:lang w:val="es-ES_tradnl"/>
        </w:rPr>
        <w:t xml:space="preserve"> DE PUERTO RICO:</w:t>
      </w:r>
      <w:r w:rsidRPr="00683111">
        <w:rPr>
          <w:rFonts w:ascii="Book Antiqua" w:eastAsia="Times New Roman" w:hAnsi="Book Antiqua"/>
          <w:i/>
          <w:sz w:val="24"/>
          <w:szCs w:val="24"/>
          <w:lang w:val="es-ES_tradnl"/>
        </w:rPr>
        <w:t xml:space="preserve"> </w:t>
      </w:r>
    </w:p>
    <w:p w14:paraId="672D5453" w14:textId="77777777" w:rsidR="003E7820" w:rsidRPr="00683111" w:rsidRDefault="003E7820" w:rsidP="003E7820">
      <w:pPr>
        <w:spacing w:after="0" w:line="240" w:lineRule="auto"/>
        <w:jc w:val="both"/>
        <w:rPr>
          <w:rFonts w:ascii="Book Antiqua" w:eastAsia="Times New Roman" w:hAnsi="Book Antiqua"/>
          <w:sz w:val="24"/>
          <w:szCs w:val="24"/>
          <w:lang w:val="es-ES_tradnl"/>
        </w:rPr>
      </w:pPr>
    </w:p>
    <w:p w14:paraId="5108F28E" w14:textId="77777777" w:rsidR="003E7820" w:rsidRPr="005A7AF4" w:rsidRDefault="003E7820" w:rsidP="003E7820">
      <w:pPr>
        <w:spacing w:after="0" w:line="240" w:lineRule="auto"/>
        <w:jc w:val="both"/>
        <w:rPr>
          <w:rFonts w:ascii="Book Antiqua" w:eastAsia="Times New Roman" w:hAnsi="Book Antiqua"/>
          <w:sz w:val="24"/>
          <w:szCs w:val="24"/>
          <w:highlight w:val="yellow"/>
          <w:lang w:val="es-ES_tradnl"/>
        </w:rPr>
        <w:sectPr w:rsidR="003E7820" w:rsidRPr="005A7AF4" w:rsidSect="003E7820">
          <w:headerReference w:type="even" r:id="rId6"/>
          <w:headerReference w:type="default" r:id="rId7"/>
          <w:pgSz w:w="12240" w:h="15840" w:code="1"/>
          <w:pgMar w:top="1440" w:right="1440" w:bottom="1440" w:left="1440" w:header="720" w:footer="720" w:gutter="0"/>
          <w:cols w:space="720"/>
          <w:titlePg/>
          <w:docGrid w:linePitch="360"/>
        </w:sectPr>
      </w:pPr>
    </w:p>
    <w:p w14:paraId="5F4E1BD5" w14:textId="1695EC0B" w:rsidR="003E7820" w:rsidRPr="003C2711" w:rsidRDefault="003E7820" w:rsidP="00007237">
      <w:pPr>
        <w:widowControl w:val="0"/>
        <w:spacing w:after="0" w:line="480" w:lineRule="auto"/>
        <w:ind w:firstLine="567"/>
        <w:jc w:val="both"/>
        <w:rPr>
          <w:rFonts w:ascii="Book Antiqua" w:eastAsia="MS Mincho" w:hAnsi="Book Antiqua"/>
          <w:sz w:val="24"/>
          <w:szCs w:val="24"/>
          <w:lang w:val="es-PR"/>
        </w:rPr>
      </w:pPr>
      <w:r w:rsidRPr="003C2711">
        <w:rPr>
          <w:rFonts w:ascii="Book Antiqua" w:eastAsia="MS Mincho" w:hAnsi="Book Antiqua"/>
          <w:sz w:val="24"/>
          <w:szCs w:val="24"/>
          <w:lang w:val="es-PR"/>
        </w:rPr>
        <w:t>Sección 1.-Se ordena a la</w:t>
      </w:r>
      <w:r w:rsidR="00441D4D" w:rsidRPr="00441D4D">
        <w:rPr>
          <w:rFonts w:ascii="Book Antiqua" w:eastAsia="MS Mincho" w:hAnsi="Book Antiqua"/>
          <w:sz w:val="24"/>
          <w:szCs w:val="24"/>
          <w:lang w:val="es-PR"/>
        </w:rPr>
        <w:t xml:space="preserve"> Comisión de Educación, investigar la operación, implementación y retos del programa de </w:t>
      </w:r>
      <w:proofErr w:type="spellStart"/>
      <w:r w:rsidR="00441D4D" w:rsidRPr="00441D4D">
        <w:rPr>
          <w:rFonts w:ascii="Book Antiqua" w:eastAsia="MS Mincho" w:hAnsi="Book Antiqua"/>
          <w:sz w:val="24"/>
          <w:szCs w:val="24"/>
          <w:lang w:val="es-PR"/>
        </w:rPr>
        <w:t>Educacion</w:t>
      </w:r>
      <w:proofErr w:type="spellEnd"/>
      <w:r w:rsidR="00441D4D" w:rsidRPr="00441D4D">
        <w:rPr>
          <w:rFonts w:ascii="Book Antiqua" w:eastAsia="MS Mincho" w:hAnsi="Book Antiqua"/>
          <w:sz w:val="24"/>
          <w:szCs w:val="24"/>
          <w:lang w:val="es-PR"/>
        </w:rPr>
        <w:t xml:space="preserve"> Especial, específicamente los Servicios Compensatorios a estudiantes</w:t>
      </w:r>
    </w:p>
    <w:p w14:paraId="528EA9F2" w14:textId="556D2DE5" w:rsidR="003E7820" w:rsidRPr="003C2711" w:rsidRDefault="003E7820" w:rsidP="00007237">
      <w:pPr>
        <w:widowControl w:val="0"/>
        <w:spacing w:after="0" w:line="480" w:lineRule="auto"/>
        <w:ind w:firstLine="567"/>
        <w:jc w:val="both"/>
        <w:rPr>
          <w:rFonts w:ascii="Book Antiqua" w:eastAsia="MS Mincho" w:hAnsi="Book Antiqua"/>
          <w:sz w:val="24"/>
          <w:szCs w:val="24"/>
          <w:lang w:val="es-PR"/>
        </w:rPr>
      </w:pPr>
      <w:r w:rsidRPr="003C2711">
        <w:rPr>
          <w:rFonts w:ascii="Book Antiqua" w:eastAsia="MS Mincho" w:hAnsi="Book Antiqua"/>
          <w:sz w:val="24"/>
          <w:szCs w:val="24"/>
          <w:lang w:val="es-PR"/>
        </w:rPr>
        <w:t>Sección 2.-</w:t>
      </w:r>
      <w:r>
        <w:rPr>
          <w:rFonts w:ascii="Book Antiqua" w:eastAsia="MS Mincho" w:hAnsi="Book Antiqua"/>
          <w:sz w:val="24"/>
          <w:szCs w:val="24"/>
          <w:lang w:val="es-PR"/>
        </w:rPr>
        <w:t>La</w:t>
      </w:r>
      <w:r w:rsidRPr="007061CB">
        <w:rPr>
          <w:lang w:val="es-PR"/>
        </w:rPr>
        <w:t xml:space="preserve"> </w:t>
      </w:r>
      <w:r w:rsidRPr="00CD19AE">
        <w:rPr>
          <w:rFonts w:ascii="Book Antiqua" w:eastAsia="MS Mincho" w:hAnsi="Book Antiqua"/>
          <w:sz w:val="24"/>
          <w:szCs w:val="24"/>
          <w:lang w:val="es-PR"/>
        </w:rPr>
        <w:t xml:space="preserve">Comisión de </w:t>
      </w:r>
      <w:r w:rsidR="006D7F2B" w:rsidRPr="00CD19AE">
        <w:rPr>
          <w:rFonts w:ascii="Book Antiqua" w:eastAsia="MS Mincho" w:hAnsi="Book Antiqua"/>
          <w:sz w:val="24"/>
          <w:szCs w:val="24"/>
          <w:lang w:val="es-PR"/>
        </w:rPr>
        <w:t>Educación</w:t>
      </w:r>
      <w:r w:rsidRPr="003C2711">
        <w:rPr>
          <w:rFonts w:ascii="Book Antiqua" w:eastAsia="MS Mincho" w:hAnsi="Book Antiqua"/>
          <w:sz w:val="24"/>
          <w:szCs w:val="24"/>
          <w:lang w:val="es-PR"/>
        </w:rPr>
        <w:t>, someterá a la Cámara de Representantes un informe final conte</w:t>
      </w:r>
      <w:r>
        <w:rPr>
          <w:rFonts w:ascii="Book Antiqua" w:eastAsia="MS Mincho" w:hAnsi="Book Antiqua"/>
          <w:sz w:val="24"/>
          <w:szCs w:val="24"/>
          <w:lang w:val="es-PR"/>
        </w:rPr>
        <w:t>niendo</w:t>
      </w:r>
      <w:r w:rsidRPr="003C2711">
        <w:rPr>
          <w:rFonts w:ascii="Book Antiqua" w:eastAsia="MS Mincho" w:hAnsi="Book Antiqua"/>
          <w:sz w:val="24"/>
          <w:szCs w:val="24"/>
          <w:lang w:val="es-PR"/>
        </w:rPr>
        <w:t xml:space="preserve"> los hallazgos, conclusiones, y recomendaciones, que estime pertinentes, incluyendo las acciones legislativas y administrativas que deban adoptarse con relación al asunto objeto de este estudio, dentro del término de ciento </w:t>
      </w:r>
      <w:r>
        <w:rPr>
          <w:rFonts w:ascii="Book Antiqua" w:eastAsia="MS Mincho" w:hAnsi="Book Antiqua"/>
          <w:sz w:val="24"/>
          <w:szCs w:val="24"/>
          <w:lang w:val="es-PR"/>
        </w:rPr>
        <w:t xml:space="preserve">veinte </w:t>
      </w:r>
      <w:r w:rsidRPr="003C2711">
        <w:rPr>
          <w:rFonts w:ascii="Book Antiqua" w:eastAsia="MS Mincho" w:hAnsi="Book Antiqua"/>
          <w:sz w:val="24"/>
          <w:szCs w:val="24"/>
          <w:lang w:val="es-PR"/>
        </w:rPr>
        <w:t>(1</w:t>
      </w:r>
      <w:r>
        <w:rPr>
          <w:rFonts w:ascii="Book Antiqua" w:eastAsia="MS Mincho" w:hAnsi="Book Antiqua"/>
          <w:sz w:val="24"/>
          <w:szCs w:val="24"/>
          <w:lang w:val="es-PR"/>
        </w:rPr>
        <w:t>2</w:t>
      </w:r>
      <w:r w:rsidRPr="003C2711">
        <w:rPr>
          <w:rFonts w:ascii="Book Antiqua" w:eastAsia="MS Mincho" w:hAnsi="Book Antiqua"/>
          <w:sz w:val="24"/>
          <w:szCs w:val="24"/>
          <w:lang w:val="es-PR"/>
        </w:rPr>
        <w:t xml:space="preserve">0) días contados a partir de la aprobación de la presente medida. </w:t>
      </w:r>
    </w:p>
    <w:p w14:paraId="714746C8" w14:textId="3615D1A8" w:rsidR="00D056D7" w:rsidRPr="006D7F2B" w:rsidRDefault="003E7820" w:rsidP="00007237">
      <w:pPr>
        <w:widowControl w:val="0"/>
        <w:spacing w:after="0" w:line="480" w:lineRule="auto"/>
        <w:ind w:firstLine="567"/>
        <w:jc w:val="both"/>
        <w:rPr>
          <w:rFonts w:ascii="Book Antiqua" w:eastAsia="MS Mincho" w:hAnsi="Book Antiqua"/>
          <w:sz w:val="24"/>
          <w:szCs w:val="24"/>
          <w:lang w:val="es-ES_tradnl"/>
        </w:rPr>
      </w:pPr>
      <w:r w:rsidRPr="003C2711">
        <w:rPr>
          <w:rFonts w:ascii="Book Antiqua" w:eastAsia="MS Mincho" w:hAnsi="Book Antiqua"/>
          <w:sz w:val="24"/>
          <w:szCs w:val="24"/>
          <w:lang w:val="es-ES_tradnl"/>
        </w:rPr>
        <w:t>Sección 3.-Esta Resolución comenzará a regir inmediatamente después de su aprobación.</w:t>
      </w:r>
    </w:p>
    <w:sectPr w:rsidR="00D056D7" w:rsidRPr="006D7F2B" w:rsidSect="003E7820">
      <w:headerReference w:type="even" r:id="rId8"/>
      <w:headerReference w:type="default" r:id="rId9"/>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8498F" w14:textId="77777777" w:rsidR="00CD6646" w:rsidRDefault="00CD6646">
      <w:pPr>
        <w:spacing w:after="0" w:line="240" w:lineRule="auto"/>
      </w:pPr>
      <w:r>
        <w:separator/>
      </w:r>
    </w:p>
  </w:endnote>
  <w:endnote w:type="continuationSeparator" w:id="0">
    <w:p w14:paraId="40BE0022" w14:textId="77777777" w:rsidR="00CD6646" w:rsidRDefault="00CD66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F6766F" w14:textId="77777777" w:rsidR="00CD6646" w:rsidRDefault="00CD6646">
      <w:pPr>
        <w:spacing w:after="0" w:line="240" w:lineRule="auto"/>
      </w:pPr>
      <w:r>
        <w:separator/>
      </w:r>
    </w:p>
  </w:footnote>
  <w:footnote w:type="continuationSeparator" w:id="0">
    <w:p w14:paraId="1C8CD209" w14:textId="77777777" w:rsidR="00CD6646" w:rsidRDefault="00CD66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3924" w14:textId="77777777" w:rsidR="00002690" w:rsidRDefault="00002690" w:rsidP="00D03BD5">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5D5CBB7F" w14:textId="77777777" w:rsidR="00002690" w:rsidRDefault="0000269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17B7" w14:textId="77777777" w:rsidR="00002690" w:rsidRDefault="00002690" w:rsidP="00D03BD5">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22C6AE82" w14:textId="77777777" w:rsidR="00002690" w:rsidRDefault="0000269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C759" w14:textId="77777777" w:rsidR="00002690" w:rsidRDefault="00002690">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0DF59C0" w14:textId="77777777" w:rsidR="00002690" w:rsidRDefault="0000269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5A31" w14:textId="77777777" w:rsidR="00002690" w:rsidRDefault="00002690">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w:t>
    </w:r>
    <w:r>
      <w:rPr>
        <w:rStyle w:val="Nmerodepgina"/>
      </w:rPr>
      <w:fldChar w:fldCharType="end"/>
    </w:r>
  </w:p>
  <w:p w14:paraId="2C87C179" w14:textId="68CAA78D" w:rsidR="00002690" w:rsidRDefault="003E7820">
    <w:r>
      <w:rPr>
        <w:noProof/>
      </w:rPr>
      <mc:AlternateContent>
        <mc:Choice Requires="wps">
          <w:drawing>
            <wp:anchor distT="0" distB="0" distL="114300" distR="114300" simplePos="0" relativeHeight="251659264" behindDoc="0" locked="0" layoutInCell="0" allowOverlap="1" wp14:anchorId="0F7C6CE3" wp14:editId="590D282A">
              <wp:simplePos x="0" y="0"/>
              <wp:positionH relativeFrom="margin">
                <wp:posOffset>0</wp:posOffset>
              </wp:positionH>
              <wp:positionV relativeFrom="paragraph">
                <wp:posOffset>-914400</wp:posOffset>
              </wp:positionV>
              <wp:extent cx="5943600" cy="152400"/>
              <wp:effectExtent l="0" t="0" r="0" b="0"/>
              <wp:wrapNone/>
              <wp:docPr id="20971492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C6CE3"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FBC"/>
    <w:rsid w:val="00002690"/>
    <w:rsid w:val="00007237"/>
    <w:rsid w:val="000176BA"/>
    <w:rsid w:val="00140BBA"/>
    <w:rsid w:val="00197B8C"/>
    <w:rsid w:val="003850C8"/>
    <w:rsid w:val="003C65C8"/>
    <w:rsid w:val="003E7820"/>
    <w:rsid w:val="00420E28"/>
    <w:rsid w:val="00441D4D"/>
    <w:rsid w:val="00521E8B"/>
    <w:rsid w:val="005253C3"/>
    <w:rsid w:val="00592027"/>
    <w:rsid w:val="005D2CF3"/>
    <w:rsid w:val="00654548"/>
    <w:rsid w:val="006D3ED1"/>
    <w:rsid w:val="006D7F2B"/>
    <w:rsid w:val="00721FBC"/>
    <w:rsid w:val="00A6433F"/>
    <w:rsid w:val="00AF2422"/>
    <w:rsid w:val="00BE1412"/>
    <w:rsid w:val="00C12FCF"/>
    <w:rsid w:val="00C750A6"/>
    <w:rsid w:val="00C912E5"/>
    <w:rsid w:val="00CC5BA7"/>
    <w:rsid w:val="00CD6646"/>
    <w:rsid w:val="00D056D7"/>
    <w:rsid w:val="00EC61EE"/>
    <w:rsid w:val="00EF30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1511BF"/>
  <w15:chartTrackingRefBased/>
  <w15:docId w15:val="{84AF0D26-0CD3-46A6-BD52-B463C2ED8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rPr>
      <w:rFonts w:ascii="Calibri" w:eastAsia="Calibri" w:hAnsi="Calibri" w:cs="Times New Roman"/>
      <w:kern w:val="0"/>
      <w14:ligatures w14:val="none"/>
    </w:rPr>
  </w:style>
  <w:style w:type="paragraph" w:styleId="Ttulo1">
    <w:name w:val="heading 1"/>
    <w:basedOn w:val="Normal"/>
    <w:next w:val="Normal"/>
    <w:link w:val="Ttulo1Car"/>
    <w:uiPriority w:val="9"/>
    <w:qFormat/>
    <w:rsid w:val="00721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21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21FB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21FB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21FB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21FB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21FB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21FB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21FB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21FB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21FB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21FB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21FB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21FB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21FB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21FB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21FB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21FBC"/>
    <w:rPr>
      <w:rFonts w:eastAsiaTheme="majorEastAsia" w:cstheme="majorBidi"/>
      <w:color w:val="272727" w:themeColor="text1" w:themeTint="D8"/>
    </w:rPr>
  </w:style>
  <w:style w:type="paragraph" w:styleId="Ttulo">
    <w:name w:val="Title"/>
    <w:basedOn w:val="Normal"/>
    <w:next w:val="Normal"/>
    <w:link w:val="TtuloCar"/>
    <w:uiPriority w:val="10"/>
    <w:qFormat/>
    <w:rsid w:val="0072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21FB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21FB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21FB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21FBC"/>
    <w:pPr>
      <w:spacing w:before="160"/>
      <w:jc w:val="center"/>
    </w:pPr>
    <w:rPr>
      <w:i/>
      <w:iCs/>
      <w:color w:val="404040" w:themeColor="text1" w:themeTint="BF"/>
    </w:rPr>
  </w:style>
  <w:style w:type="character" w:customStyle="1" w:styleId="CitaCar">
    <w:name w:val="Cita Car"/>
    <w:basedOn w:val="Fuentedeprrafopredeter"/>
    <w:link w:val="Cita"/>
    <w:uiPriority w:val="29"/>
    <w:rsid w:val="00721FBC"/>
    <w:rPr>
      <w:i/>
      <w:iCs/>
      <w:color w:val="404040" w:themeColor="text1" w:themeTint="BF"/>
    </w:rPr>
  </w:style>
  <w:style w:type="paragraph" w:styleId="Prrafodelista">
    <w:name w:val="List Paragraph"/>
    <w:basedOn w:val="Normal"/>
    <w:uiPriority w:val="34"/>
    <w:qFormat/>
    <w:rsid w:val="00721FBC"/>
    <w:pPr>
      <w:ind w:left="720"/>
      <w:contextualSpacing/>
    </w:pPr>
  </w:style>
  <w:style w:type="character" w:styleId="nfasisintenso">
    <w:name w:val="Intense Emphasis"/>
    <w:basedOn w:val="Fuentedeprrafopredeter"/>
    <w:uiPriority w:val="21"/>
    <w:qFormat/>
    <w:rsid w:val="00721FBC"/>
    <w:rPr>
      <w:i/>
      <w:iCs/>
      <w:color w:val="0F4761" w:themeColor="accent1" w:themeShade="BF"/>
    </w:rPr>
  </w:style>
  <w:style w:type="paragraph" w:styleId="Citadestacada">
    <w:name w:val="Intense Quote"/>
    <w:basedOn w:val="Normal"/>
    <w:next w:val="Normal"/>
    <w:link w:val="CitadestacadaCar"/>
    <w:uiPriority w:val="30"/>
    <w:qFormat/>
    <w:rsid w:val="00721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21FBC"/>
    <w:rPr>
      <w:i/>
      <w:iCs/>
      <w:color w:val="0F4761" w:themeColor="accent1" w:themeShade="BF"/>
    </w:rPr>
  </w:style>
  <w:style w:type="character" w:styleId="Referenciaintensa">
    <w:name w:val="Intense Reference"/>
    <w:basedOn w:val="Fuentedeprrafopredeter"/>
    <w:uiPriority w:val="32"/>
    <w:qFormat/>
    <w:rsid w:val="00721FBC"/>
    <w:rPr>
      <w:b/>
      <w:bCs/>
      <w:smallCaps/>
      <w:color w:val="0F4761" w:themeColor="accent1" w:themeShade="BF"/>
      <w:spacing w:val="5"/>
    </w:rPr>
  </w:style>
  <w:style w:type="paragraph" w:styleId="Encabezado">
    <w:name w:val="header"/>
    <w:basedOn w:val="Normal"/>
    <w:link w:val="EncabezadoCar"/>
    <w:uiPriority w:val="99"/>
    <w:semiHidden/>
    <w:unhideWhenUsed/>
    <w:rsid w:val="003E7820"/>
    <w:pPr>
      <w:tabs>
        <w:tab w:val="center" w:pos="4680"/>
        <w:tab w:val="right" w:pos="9360"/>
      </w:tabs>
      <w:spacing w:after="0" w:line="240" w:lineRule="auto"/>
    </w:pPr>
  </w:style>
  <w:style w:type="character" w:customStyle="1" w:styleId="EncabezadoCar">
    <w:name w:val="Encabezado Car"/>
    <w:basedOn w:val="Fuentedeprrafopredeter"/>
    <w:link w:val="Encabezado"/>
    <w:uiPriority w:val="99"/>
    <w:semiHidden/>
    <w:rsid w:val="003E7820"/>
    <w:rPr>
      <w:rFonts w:ascii="Calibri" w:eastAsia="Calibri" w:hAnsi="Calibri" w:cs="Times New Roman"/>
      <w:kern w:val="0"/>
      <w:lang w:val="en-US"/>
      <w14:ligatures w14:val="none"/>
    </w:rPr>
  </w:style>
  <w:style w:type="character" w:styleId="Nmerodepgina">
    <w:name w:val="page number"/>
    <w:basedOn w:val="Fuentedeprrafopredeter"/>
    <w:rsid w:val="003E7820"/>
  </w:style>
  <w:style w:type="paragraph" w:styleId="Sangra2detindependiente">
    <w:name w:val="Body Text Indent 2"/>
    <w:basedOn w:val="Normal"/>
    <w:link w:val="Sangra2detindependienteC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Sangra2detindependienteCar">
    <w:name w:val="Sangría 2 de t. independiente Car"/>
    <w:basedOn w:val="Fuentedeprrafopredeter"/>
    <w:link w:val="Sangra2detindependiente"/>
    <w:uiPriority w:val="99"/>
    <w:rsid w:val="003E7820"/>
    <w:rPr>
      <w:rFonts w:ascii="Times New Roman" w:eastAsia="MS Mincho" w:hAnsi="Times New Roman" w:cs="Times New Roman"/>
      <w:kern w:val="0"/>
      <w:sz w:val="20"/>
      <w:szCs w:val="20"/>
      <w:lang w:val="en-US"/>
      <w14:ligatures w14:val="none"/>
    </w:rPr>
  </w:style>
  <w:style w:type="character" w:styleId="Nmerodelnea">
    <w:name w:val="line number"/>
    <w:basedOn w:val="Fuentedeprrafopredeter"/>
    <w:uiPriority w:val="99"/>
    <w:semiHidden/>
    <w:unhideWhenUsed/>
    <w:rsid w:val="003E7820"/>
  </w:style>
  <w:style w:type="paragraph" w:styleId="NormalWeb">
    <w:name w:val="Normal (Web)"/>
    <w:basedOn w:val="Normal"/>
    <w:uiPriority w:val="99"/>
    <w:semiHidden/>
    <w:unhideWhenUsed/>
    <w:rsid w:val="00441D4D"/>
    <w:pPr>
      <w:spacing w:before="100" w:beforeAutospacing="1" w:after="100" w:afterAutospacing="1" w:line="240" w:lineRule="auto"/>
    </w:pPr>
    <w:rPr>
      <w:rFonts w:ascii="Times New Roman" w:eastAsia="Times New Roman" w:hAnsi="Times New Roman"/>
      <w:sz w:val="24"/>
      <w:szCs w:val="24"/>
    </w:rPr>
  </w:style>
  <w:style w:type="character" w:styleId="nfasis">
    <w:name w:val="Emphasis"/>
    <w:basedOn w:val="Fuentedeprrafopredeter"/>
    <w:uiPriority w:val="20"/>
    <w:qFormat/>
    <w:rsid w:val="00441D4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0583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831</Words>
  <Characters>4917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JEZER MULERO</dc:creator>
  <cp:keywords/>
  <dc:description/>
  <cp:lastModifiedBy>Rocío Alayón Morell</cp:lastModifiedBy>
  <cp:revision>3</cp:revision>
  <dcterms:created xsi:type="dcterms:W3CDTF">2025-01-13T19:24:00Z</dcterms:created>
  <dcterms:modified xsi:type="dcterms:W3CDTF">2025-01-13T19:56:00Z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ies>
</file>