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D252FE" w14:textId="77777777" w:rsidR="0049745A" w:rsidRPr="0049745A" w:rsidRDefault="0049745A" w:rsidP="0049745A">
      <w:pPr>
        <w:suppressLineNumbers/>
        <w:tabs>
          <w:tab w:val="center" w:pos="4680"/>
        </w:tabs>
        <w:spacing w:after="0" w:line="240" w:lineRule="auto"/>
        <w:jc w:val="center"/>
        <w:rPr>
          <w:rFonts w:ascii="Book Antiqua" w:eastAsia="Times New Roman" w:hAnsi="Book Antiqua"/>
          <w:b/>
          <w:bCs/>
          <w:sz w:val="24"/>
          <w:szCs w:val="24"/>
          <w:lang w:val="es-PR"/>
        </w:rPr>
      </w:pPr>
      <w:bookmarkStart w:id="0" w:name="_Hlk138253982"/>
      <w:r w:rsidRPr="0049745A">
        <w:rPr>
          <w:rFonts w:ascii="Book Antiqua" w:eastAsia="Times New Roman" w:hAnsi="Book Antiqua"/>
          <w:b/>
          <w:bCs/>
          <w:sz w:val="24"/>
          <w:szCs w:val="24"/>
          <w:lang w:val="es-PR"/>
        </w:rPr>
        <w:t>(TEXTO DE APROBACIÓN FINAL POR LA CÁMARA)</w:t>
      </w:r>
      <w:r w:rsidRPr="0049745A">
        <w:rPr>
          <w:rFonts w:ascii="Book Antiqua" w:eastAsia="Times New Roman" w:hAnsi="Book Antiqua"/>
          <w:b/>
          <w:bCs/>
          <w:sz w:val="24"/>
          <w:szCs w:val="24"/>
          <w:lang w:val="es-ES_tradnl"/>
        </w:rPr>
        <w:fldChar w:fldCharType="begin"/>
      </w:r>
      <w:r w:rsidRPr="0049745A">
        <w:rPr>
          <w:rFonts w:ascii="Book Antiqua" w:eastAsia="Times New Roman" w:hAnsi="Book Antiqua"/>
          <w:b/>
          <w:bCs/>
          <w:sz w:val="24"/>
          <w:szCs w:val="24"/>
          <w:lang w:val="es-PR"/>
        </w:rPr>
        <w:instrText xml:space="preserve">PRIVATE </w:instrText>
      </w:r>
      <w:r w:rsidRPr="0049745A">
        <w:rPr>
          <w:rFonts w:ascii="Book Antiqua" w:eastAsia="Times New Roman" w:hAnsi="Book Antiqua"/>
          <w:b/>
          <w:bCs/>
          <w:sz w:val="24"/>
          <w:szCs w:val="24"/>
          <w:lang w:val="es-ES_tradnl"/>
        </w:rPr>
        <w:fldChar w:fldCharType="end"/>
      </w:r>
    </w:p>
    <w:p w14:paraId="54C6BDDA" w14:textId="77777777" w:rsidR="0049745A" w:rsidRPr="0049745A" w:rsidRDefault="0049745A" w:rsidP="0049745A">
      <w:pPr>
        <w:suppressLineNumbers/>
        <w:tabs>
          <w:tab w:val="center" w:pos="4680"/>
        </w:tabs>
        <w:spacing w:after="0" w:line="240" w:lineRule="auto"/>
        <w:jc w:val="center"/>
        <w:rPr>
          <w:rFonts w:ascii="Book Antiqua" w:eastAsia="Times New Roman" w:hAnsi="Book Antiqua"/>
          <w:b/>
          <w:bCs/>
          <w:sz w:val="24"/>
          <w:szCs w:val="24"/>
          <w:lang w:val="es-PR"/>
        </w:rPr>
      </w:pPr>
      <w:r w:rsidRPr="0049745A">
        <w:rPr>
          <w:rFonts w:ascii="Book Antiqua" w:eastAsia="Times New Roman" w:hAnsi="Book Antiqua"/>
          <w:b/>
          <w:bCs/>
          <w:sz w:val="24"/>
          <w:szCs w:val="24"/>
          <w:lang w:val="es-PR"/>
        </w:rPr>
        <w:t>(31 DE MARZO DE 2025)</w:t>
      </w:r>
    </w:p>
    <w:p w14:paraId="676E3D64" w14:textId="77777777" w:rsidR="0049745A" w:rsidRPr="0049745A" w:rsidRDefault="0049745A" w:rsidP="0049745A">
      <w:pPr>
        <w:suppressLineNumbers/>
        <w:tabs>
          <w:tab w:val="center" w:pos="4680"/>
        </w:tabs>
        <w:spacing w:after="0" w:line="240" w:lineRule="auto"/>
        <w:jc w:val="center"/>
        <w:rPr>
          <w:rFonts w:ascii="Book Antiqua" w:eastAsia="Times New Roman" w:hAnsi="Book Antiqua"/>
          <w:b/>
          <w:bCs/>
          <w:sz w:val="24"/>
          <w:szCs w:val="24"/>
          <w:lang w:val="es-ES_tradnl"/>
        </w:rPr>
      </w:pPr>
      <w:r w:rsidRPr="0049745A">
        <w:rPr>
          <w:rFonts w:ascii="Times New Roman" w:eastAsia="Times New Roman" w:hAnsi="Times New Roman"/>
          <w:noProof/>
          <w:sz w:val="24"/>
          <w:szCs w:val="20"/>
        </w:rPr>
        <mc:AlternateContent>
          <mc:Choice Requires="wps">
            <w:drawing>
              <wp:anchor distT="0" distB="0" distL="114300" distR="114300" simplePos="0" relativeHeight="251659264" behindDoc="1" locked="0" layoutInCell="0" allowOverlap="1" wp14:anchorId="0B36266F" wp14:editId="376D2287">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90473C"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9D2B5DC" w14:textId="473D2560" w:rsidR="00C22BBE" w:rsidRPr="00C22BBE" w:rsidRDefault="00D41374" w:rsidP="00C22BBE">
      <w:pPr>
        <w:spacing w:after="0" w:line="240" w:lineRule="auto"/>
        <w:jc w:val="center"/>
        <w:rPr>
          <w:rFonts w:ascii="Book Antiqua" w:eastAsia="SimSun" w:hAnsi="Book Antiqua" w:cs="Arial"/>
          <w:b/>
          <w:bCs/>
          <w:sz w:val="24"/>
          <w:szCs w:val="24"/>
          <w:lang w:val="es-ES_tradnl"/>
        </w:rPr>
      </w:pPr>
      <w:r>
        <w:rPr>
          <w:rFonts w:ascii="Book Antiqua" w:eastAsia="Times New Roman" w:hAnsi="Book Antiqua"/>
          <w:sz w:val="28"/>
          <w:szCs w:val="28"/>
          <w:lang w:val="es-ES_tradnl"/>
        </w:rPr>
        <w:t>GOBIERNO</w:t>
      </w:r>
      <w:r w:rsidR="00C22BBE" w:rsidRPr="00C22BBE">
        <w:rPr>
          <w:rFonts w:ascii="Book Antiqua" w:eastAsia="Times New Roman" w:hAnsi="Book Antiqua"/>
          <w:sz w:val="28"/>
          <w:szCs w:val="28"/>
          <w:lang w:val="es-ES_tradnl"/>
        </w:rPr>
        <w:t xml:space="preserve"> DE PUERTO RICO</w:t>
      </w:r>
    </w:p>
    <w:p w14:paraId="7397735D" w14:textId="77777777" w:rsidR="00C22BBE" w:rsidRPr="00612BCE" w:rsidRDefault="00C22BBE" w:rsidP="00C22BBE">
      <w:pPr>
        <w:spacing w:after="0" w:line="240" w:lineRule="auto"/>
        <w:jc w:val="center"/>
        <w:rPr>
          <w:rFonts w:ascii="Book Antiqua" w:eastAsia="Times New Roman" w:hAnsi="Book Antiqua"/>
          <w:color w:val="0D0D0D"/>
          <w:sz w:val="24"/>
          <w:szCs w:val="24"/>
          <w:lang w:val="es-ES_tradnl"/>
        </w:rPr>
      </w:pPr>
    </w:p>
    <w:p w14:paraId="1431AAB4"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20ma. Asamblea                                                                                                      1ra. Sesión</w:t>
      </w:r>
    </w:p>
    <w:p w14:paraId="506E6EDE"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 xml:space="preserve">           Legislativa                                                                                                  </w:t>
      </w:r>
      <w:r w:rsidRPr="00C22BBE">
        <w:rPr>
          <w:rFonts w:ascii="Book Antiqua" w:eastAsia="Times New Roman" w:hAnsi="Book Antiqua"/>
          <w:color w:val="0D0D0D"/>
          <w:sz w:val="24"/>
          <w:szCs w:val="24"/>
          <w:lang w:val="es-ES_tradnl"/>
        </w:rPr>
        <w:tab/>
        <w:t xml:space="preserve">      Ordinaria</w:t>
      </w:r>
    </w:p>
    <w:p w14:paraId="37A00C52" w14:textId="77777777" w:rsidR="00C22BBE" w:rsidRPr="00C22BBE" w:rsidRDefault="00C22BBE" w:rsidP="00C22BBE">
      <w:pPr>
        <w:spacing w:after="0" w:line="240" w:lineRule="auto"/>
        <w:rPr>
          <w:rFonts w:ascii="Book Antiqua" w:eastAsia="Times New Roman" w:hAnsi="Book Antiqua"/>
          <w:color w:val="0D0D0D"/>
          <w:sz w:val="24"/>
          <w:szCs w:val="24"/>
          <w:lang w:val="es-ES_tradnl"/>
        </w:rPr>
      </w:pPr>
    </w:p>
    <w:p w14:paraId="12057F2F" w14:textId="77777777" w:rsidR="00C22BBE" w:rsidRPr="00C22BBE" w:rsidRDefault="00C22BBE" w:rsidP="00C22BBE">
      <w:pPr>
        <w:keepNext/>
        <w:spacing w:after="0" w:line="240" w:lineRule="auto"/>
        <w:jc w:val="center"/>
        <w:outlineLvl w:val="0"/>
        <w:rPr>
          <w:rFonts w:ascii="Book Antiqua" w:eastAsia="Times New Roman" w:hAnsi="Book Antiqua"/>
          <w:b/>
          <w:bCs/>
          <w:iCs/>
          <w:color w:val="0D0D0D"/>
          <w:sz w:val="36"/>
          <w:szCs w:val="36"/>
          <w:lang w:val="es-ES_tradnl"/>
        </w:rPr>
      </w:pPr>
      <w:r w:rsidRPr="00C22BBE">
        <w:rPr>
          <w:rFonts w:ascii="Book Antiqua" w:eastAsia="Times New Roman" w:hAnsi="Book Antiqua"/>
          <w:b/>
          <w:bCs/>
          <w:iCs/>
          <w:color w:val="0D0D0D"/>
          <w:sz w:val="36"/>
          <w:szCs w:val="36"/>
          <w:lang w:val="es-ES_tradnl"/>
        </w:rPr>
        <w:t>CÁMARA DE REPRESENTANTES</w:t>
      </w:r>
    </w:p>
    <w:p w14:paraId="77ECD5EF"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53D823F0" w14:textId="768F4AC4" w:rsidR="00C22BBE" w:rsidRPr="00C22BBE" w:rsidRDefault="00C22BBE" w:rsidP="00C22BBE">
      <w:pPr>
        <w:spacing w:after="0" w:line="240" w:lineRule="auto"/>
        <w:jc w:val="center"/>
        <w:rPr>
          <w:rFonts w:ascii="Book Antiqua" w:eastAsia="Times New Roman" w:hAnsi="Book Antiqua"/>
          <w:b/>
          <w:bCs/>
          <w:color w:val="0D0D0D"/>
          <w:sz w:val="52"/>
          <w:szCs w:val="52"/>
          <w:lang w:val="es-ES_tradnl"/>
        </w:rPr>
      </w:pPr>
      <w:r w:rsidRPr="00C22BBE">
        <w:rPr>
          <w:rFonts w:ascii="Book Antiqua" w:eastAsia="Times New Roman" w:hAnsi="Book Antiqua"/>
          <w:b/>
          <w:bCs/>
          <w:color w:val="0D0D0D"/>
          <w:sz w:val="52"/>
          <w:szCs w:val="52"/>
          <w:lang w:val="es-ES_tradnl"/>
        </w:rPr>
        <w:t xml:space="preserve">R. de la C. </w:t>
      </w:r>
      <w:r w:rsidR="00C46478">
        <w:rPr>
          <w:rFonts w:ascii="Book Antiqua" w:eastAsia="Times New Roman" w:hAnsi="Book Antiqua"/>
          <w:b/>
          <w:bCs/>
          <w:color w:val="0D0D0D"/>
          <w:sz w:val="52"/>
          <w:szCs w:val="52"/>
          <w:lang w:val="es-ES_tradnl"/>
        </w:rPr>
        <w:t>52</w:t>
      </w:r>
    </w:p>
    <w:p w14:paraId="25E7A09B" w14:textId="77777777" w:rsidR="00C22BBE" w:rsidRPr="00C22BBE" w:rsidRDefault="00C22BBE" w:rsidP="00C22BBE">
      <w:pPr>
        <w:spacing w:after="0" w:line="240" w:lineRule="auto"/>
        <w:jc w:val="center"/>
        <w:rPr>
          <w:rFonts w:ascii="Book Antiqua" w:eastAsia="Times New Roman" w:hAnsi="Book Antiqua"/>
          <w:bCs/>
          <w:color w:val="0D0D0D"/>
          <w:sz w:val="24"/>
          <w:szCs w:val="20"/>
          <w:lang w:val="es-ES_tradnl"/>
        </w:rPr>
      </w:pPr>
    </w:p>
    <w:p w14:paraId="42091BCC" w14:textId="54DA8AF8"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r w:rsidRPr="00C22BBE">
        <w:rPr>
          <w:rFonts w:ascii="Book Antiqua" w:eastAsia="Times New Roman" w:hAnsi="Book Antiqua"/>
          <w:caps/>
          <w:color w:val="0D0D0D"/>
          <w:sz w:val="24"/>
          <w:szCs w:val="20"/>
          <w:lang w:val="es-ES_tradnl"/>
        </w:rPr>
        <w:t xml:space="preserve">  </w:t>
      </w:r>
      <w:r w:rsidR="00C46478">
        <w:rPr>
          <w:rFonts w:ascii="Book Antiqua" w:eastAsia="Times New Roman" w:hAnsi="Book Antiqua"/>
          <w:caps/>
          <w:color w:val="0D0D0D"/>
          <w:sz w:val="24"/>
          <w:szCs w:val="20"/>
          <w:lang w:val="es-ES_tradnl"/>
        </w:rPr>
        <w:t xml:space="preserve">13 </w:t>
      </w:r>
      <w:r w:rsidRPr="00C22BBE">
        <w:rPr>
          <w:rFonts w:ascii="Book Antiqua" w:eastAsia="Times New Roman" w:hAnsi="Book Antiqua"/>
          <w:caps/>
          <w:color w:val="0D0D0D"/>
          <w:sz w:val="24"/>
          <w:szCs w:val="20"/>
          <w:lang w:val="es-ES_tradnl"/>
        </w:rPr>
        <w:t>de enero de 2025</w:t>
      </w:r>
    </w:p>
    <w:p w14:paraId="727C3181" w14:textId="77777777" w:rsidR="00C22BBE" w:rsidRPr="00C22BBE" w:rsidRDefault="00C22BBE" w:rsidP="00C22BBE">
      <w:pPr>
        <w:spacing w:after="0" w:line="240" w:lineRule="auto"/>
        <w:jc w:val="center"/>
        <w:rPr>
          <w:rFonts w:ascii="Book Antiqua" w:eastAsia="Times New Roman" w:hAnsi="Book Antiqua"/>
          <w:caps/>
          <w:color w:val="0D0D0D"/>
          <w:sz w:val="24"/>
          <w:szCs w:val="20"/>
          <w:lang w:val="es-ES_tradnl"/>
        </w:rPr>
      </w:pPr>
    </w:p>
    <w:p w14:paraId="21841E3F" w14:textId="37E854D4"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r w:rsidRPr="00C22BBE">
        <w:rPr>
          <w:rFonts w:ascii="Book Antiqua" w:eastAsia="Times New Roman" w:hAnsi="Book Antiqua"/>
          <w:color w:val="0D0D0D"/>
          <w:sz w:val="24"/>
          <w:szCs w:val="20"/>
          <w:lang w:val="es-ES_tradnl"/>
        </w:rPr>
        <w:t>Presentad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por el </w:t>
      </w:r>
      <w:r w:rsidR="00D41374">
        <w:rPr>
          <w:rFonts w:ascii="Book Antiqua" w:eastAsia="Times New Roman" w:hAnsi="Book Antiqua"/>
          <w:color w:val="0D0D0D"/>
          <w:sz w:val="24"/>
          <w:szCs w:val="20"/>
          <w:lang w:val="es-ES_tradnl"/>
        </w:rPr>
        <w:t>representante</w:t>
      </w:r>
      <w:r w:rsidRPr="00C22BBE">
        <w:rPr>
          <w:rFonts w:ascii="Book Antiqua" w:eastAsia="Times New Roman" w:hAnsi="Book Antiqua"/>
          <w:color w:val="0D0D0D"/>
          <w:sz w:val="24"/>
          <w:szCs w:val="20"/>
          <w:lang w:val="es-ES_tradnl"/>
        </w:rPr>
        <w:t xml:space="preserve"> </w:t>
      </w:r>
      <w:r w:rsidRPr="00C22BBE">
        <w:rPr>
          <w:rFonts w:ascii="Book Antiqua" w:eastAsia="Times New Roman" w:hAnsi="Book Antiqua"/>
          <w:i/>
          <w:iCs/>
          <w:color w:val="0D0D0D"/>
          <w:sz w:val="24"/>
          <w:szCs w:val="20"/>
          <w:lang w:val="es-ES_tradnl"/>
        </w:rPr>
        <w:t xml:space="preserve">Pérez Ortiz </w:t>
      </w:r>
    </w:p>
    <w:p w14:paraId="64891E71" w14:textId="77777777" w:rsidR="00C22BBE" w:rsidRPr="00C22BBE" w:rsidRDefault="00C22BBE" w:rsidP="00C22BBE">
      <w:pPr>
        <w:spacing w:after="0" w:line="240" w:lineRule="auto"/>
        <w:jc w:val="center"/>
        <w:rPr>
          <w:rFonts w:ascii="Book Antiqua" w:eastAsia="Times New Roman" w:hAnsi="Book Antiqua"/>
          <w:i/>
          <w:iCs/>
          <w:color w:val="0D0D0D"/>
          <w:sz w:val="24"/>
          <w:szCs w:val="20"/>
          <w:lang w:val="es-ES_tradnl"/>
        </w:rPr>
      </w:pPr>
    </w:p>
    <w:p w14:paraId="7B61C0CB" w14:textId="2F56937A"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r w:rsidRPr="00C22BBE">
        <w:rPr>
          <w:rFonts w:ascii="Book Antiqua" w:eastAsia="Times New Roman" w:hAnsi="Book Antiqua"/>
          <w:color w:val="0D0D0D"/>
          <w:sz w:val="24"/>
          <w:szCs w:val="20"/>
          <w:lang w:val="es-ES_tradnl"/>
        </w:rPr>
        <w:t>Referid</w:t>
      </w:r>
      <w:r w:rsidR="00A27D28">
        <w:rPr>
          <w:rFonts w:ascii="Book Antiqua" w:eastAsia="Times New Roman" w:hAnsi="Book Antiqua"/>
          <w:color w:val="0D0D0D"/>
          <w:sz w:val="24"/>
          <w:szCs w:val="20"/>
          <w:lang w:val="es-ES_tradnl"/>
        </w:rPr>
        <w:t>a</w:t>
      </w:r>
      <w:r w:rsidRPr="00C22BBE">
        <w:rPr>
          <w:rFonts w:ascii="Book Antiqua" w:eastAsia="Times New Roman" w:hAnsi="Book Antiqua"/>
          <w:color w:val="0D0D0D"/>
          <w:sz w:val="24"/>
          <w:szCs w:val="20"/>
          <w:lang w:val="es-ES_tradnl"/>
        </w:rPr>
        <w:t xml:space="preserve"> a la Comisión de Asuntos Internos</w:t>
      </w:r>
    </w:p>
    <w:p w14:paraId="702E3397" w14:textId="77777777" w:rsidR="00C22BBE" w:rsidRPr="00C22BBE" w:rsidRDefault="00C22BBE" w:rsidP="00C22BBE">
      <w:pPr>
        <w:spacing w:after="0" w:line="240" w:lineRule="auto"/>
        <w:jc w:val="center"/>
        <w:rPr>
          <w:rFonts w:ascii="Book Antiqua" w:eastAsia="Times New Roman" w:hAnsi="Book Antiqua"/>
          <w:color w:val="0D0D0D"/>
          <w:sz w:val="24"/>
          <w:szCs w:val="20"/>
          <w:lang w:val="es-ES_tradnl"/>
        </w:rPr>
      </w:pPr>
    </w:p>
    <w:p w14:paraId="377E0DD5" w14:textId="77777777" w:rsidR="00C22BBE" w:rsidRPr="00C22BBE" w:rsidRDefault="00C22BBE" w:rsidP="00C22BBE">
      <w:pPr>
        <w:spacing w:after="0" w:line="240" w:lineRule="auto"/>
        <w:jc w:val="center"/>
        <w:rPr>
          <w:rFonts w:ascii="Book Antiqua" w:eastAsia="Times New Roman" w:hAnsi="Book Antiqua"/>
          <w:b/>
          <w:color w:val="0D0D0D"/>
          <w:sz w:val="28"/>
          <w:szCs w:val="28"/>
          <w:lang w:val="es-ES_tradnl"/>
        </w:rPr>
      </w:pPr>
      <w:r w:rsidRPr="00C22BBE">
        <w:rPr>
          <w:rFonts w:ascii="Book Antiqua" w:eastAsia="Times New Roman" w:hAnsi="Book Antiqua"/>
          <w:b/>
          <w:color w:val="0D0D0D"/>
          <w:sz w:val="28"/>
          <w:szCs w:val="28"/>
          <w:lang w:val="es-ES_tradnl"/>
        </w:rPr>
        <w:t>RESOLUCIÓN</w:t>
      </w:r>
    </w:p>
    <w:p w14:paraId="79E58675" w14:textId="77777777" w:rsidR="00C22BBE" w:rsidRPr="00C22BBE" w:rsidRDefault="00C22BBE" w:rsidP="00C22BBE">
      <w:pPr>
        <w:spacing w:after="0" w:line="240" w:lineRule="auto"/>
        <w:jc w:val="center"/>
        <w:rPr>
          <w:rFonts w:ascii="Book Antiqua" w:eastAsia="Times New Roman" w:hAnsi="Book Antiqua"/>
          <w:b/>
          <w:color w:val="0D0D0D"/>
          <w:sz w:val="24"/>
          <w:szCs w:val="24"/>
          <w:lang w:val="es-ES_tradnl"/>
        </w:rPr>
      </w:pPr>
    </w:p>
    <w:p w14:paraId="75642DC9" w14:textId="0F4585E3" w:rsidR="00C22BBE" w:rsidRPr="00612BCE" w:rsidRDefault="00C22BBE" w:rsidP="00D41374">
      <w:pPr>
        <w:widowControl w:val="0"/>
        <w:overflowPunct w:val="0"/>
        <w:autoSpaceDE w:val="0"/>
        <w:autoSpaceDN w:val="0"/>
        <w:adjustRightInd w:val="0"/>
        <w:spacing w:after="0" w:line="240" w:lineRule="auto"/>
        <w:ind w:left="720" w:hanging="720"/>
        <w:jc w:val="both"/>
        <w:rPr>
          <w:rFonts w:ascii="Book Antiqua" w:eastAsia="Times New Roman" w:hAnsi="Book Antiqua" w:cs="AngsanaUPC"/>
          <w:color w:val="0D0D0D"/>
          <w:sz w:val="24"/>
          <w:szCs w:val="24"/>
          <w:lang w:val="es-ES_tradnl"/>
        </w:rPr>
      </w:pPr>
      <w:bookmarkStart w:id="1" w:name="_Hlk119394139"/>
      <w:bookmarkStart w:id="2" w:name="_Hlk118986562"/>
      <w:r w:rsidRPr="00C22BBE">
        <w:rPr>
          <w:rFonts w:ascii="Book Antiqua" w:eastAsia="Times New Roman" w:hAnsi="Book Antiqua" w:cs="AngsanaUPC"/>
          <w:color w:val="0D0D0D"/>
          <w:sz w:val="24"/>
          <w:szCs w:val="24"/>
          <w:lang w:val="es-ES_tradnl"/>
        </w:rPr>
        <w:t xml:space="preserve">Para ordenar a </w:t>
      </w:r>
      <w:bookmarkStart w:id="3" w:name="_Hlk175553536"/>
      <w:r w:rsidRPr="00C22BBE">
        <w:rPr>
          <w:rFonts w:ascii="Book Antiqua" w:eastAsia="Times New Roman" w:hAnsi="Book Antiqua" w:cs="AngsanaUPC"/>
          <w:color w:val="0D0D0D"/>
          <w:sz w:val="24"/>
          <w:szCs w:val="24"/>
          <w:lang w:val="es-ES_tradnl"/>
        </w:rPr>
        <w:t xml:space="preserve">la Comisión de </w:t>
      </w:r>
      <w:bookmarkStart w:id="4" w:name="_Hlk117676723"/>
      <w:r w:rsidRPr="00C22BBE">
        <w:rPr>
          <w:rFonts w:ascii="Book Antiqua" w:eastAsia="Times New Roman" w:hAnsi="Book Antiqua" w:cs="AngsanaUPC"/>
          <w:color w:val="0D0D0D"/>
          <w:sz w:val="24"/>
          <w:szCs w:val="24"/>
          <w:lang w:val="es-ES_tradnl"/>
        </w:rPr>
        <w:t>Salud</w:t>
      </w:r>
      <w:r w:rsidR="00774512">
        <w:rPr>
          <w:rFonts w:ascii="Book Antiqua" w:eastAsia="Times New Roman" w:hAnsi="Book Antiqua" w:cs="AngsanaUPC"/>
          <w:color w:val="0D0D0D"/>
          <w:sz w:val="24"/>
          <w:szCs w:val="24"/>
          <w:lang w:val="es-ES_tradnl"/>
        </w:rPr>
        <w:t xml:space="preserve"> </w:t>
      </w:r>
      <w:r w:rsidR="00774512" w:rsidRPr="00612BCE">
        <w:rPr>
          <w:rFonts w:ascii="Book Antiqua" w:eastAsia="Times New Roman" w:hAnsi="Book Antiqua" w:cs="AngsanaUPC"/>
          <w:color w:val="0D0D0D"/>
          <w:sz w:val="24"/>
          <w:szCs w:val="24"/>
          <w:lang w:val="es-ES_tradnl"/>
        </w:rPr>
        <w:t>de</w:t>
      </w:r>
      <w:r w:rsidRPr="00C22BBE">
        <w:rPr>
          <w:rFonts w:ascii="Book Antiqua" w:eastAsia="Times New Roman" w:hAnsi="Book Antiqua" w:cs="AngsanaUPC"/>
          <w:color w:val="0D0D0D"/>
          <w:sz w:val="24"/>
          <w:szCs w:val="24"/>
          <w:lang w:val="es-ES_tradnl"/>
        </w:rPr>
        <w:t xml:space="preserve"> la Cámara de Representantes </w:t>
      </w:r>
      <w:r w:rsidRPr="00612BCE">
        <w:rPr>
          <w:rFonts w:ascii="Book Antiqua" w:eastAsia="Times New Roman" w:hAnsi="Book Antiqua" w:cs="AngsanaUPC"/>
          <w:color w:val="0D0D0D"/>
          <w:sz w:val="24"/>
          <w:szCs w:val="24"/>
          <w:lang w:val="es-ES_tradnl"/>
        </w:rPr>
        <w:t>de Puerto Rico</w:t>
      </w:r>
      <w:bookmarkEnd w:id="4"/>
      <w:r w:rsidRPr="00612BCE">
        <w:rPr>
          <w:rFonts w:ascii="Book Antiqua" w:eastAsia="Times New Roman" w:hAnsi="Book Antiqua" w:cs="AngsanaUPC"/>
          <w:color w:val="0D0D0D"/>
          <w:sz w:val="24"/>
          <w:szCs w:val="24"/>
          <w:lang w:val="es-ES_tradnl"/>
        </w:rPr>
        <w:t xml:space="preserve">, </w:t>
      </w:r>
      <w:bookmarkStart w:id="5" w:name="_Hlk117676752"/>
      <w:r w:rsidRPr="00612BCE">
        <w:rPr>
          <w:rFonts w:ascii="Book Antiqua" w:eastAsia="Times New Roman" w:hAnsi="Book Antiqua" w:cs="AngsanaUPC"/>
          <w:color w:val="0D0D0D"/>
          <w:sz w:val="24"/>
          <w:szCs w:val="24"/>
          <w:lang w:val="es-ES_tradnl"/>
        </w:rPr>
        <w:t xml:space="preserve">realizar una investigación exhaustiva en </w:t>
      </w:r>
      <w:r w:rsidR="00774512" w:rsidRPr="00612BCE">
        <w:rPr>
          <w:rFonts w:ascii="Book Antiqua" w:eastAsia="Times New Roman" w:hAnsi="Book Antiqua" w:cs="AngsanaUPC"/>
          <w:color w:val="0D0D0D"/>
          <w:sz w:val="24"/>
          <w:szCs w:val="24"/>
          <w:lang w:val="es-ES_tradnl"/>
        </w:rPr>
        <w:t xml:space="preserve">torno al </w:t>
      </w:r>
      <w:r w:rsidRPr="00612BCE">
        <w:rPr>
          <w:rFonts w:ascii="Book Antiqua" w:eastAsia="Times New Roman" w:hAnsi="Book Antiqua" w:cs="AngsanaUPC"/>
          <w:color w:val="0D0D0D"/>
          <w:sz w:val="24"/>
          <w:szCs w:val="24"/>
          <w:lang w:val="es-ES_tradnl"/>
        </w:rPr>
        <w:t xml:space="preserve">uso y distribución de Tetrahidrocannabinol (Delta-9 THC) en cumplimiento con la Ley 42-2017, según enmendada, conocida como </w:t>
      </w:r>
      <w:r w:rsidR="003D68CC">
        <w:rPr>
          <w:rFonts w:ascii="Book Antiqua" w:eastAsia="Times New Roman" w:hAnsi="Book Antiqua" w:cs="AngsanaUPC"/>
          <w:color w:val="0D0D0D"/>
          <w:sz w:val="24"/>
          <w:szCs w:val="24"/>
          <w:lang w:val="es-ES_tradnl"/>
        </w:rPr>
        <w:t>“</w:t>
      </w:r>
      <w:r w:rsidRPr="00612BCE">
        <w:rPr>
          <w:rFonts w:ascii="Book Antiqua" w:eastAsia="Times New Roman" w:hAnsi="Book Antiqua" w:cs="AngsanaUPC"/>
          <w:color w:val="0D0D0D"/>
          <w:sz w:val="24"/>
          <w:szCs w:val="24"/>
          <w:lang w:val="es-ES_tradnl"/>
        </w:rPr>
        <w:t>Ley para Manejar el Estudio, Desarrollo e Investigación del Cannabis para la Innovación, Normas Aplicables y Límites (</w:t>
      </w:r>
      <w:r w:rsidR="003D68CC">
        <w:rPr>
          <w:rFonts w:ascii="Book Antiqua" w:eastAsia="Times New Roman" w:hAnsi="Book Antiqua" w:cs="AngsanaUPC"/>
          <w:color w:val="0D0D0D"/>
          <w:sz w:val="24"/>
          <w:szCs w:val="24"/>
          <w:lang w:val="es-ES_tradnl"/>
        </w:rPr>
        <w:t>“</w:t>
      </w:r>
      <w:r w:rsidRPr="00612BCE">
        <w:rPr>
          <w:rFonts w:ascii="Book Antiqua" w:eastAsia="Times New Roman" w:hAnsi="Book Antiqua" w:cs="AngsanaUPC"/>
          <w:color w:val="0D0D0D"/>
          <w:sz w:val="24"/>
          <w:szCs w:val="24"/>
          <w:lang w:val="es-ES_tradnl"/>
        </w:rPr>
        <w:t>Ley MEDICINAL</w:t>
      </w:r>
      <w:r w:rsidR="003D68CC">
        <w:rPr>
          <w:rFonts w:ascii="Book Antiqua" w:eastAsia="Times New Roman" w:hAnsi="Book Antiqua" w:cs="AngsanaUPC"/>
          <w:color w:val="0D0D0D"/>
          <w:sz w:val="24"/>
          <w:szCs w:val="24"/>
          <w:lang w:val="es-ES_tradnl"/>
        </w:rPr>
        <w:t>”</w:t>
      </w:r>
      <w:r w:rsidRPr="00612BCE">
        <w:rPr>
          <w:rFonts w:ascii="Book Antiqua" w:eastAsia="Times New Roman" w:hAnsi="Book Antiqua" w:cs="AngsanaUPC"/>
          <w:color w:val="0D0D0D"/>
          <w:sz w:val="24"/>
          <w:szCs w:val="24"/>
          <w:lang w:val="es-ES_tradnl"/>
        </w:rPr>
        <w:t>)</w:t>
      </w:r>
      <w:r w:rsidR="003D68CC">
        <w:rPr>
          <w:rFonts w:ascii="Book Antiqua" w:eastAsia="Times New Roman" w:hAnsi="Book Antiqua" w:cs="AngsanaUPC"/>
          <w:color w:val="0D0D0D"/>
          <w:sz w:val="24"/>
          <w:szCs w:val="24"/>
          <w:lang w:val="es-ES_tradnl"/>
        </w:rPr>
        <w:t>”</w:t>
      </w:r>
      <w:r w:rsidRPr="00612BCE">
        <w:rPr>
          <w:rFonts w:ascii="Book Antiqua" w:eastAsia="Times New Roman" w:hAnsi="Book Antiqua" w:cs="AngsanaUPC"/>
          <w:color w:val="0D0D0D"/>
          <w:sz w:val="24"/>
          <w:szCs w:val="24"/>
          <w:lang w:val="es-ES_tradnl"/>
        </w:rPr>
        <w:t xml:space="preserve">; </w:t>
      </w:r>
      <w:r w:rsidR="00F23242" w:rsidRPr="00612BCE">
        <w:rPr>
          <w:rFonts w:ascii="Book Antiqua" w:eastAsia="Times New Roman" w:hAnsi="Book Antiqua" w:cs="AngsanaUPC"/>
          <w:color w:val="0D0D0D"/>
          <w:sz w:val="24"/>
          <w:szCs w:val="24"/>
          <w:lang w:val="es-ES_tradnl"/>
        </w:rPr>
        <w:t xml:space="preserve"> identificar los </w:t>
      </w:r>
      <w:r w:rsidRPr="00612BCE">
        <w:rPr>
          <w:rFonts w:ascii="Book Antiqua" w:eastAsia="Times New Roman" w:hAnsi="Book Antiqua" w:cs="AngsanaUPC"/>
          <w:color w:val="0D0D0D"/>
          <w:sz w:val="24"/>
          <w:szCs w:val="24"/>
          <w:lang w:val="es-ES_tradnl"/>
        </w:rPr>
        <w:t>efectos de su uso en los jóvenes y adultos</w:t>
      </w:r>
      <w:bookmarkEnd w:id="3"/>
      <w:r w:rsidRPr="00612BCE">
        <w:rPr>
          <w:rFonts w:ascii="Book Antiqua" w:eastAsia="Times New Roman" w:hAnsi="Book Antiqua" w:cs="AngsanaUPC"/>
          <w:color w:val="0D0D0D"/>
          <w:sz w:val="24"/>
          <w:szCs w:val="24"/>
          <w:lang w:val="es-ES_tradnl"/>
        </w:rPr>
        <w:t>; y para otros fines relacionados.</w:t>
      </w:r>
    </w:p>
    <w:bookmarkEnd w:id="1"/>
    <w:bookmarkEnd w:id="2"/>
    <w:bookmarkEnd w:id="5"/>
    <w:p w14:paraId="1F3D7ED1" w14:textId="77777777" w:rsidR="00C22BBE" w:rsidRPr="00C22BBE" w:rsidRDefault="00C22BBE" w:rsidP="00D41374">
      <w:pPr>
        <w:spacing w:after="0" w:line="240" w:lineRule="auto"/>
        <w:rPr>
          <w:rFonts w:ascii="Book Antiqua" w:eastAsia="Times New Roman" w:hAnsi="Book Antiqua"/>
          <w:color w:val="0D0D0D"/>
          <w:sz w:val="24"/>
          <w:szCs w:val="24"/>
          <w:lang w:val="es-ES_tradnl"/>
        </w:rPr>
      </w:pPr>
    </w:p>
    <w:p w14:paraId="1536E913" w14:textId="77777777" w:rsidR="00C22BBE" w:rsidRPr="00C22BBE" w:rsidRDefault="00C22BBE" w:rsidP="00D41374">
      <w:pPr>
        <w:spacing w:after="0" w:line="240" w:lineRule="auto"/>
        <w:jc w:val="center"/>
        <w:rPr>
          <w:rFonts w:ascii="Book Antiqua" w:eastAsia="Times New Roman" w:hAnsi="Book Antiqua"/>
          <w:color w:val="0D0D0D"/>
          <w:sz w:val="24"/>
          <w:szCs w:val="24"/>
          <w:lang w:val="es-ES_tradnl"/>
        </w:rPr>
      </w:pPr>
      <w:r w:rsidRPr="00C22BBE">
        <w:rPr>
          <w:rFonts w:ascii="Book Antiqua" w:eastAsia="Times New Roman" w:hAnsi="Book Antiqua"/>
          <w:color w:val="0D0D0D"/>
          <w:sz w:val="24"/>
          <w:szCs w:val="24"/>
          <w:lang w:val="es-ES_tradnl"/>
        </w:rPr>
        <w:t>EXPOSICIÓN DE MOTIVOS</w:t>
      </w:r>
    </w:p>
    <w:p w14:paraId="76984CE0" w14:textId="77777777" w:rsidR="00C22BBE" w:rsidRPr="00C22BBE" w:rsidRDefault="00C22BBE" w:rsidP="00D41374">
      <w:pPr>
        <w:spacing w:after="0" w:line="240" w:lineRule="auto"/>
        <w:jc w:val="center"/>
        <w:rPr>
          <w:rFonts w:ascii="Book Antiqua" w:eastAsia="Times New Roman" w:hAnsi="Book Antiqua"/>
          <w:color w:val="0D0D0D"/>
          <w:sz w:val="24"/>
          <w:szCs w:val="24"/>
          <w:lang w:val="es-ES_tradnl"/>
        </w:rPr>
      </w:pPr>
    </w:p>
    <w:p w14:paraId="4BCA1872" w14:textId="697F2EFA"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r w:rsidRPr="00612BCE">
        <w:rPr>
          <w:rFonts w:ascii="Book Antiqua" w:eastAsia="Times New Roman" w:hAnsi="Book Antiqua" w:cs="AngsanaUPC"/>
          <w:color w:val="0D0D0D"/>
          <w:sz w:val="24"/>
          <w:szCs w:val="24"/>
          <w:lang w:val="es-ES_tradnl"/>
        </w:rPr>
        <w:t xml:space="preserve">La </w:t>
      </w:r>
      <w:r w:rsidR="003D68CC">
        <w:rPr>
          <w:rFonts w:ascii="Book Antiqua" w:eastAsia="Times New Roman" w:hAnsi="Book Antiqua" w:cs="AngsanaUPC"/>
          <w:color w:val="0D0D0D"/>
          <w:sz w:val="24"/>
          <w:szCs w:val="24"/>
          <w:lang w:val="es-ES_tradnl"/>
        </w:rPr>
        <w:t>“</w:t>
      </w:r>
      <w:r w:rsidRPr="00612BCE">
        <w:rPr>
          <w:rFonts w:ascii="Book Antiqua" w:eastAsia="Times New Roman" w:hAnsi="Book Antiqua" w:cs="AngsanaUPC"/>
          <w:color w:val="0D0D0D"/>
          <w:sz w:val="24"/>
          <w:szCs w:val="24"/>
          <w:lang w:val="es-ES_tradnl"/>
        </w:rPr>
        <w:t>Ley para Manejar el Estudio, Desarrollo e Investigación del Cannabis para la Innovación, Normas Aplicables y Límites (</w:t>
      </w:r>
      <w:r w:rsidR="003D68CC">
        <w:rPr>
          <w:rFonts w:ascii="Book Antiqua" w:eastAsia="Times New Roman" w:hAnsi="Book Antiqua" w:cs="AngsanaUPC"/>
          <w:color w:val="0D0D0D"/>
          <w:sz w:val="24"/>
          <w:szCs w:val="24"/>
          <w:lang w:val="es-ES_tradnl"/>
        </w:rPr>
        <w:t>“</w:t>
      </w:r>
      <w:r w:rsidRPr="00612BCE">
        <w:rPr>
          <w:rFonts w:ascii="Book Antiqua" w:eastAsia="Times New Roman" w:hAnsi="Book Antiqua" w:cs="AngsanaUPC"/>
          <w:color w:val="0D0D0D"/>
          <w:sz w:val="24"/>
          <w:szCs w:val="24"/>
          <w:lang w:val="es-ES_tradnl"/>
        </w:rPr>
        <w:t>Ley MEDICINAL</w:t>
      </w:r>
      <w:r w:rsidR="003D68CC">
        <w:rPr>
          <w:rFonts w:ascii="Book Antiqua" w:eastAsia="Times New Roman" w:hAnsi="Book Antiqua" w:cs="AngsanaUPC"/>
          <w:color w:val="0D0D0D"/>
          <w:sz w:val="24"/>
          <w:szCs w:val="24"/>
          <w:lang w:val="es-ES_tradnl"/>
        </w:rPr>
        <w:t>”</w:t>
      </w:r>
      <w:r w:rsidRPr="00612BCE">
        <w:rPr>
          <w:rFonts w:ascii="Book Antiqua" w:eastAsia="Times New Roman" w:hAnsi="Book Antiqua" w:cs="AngsanaUPC"/>
          <w:color w:val="0D0D0D"/>
          <w:sz w:val="24"/>
          <w:szCs w:val="24"/>
          <w:lang w:val="es-ES_tradnl"/>
        </w:rPr>
        <w:t>)</w:t>
      </w:r>
      <w:r w:rsidR="003D68CC">
        <w:rPr>
          <w:rFonts w:ascii="Book Antiqua" w:eastAsia="Times New Roman" w:hAnsi="Book Antiqua" w:cs="AngsanaUPC"/>
          <w:color w:val="0D0D0D"/>
          <w:sz w:val="24"/>
          <w:szCs w:val="24"/>
          <w:lang w:val="es-ES_tradnl"/>
        </w:rPr>
        <w:t>”</w:t>
      </w:r>
      <w:r w:rsidRPr="00612BCE">
        <w:rPr>
          <w:rFonts w:ascii="Book Antiqua" w:eastAsia="Times New Roman" w:hAnsi="Book Antiqua" w:cs="AngsanaUPC"/>
          <w:color w:val="0D0D0D"/>
          <w:sz w:val="24"/>
          <w:szCs w:val="24"/>
          <w:lang w:val="es-ES_tradnl"/>
        </w:rPr>
        <w:t xml:space="preserve">, Ley Núm. 42 de 9 de julio de 2017, según enmendada, fue promulgada con el objetivo de establecer un marco regulatorio que permita el uso del cannabis medicinal en Puerto Rico. Esta ley reafirma la prohibición del uso recreacional del cannabis, mientras que fomenta su uso en el ámbito medicinal y científico bajo rigurosos controles y normativas que aseguren la salud y seguridad de los pacientes y la población en general. </w:t>
      </w:r>
    </w:p>
    <w:p w14:paraId="2318BCFC" w14:textId="77777777"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r w:rsidRPr="00612BCE">
        <w:rPr>
          <w:rFonts w:ascii="Book Antiqua" w:eastAsia="Times New Roman" w:hAnsi="Book Antiqua" w:cs="AngsanaUPC"/>
          <w:color w:val="0D0D0D"/>
          <w:sz w:val="24"/>
          <w:szCs w:val="24"/>
          <w:lang w:val="es-ES_tradnl"/>
        </w:rPr>
        <w:tab/>
      </w:r>
    </w:p>
    <w:p w14:paraId="0716D4C9" w14:textId="0BB63262"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r w:rsidRPr="00612BCE">
        <w:rPr>
          <w:rFonts w:ascii="Book Antiqua" w:eastAsia="Times New Roman" w:hAnsi="Book Antiqua" w:cs="AngsanaUPC"/>
          <w:color w:val="0D0D0D"/>
          <w:sz w:val="24"/>
          <w:szCs w:val="24"/>
          <w:lang w:val="es-ES_tradnl"/>
        </w:rPr>
        <w:t>La Ley MEDICINAL también estableció la Junta Reglamentadora del Cannabis, una entidad clave en la supervisión y el cumplimiento de las disposiciones de la ley para garantizar que el uso del cannabis medicinal se maneje de manera segura y efectiva en</w:t>
      </w:r>
      <w:r w:rsidRPr="00C22BBE">
        <w:rPr>
          <w:rFonts w:ascii="Book Antiqua" w:eastAsia="Times New Roman" w:hAnsi="Book Antiqua" w:cs="AngsanaUPC"/>
          <w:color w:val="0D0D0D"/>
          <w:sz w:val="24"/>
          <w:szCs w:val="24"/>
          <w:lang w:val="es-ES_tradnl"/>
        </w:rPr>
        <w:t xml:space="preserve"> </w:t>
      </w:r>
      <w:r w:rsidRPr="00612BCE">
        <w:rPr>
          <w:rFonts w:ascii="Book Antiqua" w:eastAsia="Times New Roman" w:hAnsi="Book Antiqua" w:cs="AngsanaUPC"/>
          <w:color w:val="0D0D0D"/>
          <w:sz w:val="24"/>
          <w:szCs w:val="24"/>
          <w:lang w:val="es-ES_tradnl"/>
        </w:rPr>
        <w:lastRenderedPageBreak/>
        <w:t>Puerto Rico. A partir del 2 de julio de 2019, la Junta ya había emitido 92,499 tarjetas de identificación para pacientes que califican para el uso de cannabis medicinal, y 394 doctores en toda la isla estaban debidamente autorizados para hacer recomendaciones de tratamiento con cannabis medicinal. Estos datos reflejan el crecimiento y la aceptación del programa de cannabis medicinal, así como la importancia de una regulación proactiva.</w:t>
      </w:r>
    </w:p>
    <w:p w14:paraId="11EDD034" w14:textId="77777777"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p>
    <w:p w14:paraId="6B5922AB" w14:textId="67B79937"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r w:rsidRPr="00612BCE">
        <w:rPr>
          <w:rFonts w:ascii="Book Antiqua" w:eastAsia="Times New Roman" w:hAnsi="Book Antiqua" w:cs="AngsanaUPC"/>
          <w:color w:val="0D0D0D"/>
          <w:sz w:val="24"/>
          <w:szCs w:val="24"/>
          <w:lang w:val="es-ES_tradnl"/>
        </w:rPr>
        <w:t>A pesar de estos esfuerzos legislativos, la industria del cannabis en Puerto Rico se enfrenta a varios retos, incluyendo la necesidad de ajustar continuamente sus regulaciones a la luz de los avances científicos y las nuevas formas de cannabinoides que surgen en el mercado, tales como el delta-9 y delta-8 tetrahidrocannabinol (THC).</w:t>
      </w:r>
    </w:p>
    <w:p w14:paraId="5593FAC6" w14:textId="77777777"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p>
    <w:p w14:paraId="29085320" w14:textId="097DB4FE"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r w:rsidRPr="00612BCE">
        <w:rPr>
          <w:rFonts w:ascii="Book Antiqua" w:eastAsia="Times New Roman" w:hAnsi="Book Antiqua" w:cs="AngsanaUPC"/>
          <w:color w:val="0D0D0D"/>
          <w:sz w:val="24"/>
          <w:szCs w:val="24"/>
          <w:lang w:val="es-ES_tradnl"/>
        </w:rPr>
        <w:t>El delta-9 tetrahidrocannabinol (THC) es el principal componente psicoactivo de la planta de cannabis, conocido por sus efectos intoxicantes que pueden incluir una alteración de la percepción del tiempo, aumento del enfoque, y relajación. Sin embargo, su uso también conlleva riesgos significativos, como la ansiedad, dificultad para pensar y hablar, boca seca, aumento del apetito, pérdida de memoria, taquicardia, ojos rojos, y tiempos de reacción lentos. Además, existe el riesgo de desarrollar un trastorno por uso de cannabis, especialmente con el consumo prolongado y regular de productos con alto contenido de delta-9 THC.</w:t>
      </w:r>
    </w:p>
    <w:p w14:paraId="3F69BA42" w14:textId="77777777" w:rsidR="00C22BBE" w:rsidRPr="00C22BB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p>
    <w:p w14:paraId="561B4254" w14:textId="369517DE"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r w:rsidRPr="00612BCE">
        <w:rPr>
          <w:rFonts w:ascii="Book Antiqua" w:eastAsia="Times New Roman" w:hAnsi="Book Antiqua" w:cs="AngsanaUPC"/>
          <w:color w:val="0D0D0D"/>
          <w:sz w:val="24"/>
          <w:szCs w:val="24"/>
          <w:lang w:val="es-ES_tradnl"/>
        </w:rPr>
        <w:t>En el ámbito médico, el delta-9 THC ha sido reconocido por sus beneficios potenciales para tratar diversas condiciones, tales como la ansiedad, el glaucoma, el insomnio, la espasticidad muscular, y el dolor crónico, entre otros. No obstante, su uso debe ser supervisado cuidadosamente por profesionales de la salud para minimizar los riesgos asociados y asegurar que los pacientes reciban el tratamiento adecuado para sus necesidades.</w:t>
      </w:r>
    </w:p>
    <w:p w14:paraId="6ECC6DE0" w14:textId="77777777"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p>
    <w:p w14:paraId="33A010A7" w14:textId="6539D1CD"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r w:rsidRPr="00612BCE">
        <w:rPr>
          <w:rFonts w:ascii="Book Antiqua" w:eastAsia="Times New Roman" w:hAnsi="Book Antiqua" w:cs="AngsanaUPC"/>
          <w:color w:val="0D0D0D"/>
          <w:sz w:val="24"/>
          <w:szCs w:val="24"/>
          <w:lang w:val="es-ES_tradnl"/>
        </w:rPr>
        <w:t>Recientemente, Puerto Rico ha enfrentado un desafío similar con la comercialización del delta-8 THC, un cannabinoide que, aunque estructuralmente similar al delta-9 THC, es menos potente en sus efectos psicoactivos. Sin embargo, el delta-8 THC ha ganado popularidad en el mercado debido a que se deriva del cáñamo, lo que lo coloca en un área gris de la Ley Agrícola de 2018 (2018 Farm Bill) de los Estados Unidos. Esto ha permitido su comercialización en lugares donde el delta-9 THC es ilegal, incluyendo Puerto Rico.</w:t>
      </w:r>
    </w:p>
    <w:p w14:paraId="1EABAE43" w14:textId="77777777" w:rsidR="00C22BBE" w:rsidRPr="00C22BB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p>
    <w:p w14:paraId="7AAFB439" w14:textId="7632975C"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r w:rsidRPr="00612BCE">
        <w:rPr>
          <w:rFonts w:ascii="Book Antiqua" w:eastAsia="Times New Roman" w:hAnsi="Book Antiqua" w:cs="AngsanaUPC"/>
          <w:color w:val="0D0D0D"/>
          <w:sz w:val="24"/>
          <w:szCs w:val="24"/>
          <w:lang w:val="es-ES_tradnl"/>
        </w:rPr>
        <w:t>Representantes de la industria, han expresado su preocupación por la venta de productos de delta-8 y delta-9 THC en el archipiélago, ya que muchos de estos productos se venden fuera de los establecimientos regulados, lo que pone en riesgo la salud de los consumidores al no estar sujetos a pruebas de calidad y seguridad. Esta situación refleja la necesidad urgente de establecer regulaciones claras que aborden no solo el delta-9 THC, sino también otros cannabinoides emergentes como el delta-8 THC.</w:t>
      </w:r>
    </w:p>
    <w:p w14:paraId="55FFC22B" w14:textId="77777777" w:rsidR="00D41374" w:rsidRPr="00C22BBE" w:rsidRDefault="00D41374" w:rsidP="00612BCE">
      <w:pPr>
        <w:spacing w:after="0" w:line="240" w:lineRule="auto"/>
        <w:ind w:firstLine="720"/>
        <w:jc w:val="both"/>
        <w:rPr>
          <w:rFonts w:ascii="Book Antiqua" w:eastAsia="Times New Roman" w:hAnsi="Book Antiqua" w:cs="AngsanaUPC"/>
          <w:color w:val="0D0D0D"/>
          <w:sz w:val="24"/>
          <w:szCs w:val="24"/>
          <w:lang w:val="es-ES_tradnl"/>
        </w:rPr>
      </w:pPr>
    </w:p>
    <w:p w14:paraId="41A1D80E" w14:textId="419A5707"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r w:rsidRPr="00612BCE">
        <w:rPr>
          <w:rFonts w:ascii="Book Antiqua" w:eastAsia="Times New Roman" w:hAnsi="Book Antiqua" w:cs="AngsanaUPC"/>
          <w:color w:val="0D0D0D"/>
          <w:sz w:val="24"/>
          <w:szCs w:val="24"/>
          <w:lang w:val="es-ES_tradnl"/>
        </w:rPr>
        <w:lastRenderedPageBreak/>
        <w:t>Es imperativo que la Cámara de Representantes de Puerto Rico ordene una investigación exhaustiva sobre la regulación del delta-9 y delta-8 THC en la isla. A través de esta investigación, se debe evaluar el marco regulatorio actual, identificar lagunas y áreas de mejora, y desarrollar políticas públicas que protejan la salud de los puertorriqueños. Es fundamental reconocer los beneficios médicos potenciales de estos productos, pero asegurando siempre que su uso sea controlado, seguro y en conformidad con las normas de salud pública.</w:t>
      </w:r>
    </w:p>
    <w:p w14:paraId="78EA79E8" w14:textId="77777777" w:rsidR="00C22BBE" w:rsidRPr="00612BCE" w:rsidRDefault="00C22BBE" w:rsidP="00612BCE">
      <w:pPr>
        <w:spacing w:after="0" w:line="240" w:lineRule="auto"/>
        <w:ind w:firstLine="720"/>
        <w:jc w:val="both"/>
        <w:rPr>
          <w:rFonts w:ascii="Book Antiqua" w:eastAsia="Times New Roman" w:hAnsi="Book Antiqua" w:cs="AngsanaUPC"/>
          <w:color w:val="0D0D0D"/>
          <w:sz w:val="24"/>
          <w:szCs w:val="24"/>
          <w:lang w:val="es-ES_tradnl"/>
        </w:rPr>
      </w:pPr>
    </w:p>
    <w:p w14:paraId="5653BDE7" w14:textId="5EEE84AA" w:rsidR="00C22BBE" w:rsidRPr="00612BCE" w:rsidRDefault="00C22BBE" w:rsidP="00612BCE">
      <w:pPr>
        <w:autoSpaceDE w:val="0"/>
        <w:autoSpaceDN w:val="0"/>
        <w:spacing w:after="0" w:line="240" w:lineRule="auto"/>
        <w:ind w:firstLine="720"/>
        <w:jc w:val="both"/>
        <w:rPr>
          <w:rFonts w:ascii="Book Antiqua" w:eastAsia="Times New Roman" w:hAnsi="Book Antiqua"/>
          <w:i/>
          <w:iCs/>
          <w:color w:val="0D0D0D"/>
          <w:sz w:val="24"/>
          <w:szCs w:val="24"/>
          <w:lang w:val="es-ES_tradnl"/>
        </w:rPr>
      </w:pPr>
      <w:r w:rsidRPr="00612BCE">
        <w:rPr>
          <w:rFonts w:ascii="Book Antiqua" w:eastAsia="Times New Roman" w:hAnsi="Book Antiqua" w:cs="AngsanaUPC"/>
          <w:color w:val="0D0D0D"/>
          <w:sz w:val="24"/>
          <w:szCs w:val="24"/>
          <w:lang w:val="es-ES_tradnl"/>
        </w:rPr>
        <w:t>El desarrollo de una política pública robusta no solo garantizará la seguridad de los consumidores, sino que también contribuirá a la legitimidad y sostenibilidad de la industria del cannabis medicinal en Puerto Rico, asegurando que aquellos que realmente necesitan estos tratamientos puedan acceder a ellos de manera segura y efectiva.</w:t>
      </w:r>
      <w:r w:rsidRPr="00612BCE">
        <w:rPr>
          <w:rFonts w:ascii="Book Antiqua" w:eastAsia="Times New Roman" w:hAnsi="Book Antiqua"/>
          <w:i/>
          <w:iCs/>
          <w:color w:val="0D0D0D"/>
          <w:sz w:val="24"/>
          <w:szCs w:val="24"/>
          <w:lang w:val="es-ES_tradnl"/>
        </w:rPr>
        <w:t xml:space="preserve"> </w:t>
      </w:r>
    </w:p>
    <w:p w14:paraId="77FA68A1" w14:textId="77777777" w:rsidR="004349A5" w:rsidRDefault="004349A5" w:rsidP="00612BCE">
      <w:pPr>
        <w:spacing w:after="0" w:line="240" w:lineRule="auto"/>
        <w:jc w:val="both"/>
        <w:rPr>
          <w:rFonts w:ascii="Book Antiqua" w:eastAsia="Times New Roman" w:hAnsi="Book Antiqua"/>
          <w:i/>
          <w:iCs/>
          <w:sz w:val="24"/>
          <w:szCs w:val="24"/>
          <w:lang w:val="es-ES_tradnl"/>
        </w:rPr>
      </w:pPr>
    </w:p>
    <w:p w14:paraId="7A49401B" w14:textId="77777777" w:rsidR="003E7820" w:rsidRPr="00683111" w:rsidRDefault="003E7820" w:rsidP="00612BCE">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9"/>
          <w:headerReference w:type="default" r:id="rId10"/>
          <w:headerReference w:type="first" r:id="rId11"/>
          <w:pgSz w:w="12240" w:h="15840" w:code="1"/>
          <w:pgMar w:top="1440" w:right="1440" w:bottom="1440" w:left="1440" w:header="720" w:footer="720" w:gutter="0"/>
          <w:cols w:space="720"/>
          <w:titlePg/>
          <w:docGrid w:linePitch="360"/>
        </w:sectPr>
      </w:pPr>
    </w:p>
    <w:p w14:paraId="2E10195E" w14:textId="58F69B27" w:rsidR="00C22BBE" w:rsidRPr="00612BCE" w:rsidRDefault="00C22BBE" w:rsidP="00C22BBE">
      <w:pPr>
        <w:widowControl w:val="0"/>
        <w:spacing w:after="0" w:line="480" w:lineRule="auto"/>
        <w:ind w:firstLine="720"/>
        <w:jc w:val="both"/>
        <w:rPr>
          <w:rFonts w:ascii="Book Antiqua" w:eastAsia="MS Mincho" w:hAnsi="Book Antiqua"/>
          <w:sz w:val="24"/>
          <w:szCs w:val="24"/>
          <w:lang w:val="es-PR"/>
        </w:rPr>
      </w:pPr>
      <w:r w:rsidRPr="00612BCE">
        <w:rPr>
          <w:rFonts w:ascii="Book Antiqua" w:eastAsia="MS Mincho" w:hAnsi="Book Antiqua"/>
          <w:sz w:val="24"/>
          <w:szCs w:val="24"/>
          <w:lang w:val="es-PR"/>
        </w:rPr>
        <w:t xml:space="preserve">Sección 1.-Se ordena a la Comisión de Salud </w:t>
      </w:r>
      <w:r w:rsidR="0097684F" w:rsidRPr="00612BCE">
        <w:rPr>
          <w:rFonts w:ascii="Book Antiqua" w:eastAsia="MS Mincho" w:hAnsi="Book Antiqua"/>
          <w:sz w:val="24"/>
          <w:szCs w:val="24"/>
          <w:lang w:val="es-PR"/>
        </w:rPr>
        <w:t xml:space="preserve">de </w:t>
      </w:r>
      <w:r w:rsidRPr="00612BCE">
        <w:rPr>
          <w:rFonts w:ascii="Book Antiqua" w:eastAsia="MS Mincho" w:hAnsi="Book Antiqua"/>
          <w:sz w:val="24"/>
          <w:szCs w:val="24"/>
          <w:lang w:val="es-PR"/>
        </w:rPr>
        <w:t xml:space="preserve">la Cámara de Representantes de Puerto Rico, realizar una investigación exhaustiva en </w:t>
      </w:r>
      <w:r w:rsidR="0097684F" w:rsidRPr="00612BCE">
        <w:rPr>
          <w:rFonts w:ascii="Book Antiqua" w:eastAsia="MS Mincho" w:hAnsi="Book Antiqua"/>
          <w:sz w:val="24"/>
          <w:szCs w:val="24"/>
          <w:lang w:val="es-PR"/>
        </w:rPr>
        <w:t xml:space="preserve">torno al </w:t>
      </w:r>
      <w:r w:rsidRPr="00612BCE">
        <w:rPr>
          <w:rFonts w:ascii="Book Antiqua" w:eastAsia="MS Mincho" w:hAnsi="Book Antiqua"/>
          <w:sz w:val="24"/>
          <w:szCs w:val="24"/>
          <w:lang w:val="es-PR"/>
        </w:rPr>
        <w:t xml:space="preserve">uso y distribución de Tetrahidrocannabinol (Delta-9 THC) en cumplimiento con la Ley 42-2017, según enmendada, conocida como </w:t>
      </w:r>
      <w:r w:rsidR="003D68CC">
        <w:rPr>
          <w:rFonts w:ascii="Book Antiqua" w:eastAsia="MS Mincho" w:hAnsi="Book Antiqua"/>
          <w:sz w:val="24"/>
          <w:szCs w:val="24"/>
          <w:lang w:val="es-PR"/>
        </w:rPr>
        <w:t>“</w:t>
      </w:r>
      <w:r w:rsidRPr="00612BCE">
        <w:rPr>
          <w:rFonts w:ascii="Book Antiqua" w:eastAsia="MS Mincho" w:hAnsi="Book Antiqua"/>
          <w:sz w:val="24"/>
          <w:szCs w:val="24"/>
          <w:lang w:val="es-PR"/>
        </w:rPr>
        <w:t>Ley para Manejar el Estudio, Desarrollo e Investigación del Cannabis para la Innovación, Normas Aplicables y Límites (</w:t>
      </w:r>
      <w:r w:rsidR="003D68CC">
        <w:rPr>
          <w:rFonts w:ascii="Book Antiqua" w:eastAsia="MS Mincho" w:hAnsi="Book Antiqua"/>
          <w:sz w:val="24"/>
          <w:szCs w:val="24"/>
          <w:lang w:val="es-PR"/>
        </w:rPr>
        <w:t>“</w:t>
      </w:r>
      <w:r w:rsidRPr="00612BCE">
        <w:rPr>
          <w:rFonts w:ascii="Book Antiqua" w:eastAsia="MS Mincho" w:hAnsi="Book Antiqua"/>
          <w:sz w:val="24"/>
          <w:szCs w:val="24"/>
          <w:lang w:val="es-PR"/>
        </w:rPr>
        <w:t>Ley MEDICINAL</w:t>
      </w:r>
      <w:r w:rsidR="003D68CC">
        <w:rPr>
          <w:rFonts w:ascii="Book Antiqua" w:eastAsia="MS Mincho" w:hAnsi="Book Antiqua"/>
          <w:sz w:val="24"/>
          <w:szCs w:val="24"/>
          <w:lang w:val="es-PR"/>
        </w:rPr>
        <w:t>”</w:t>
      </w:r>
      <w:r w:rsidRPr="00612BCE">
        <w:rPr>
          <w:rFonts w:ascii="Book Antiqua" w:eastAsia="MS Mincho" w:hAnsi="Book Antiqua"/>
          <w:sz w:val="24"/>
          <w:szCs w:val="24"/>
          <w:lang w:val="es-PR"/>
        </w:rPr>
        <w:t>)</w:t>
      </w:r>
      <w:r w:rsidR="003D68CC">
        <w:rPr>
          <w:rFonts w:ascii="Book Antiqua" w:eastAsia="MS Mincho" w:hAnsi="Book Antiqua"/>
          <w:sz w:val="24"/>
          <w:szCs w:val="24"/>
          <w:lang w:val="es-PR"/>
        </w:rPr>
        <w:t>”</w:t>
      </w:r>
      <w:r w:rsidRPr="00612BCE">
        <w:rPr>
          <w:rFonts w:ascii="Book Antiqua" w:eastAsia="MS Mincho" w:hAnsi="Book Antiqua"/>
          <w:sz w:val="24"/>
          <w:szCs w:val="24"/>
          <w:lang w:val="es-PR"/>
        </w:rPr>
        <w:t xml:space="preserve">; </w:t>
      </w:r>
      <w:r w:rsidR="009F447A" w:rsidRPr="00612BCE">
        <w:rPr>
          <w:rFonts w:ascii="Book Antiqua" w:eastAsia="MS Mincho" w:hAnsi="Book Antiqua"/>
          <w:sz w:val="24"/>
          <w:szCs w:val="24"/>
          <w:lang w:val="es-PR"/>
        </w:rPr>
        <w:t xml:space="preserve">e </w:t>
      </w:r>
      <w:r w:rsidR="0097684F" w:rsidRPr="00612BCE">
        <w:rPr>
          <w:rFonts w:ascii="Book Antiqua" w:eastAsia="MS Mincho" w:hAnsi="Book Antiqua"/>
          <w:sz w:val="24"/>
          <w:szCs w:val="24"/>
          <w:lang w:val="es-PR"/>
        </w:rPr>
        <w:t xml:space="preserve">identificar los </w:t>
      </w:r>
      <w:r w:rsidRPr="00612BCE">
        <w:rPr>
          <w:rFonts w:ascii="Book Antiqua" w:eastAsia="MS Mincho" w:hAnsi="Book Antiqua"/>
          <w:sz w:val="24"/>
          <w:szCs w:val="24"/>
          <w:lang w:val="es-PR"/>
        </w:rPr>
        <w:t>efectos de su uso en los jóvenes y adultos.</w:t>
      </w:r>
    </w:p>
    <w:p w14:paraId="3AAA06C9" w14:textId="365B2E00" w:rsidR="00C22BBE" w:rsidRPr="00612BCE" w:rsidRDefault="00C22BBE" w:rsidP="00C22BBE">
      <w:pPr>
        <w:widowControl w:val="0"/>
        <w:spacing w:after="0" w:line="480" w:lineRule="auto"/>
        <w:ind w:firstLine="720"/>
        <w:jc w:val="both"/>
        <w:rPr>
          <w:rFonts w:ascii="Book Antiqua" w:eastAsia="MS Mincho" w:hAnsi="Book Antiqua"/>
          <w:sz w:val="24"/>
          <w:szCs w:val="24"/>
          <w:lang w:val="es-PR"/>
        </w:rPr>
      </w:pPr>
      <w:r w:rsidRPr="00612BCE">
        <w:rPr>
          <w:rFonts w:ascii="Book Antiqua" w:eastAsia="MS Mincho" w:hAnsi="Book Antiqua"/>
          <w:sz w:val="24"/>
          <w:szCs w:val="24"/>
          <w:lang w:val="es-PR"/>
        </w:rPr>
        <w:t xml:space="preserve">Sección 2.-La Comisión rendirá un Informe con sus hallazgos, conclusiones y recomendaciones, </w:t>
      </w:r>
      <w:r w:rsidR="009F54BF" w:rsidRPr="00612BCE">
        <w:rPr>
          <w:rFonts w:ascii="Book Antiqua" w:eastAsia="MS Mincho" w:hAnsi="Book Antiqua"/>
          <w:sz w:val="24"/>
          <w:szCs w:val="24"/>
          <w:lang w:val="es-PR"/>
        </w:rPr>
        <w:t xml:space="preserve">dentro del término de ciento ochenta (180) días, contados a partir de la aprobación de esta </w:t>
      </w:r>
      <w:r w:rsidR="00404A06" w:rsidRPr="00612BCE">
        <w:rPr>
          <w:rFonts w:ascii="Book Antiqua" w:eastAsia="MS Mincho" w:hAnsi="Book Antiqua"/>
          <w:sz w:val="24"/>
          <w:szCs w:val="24"/>
          <w:lang w:val="es-PR"/>
        </w:rPr>
        <w:t>Resolución</w:t>
      </w:r>
      <w:r w:rsidRPr="00612BCE">
        <w:rPr>
          <w:rFonts w:ascii="Book Antiqua" w:eastAsia="MS Mincho" w:hAnsi="Book Antiqua"/>
          <w:sz w:val="24"/>
          <w:szCs w:val="24"/>
          <w:lang w:val="es-PR"/>
        </w:rPr>
        <w:t>.</w:t>
      </w:r>
    </w:p>
    <w:p w14:paraId="714746C8" w14:textId="27D32C7B" w:rsidR="00D056D7" w:rsidRPr="00612BCE" w:rsidRDefault="00C22BBE" w:rsidP="00C22BBE">
      <w:pPr>
        <w:widowControl w:val="0"/>
        <w:spacing w:after="0" w:line="480" w:lineRule="auto"/>
        <w:ind w:firstLine="720"/>
        <w:jc w:val="both"/>
        <w:rPr>
          <w:rFonts w:ascii="Book Antiqua" w:eastAsia="MS Mincho" w:hAnsi="Book Antiqua"/>
          <w:sz w:val="24"/>
          <w:szCs w:val="24"/>
          <w:lang w:val="es-ES_tradnl"/>
        </w:rPr>
      </w:pPr>
      <w:r w:rsidRPr="00612BCE">
        <w:rPr>
          <w:rFonts w:ascii="Book Antiqua" w:eastAsia="MS Mincho" w:hAnsi="Book Antiqua"/>
          <w:sz w:val="24"/>
          <w:szCs w:val="24"/>
          <w:lang w:val="es-PR"/>
        </w:rPr>
        <w:t>Sección 3.-Esta Resolución comenzará a regir inmediatamente después de su aprobación.</w:t>
      </w:r>
    </w:p>
    <w:sectPr w:rsidR="00D056D7" w:rsidRPr="00612BCE" w:rsidSect="003E7820">
      <w:headerReference w:type="even" r:id="rId12"/>
      <w:headerReference w:type="default" r:id="rId13"/>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38CFD" w14:textId="77777777" w:rsidR="003164CA" w:rsidRDefault="003164CA">
      <w:pPr>
        <w:spacing w:after="0" w:line="240" w:lineRule="auto"/>
      </w:pPr>
      <w:r>
        <w:separator/>
      </w:r>
    </w:p>
  </w:endnote>
  <w:endnote w:type="continuationSeparator" w:id="0">
    <w:p w14:paraId="4C117120" w14:textId="77777777" w:rsidR="003164CA" w:rsidRDefault="00316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ngsanaUPC">
    <w:charset w:val="DE"/>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BDA7C" w14:textId="77777777" w:rsidR="003164CA" w:rsidRDefault="003164CA">
      <w:pPr>
        <w:spacing w:after="0" w:line="240" w:lineRule="auto"/>
      </w:pPr>
      <w:r>
        <w:separator/>
      </w:r>
    </w:p>
  </w:footnote>
  <w:footnote w:type="continuationSeparator" w:id="0">
    <w:p w14:paraId="462BB1ED" w14:textId="77777777" w:rsidR="003164CA" w:rsidRDefault="003164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8473" w14:textId="7DA1E78E" w:rsidR="00F365F8" w:rsidRPr="00F365F8" w:rsidRDefault="00F365F8" w:rsidP="00F365F8">
    <w:pPr>
      <w:pStyle w:val="Header"/>
      <w:jc w:val="center"/>
      <w:rPr>
        <w:rFonts w:ascii="Book Antiqua" w:hAnsi="Book Antiqua"/>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13DC07D2"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2BBE">
      <w:rPr>
        <w:rStyle w:val="PageNumber"/>
        <w:noProof/>
      </w:rPr>
      <w:t>3</w:t>
    </w:r>
    <w:r>
      <w:rPr>
        <w:rStyle w:val="PageNumber"/>
      </w:rPr>
      <w:fldChar w:fldCharType="end"/>
    </w:r>
  </w:p>
  <w:p w14:paraId="60DF59C0" w14:textId="77777777" w:rsidR="00002690" w:rsidRDefault="0000269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66438"/>
    <w:rsid w:val="0010413C"/>
    <w:rsid w:val="00140BBA"/>
    <w:rsid w:val="00247D30"/>
    <w:rsid w:val="003164CA"/>
    <w:rsid w:val="003612D4"/>
    <w:rsid w:val="003C65C8"/>
    <w:rsid w:val="003D68CC"/>
    <w:rsid w:val="003E7820"/>
    <w:rsid w:val="00404A06"/>
    <w:rsid w:val="004349A5"/>
    <w:rsid w:val="0049745A"/>
    <w:rsid w:val="004C7202"/>
    <w:rsid w:val="00521E8B"/>
    <w:rsid w:val="005253C3"/>
    <w:rsid w:val="0054505E"/>
    <w:rsid w:val="0055262D"/>
    <w:rsid w:val="00592027"/>
    <w:rsid w:val="00612BCE"/>
    <w:rsid w:val="00654548"/>
    <w:rsid w:val="006C05FD"/>
    <w:rsid w:val="006D7F2B"/>
    <w:rsid w:val="00721FBC"/>
    <w:rsid w:val="00752FAF"/>
    <w:rsid w:val="0075695E"/>
    <w:rsid w:val="00774512"/>
    <w:rsid w:val="007C6FED"/>
    <w:rsid w:val="00907DEC"/>
    <w:rsid w:val="0097684F"/>
    <w:rsid w:val="00995861"/>
    <w:rsid w:val="009D768D"/>
    <w:rsid w:val="009F447A"/>
    <w:rsid w:val="009F54BF"/>
    <w:rsid w:val="00A27D28"/>
    <w:rsid w:val="00A47AFF"/>
    <w:rsid w:val="00A6433F"/>
    <w:rsid w:val="00A64923"/>
    <w:rsid w:val="00AC1DBC"/>
    <w:rsid w:val="00B30458"/>
    <w:rsid w:val="00B96B8F"/>
    <w:rsid w:val="00BB28E4"/>
    <w:rsid w:val="00BE0CF7"/>
    <w:rsid w:val="00BE347E"/>
    <w:rsid w:val="00C22BBE"/>
    <w:rsid w:val="00C46478"/>
    <w:rsid w:val="00C6401A"/>
    <w:rsid w:val="00C67D94"/>
    <w:rsid w:val="00C912E5"/>
    <w:rsid w:val="00CD6646"/>
    <w:rsid w:val="00D056D7"/>
    <w:rsid w:val="00D41374"/>
    <w:rsid w:val="00DC0980"/>
    <w:rsid w:val="00DF3963"/>
    <w:rsid w:val="00E029BD"/>
    <w:rsid w:val="00E21FE6"/>
    <w:rsid w:val="00E4126E"/>
    <w:rsid w:val="00E43A92"/>
    <w:rsid w:val="00E60313"/>
    <w:rsid w:val="00EC61EE"/>
    <w:rsid w:val="00F23242"/>
    <w:rsid w:val="00F365F8"/>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F365F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365F8"/>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980592">
      <w:bodyDiv w:val="1"/>
      <w:marLeft w:val="0"/>
      <w:marRight w:val="0"/>
      <w:marTop w:val="0"/>
      <w:marBottom w:val="0"/>
      <w:divBdr>
        <w:top w:val="none" w:sz="0" w:space="0" w:color="auto"/>
        <w:left w:val="none" w:sz="0" w:space="0" w:color="auto"/>
        <w:bottom w:val="none" w:sz="0" w:space="0" w:color="auto"/>
        <w:right w:val="none" w:sz="0" w:space="0" w:color="auto"/>
      </w:divBdr>
    </w:div>
    <w:div w:id="201309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8" ma:contentTypeDescription="Create a new document." ma:contentTypeScope="" ma:versionID="03ebc2ffddcd6250518ab00d16c8fb59">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480b3c1d65600d7d982767bfad0b80c8"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20EE6D-A2AF-441A-AA88-CC25581959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915B40-49BB-4ED5-9BA2-554F091D4320}">
  <ds:schemaRefs>
    <ds:schemaRef ds:uri="http://schemas.microsoft.com/office/2006/metadata/properties"/>
    <ds:schemaRef ds:uri="http://schemas.microsoft.com/office/infopath/2007/PartnerControls"/>
    <ds:schemaRef ds:uri="92f57704-3039-4ebf-ac81-f8b12810bd0e"/>
  </ds:schemaRefs>
</ds:datastoreItem>
</file>

<file path=customXml/itemProps3.xml><?xml version="1.0" encoding="utf-8"?>
<ds:datastoreItem xmlns:ds="http://schemas.openxmlformats.org/officeDocument/2006/customXml" ds:itemID="{52AD1D2F-092B-4EEE-BB3A-86FA04B859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958</Words>
  <Characters>5462</Characters>
  <Application>Microsoft Office Word</Application>
  <DocSecurity>0</DocSecurity>
  <Lines>45</Lines>
  <Paragraphs>12</Paragraphs>
  <ScaleCrop>false</ScaleCrop>
  <Company/>
  <LinksUpToDate>false</LinksUpToDate>
  <CharactersWithSpaces>6408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Kristal Rivera Sanchez</cp:lastModifiedBy>
  <cp:revision>7</cp:revision>
  <cp:lastPrinted>2025-03-24T15:35:00Z</cp:lastPrinted>
  <dcterms:created xsi:type="dcterms:W3CDTF">2025-03-24T14:40:00Z</dcterms:created>
  <dcterms:modified xsi:type="dcterms:W3CDTF">2025-03-31T15:45:00Z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y fmtid="{D5CDD505-2E9C-101B-9397-08002B2CF9AE}" pid="3" name="ContentTypeId">
    <vt:lpwstr>0x01010066EC4548D9B7A147ACBF4A48EC93BABF</vt:lpwstr>
  </property>
</Properties>
</file>