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6216CB4C"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C22BBE" w:rsidRDefault="00C22BBE" w:rsidP="00C22BBE">
      <w:pPr>
        <w:spacing w:after="0" w:line="240" w:lineRule="auto"/>
        <w:jc w:val="center"/>
        <w:rPr>
          <w:rFonts w:ascii="Book Antiqua" w:eastAsia="Times New Roman" w:hAnsi="Book Antiqua"/>
          <w:color w:val="0D0D0D"/>
          <w:sz w:val="28"/>
          <w:szCs w:val="28"/>
          <w:lang w:val="es-ES_tradnl"/>
        </w:rPr>
      </w:pPr>
    </w:p>
    <w:p w14:paraId="1431AAB4"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20ma. Asamblea                                                                                                      1ra.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768F4AC4"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C46478">
        <w:rPr>
          <w:rFonts w:ascii="Book Antiqua" w:eastAsia="Times New Roman" w:hAnsi="Book Antiqua"/>
          <w:b/>
          <w:bCs/>
          <w:color w:val="0D0D0D"/>
          <w:sz w:val="52"/>
          <w:szCs w:val="52"/>
          <w:lang w:val="es-ES_tradnl"/>
        </w:rPr>
        <w:t>52</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54DA8AF8"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r w:rsidRPr="00C22BBE">
        <w:rPr>
          <w:rFonts w:ascii="Book Antiqua" w:eastAsia="Times New Roman" w:hAnsi="Book Antiqua"/>
          <w:caps/>
          <w:color w:val="0D0D0D"/>
          <w:sz w:val="24"/>
          <w:szCs w:val="20"/>
          <w:lang w:val="es-ES_tradnl"/>
        </w:rPr>
        <w:t xml:space="preserve">  </w:t>
      </w:r>
      <w:r w:rsidR="00C46478">
        <w:rPr>
          <w:rFonts w:ascii="Book Antiqua" w:eastAsia="Times New Roman" w:hAnsi="Book Antiqua"/>
          <w:caps/>
          <w:color w:val="0D0D0D"/>
          <w:sz w:val="24"/>
          <w:szCs w:val="20"/>
          <w:lang w:val="es-ES_tradnl"/>
        </w:rPr>
        <w:t xml:space="preserve">13 </w:t>
      </w:r>
      <w:r w:rsidRPr="00C22BBE">
        <w:rPr>
          <w:rFonts w:ascii="Book Antiqua" w:eastAsia="Times New Roman" w:hAnsi="Book Antiqua"/>
          <w:caps/>
          <w:color w:val="0D0D0D"/>
          <w:sz w:val="24"/>
          <w:szCs w:val="20"/>
          <w:lang w:val="es-ES_tradnl"/>
        </w:rPr>
        <w:t>de enero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37E854D4"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Pr="00C22BBE">
        <w:rPr>
          <w:rFonts w:ascii="Book Antiqua" w:eastAsia="Times New Roman" w:hAnsi="Book Antiqua"/>
          <w:i/>
          <w:iCs/>
          <w:color w:val="0D0D0D"/>
          <w:sz w:val="24"/>
          <w:szCs w:val="20"/>
          <w:lang w:val="es-ES_tradnl"/>
        </w:rPr>
        <w:t xml:space="preserve">Pérez Ortiz </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2F56937A"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C22BB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C22BBE">
      <w:pPr>
        <w:spacing w:after="0" w:line="240" w:lineRule="auto"/>
        <w:jc w:val="center"/>
        <w:rPr>
          <w:rFonts w:ascii="Book Antiqua" w:eastAsia="Times New Roman" w:hAnsi="Book Antiqua"/>
          <w:b/>
          <w:color w:val="0D0D0D"/>
          <w:sz w:val="24"/>
          <w:szCs w:val="24"/>
          <w:lang w:val="es-ES_tradnl"/>
        </w:rPr>
      </w:pPr>
    </w:p>
    <w:p w14:paraId="75642DC9" w14:textId="77777777" w:rsidR="00C22BBE" w:rsidRPr="00C22BBE" w:rsidRDefault="00C22BBE" w:rsidP="00D41374">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0" w:name="_Hlk119394139"/>
      <w:bookmarkStart w:id="1" w:name="_Hlk118986562"/>
      <w:r w:rsidRPr="00C22BBE">
        <w:rPr>
          <w:rFonts w:ascii="Book Antiqua" w:eastAsia="Times New Roman" w:hAnsi="Book Antiqua" w:cs="AngsanaUPC"/>
          <w:color w:val="0D0D0D"/>
          <w:sz w:val="24"/>
          <w:szCs w:val="24"/>
          <w:lang w:val="es-ES_tradnl"/>
        </w:rPr>
        <w:t xml:space="preserve">Para ordenar a </w:t>
      </w:r>
      <w:bookmarkStart w:id="2" w:name="_Hlk175553536"/>
      <w:r w:rsidRPr="00C22BBE">
        <w:rPr>
          <w:rFonts w:ascii="Book Antiqua" w:eastAsia="Times New Roman" w:hAnsi="Book Antiqua" w:cs="AngsanaUPC"/>
          <w:color w:val="0D0D0D"/>
          <w:sz w:val="24"/>
          <w:szCs w:val="24"/>
          <w:lang w:val="es-ES_tradnl"/>
        </w:rPr>
        <w:t xml:space="preserve">la Comisión de </w:t>
      </w:r>
      <w:bookmarkStart w:id="3" w:name="_Hlk117676723"/>
      <w:r w:rsidRPr="00C22BBE">
        <w:rPr>
          <w:rFonts w:ascii="Book Antiqua" w:eastAsia="Times New Roman" w:hAnsi="Book Antiqua" w:cs="AngsanaUPC"/>
          <w:color w:val="0D0D0D"/>
          <w:sz w:val="24"/>
          <w:szCs w:val="24"/>
          <w:lang w:val="es-ES_tradnl"/>
        </w:rPr>
        <w:t>Salud la Cámara de Representantes del Estado Libre Asociado de Puerto Rico</w:t>
      </w:r>
      <w:bookmarkEnd w:id="3"/>
      <w:r w:rsidRPr="00C22BBE">
        <w:rPr>
          <w:rFonts w:ascii="Book Antiqua" w:eastAsia="Times New Roman" w:hAnsi="Book Antiqua" w:cs="AngsanaUPC"/>
          <w:color w:val="0D0D0D"/>
          <w:sz w:val="24"/>
          <w:szCs w:val="24"/>
          <w:lang w:val="es-ES_tradnl"/>
        </w:rPr>
        <w:t xml:space="preserve">, </w:t>
      </w:r>
      <w:bookmarkStart w:id="4" w:name="_Hlk117676752"/>
      <w:r w:rsidRPr="00C22BBE">
        <w:rPr>
          <w:rFonts w:ascii="Book Antiqua" w:eastAsia="Times New Roman" w:hAnsi="Book Antiqua" w:cs="AngsanaUPC"/>
          <w:color w:val="0D0D0D"/>
          <w:sz w:val="24"/>
          <w:szCs w:val="24"/>
          <w:lang w:val="es-ES_tradnl"/>
        </w:rPr>
        <w:t>realizar una investigación exhaustiva en cuanto el uso y distribución de Tetrahidrocannabinol (Delta-9 THC) en cumplimiento con la Ley 42-2017, según enmendada, conocida como “Ley para Manejar el Estudio, Desarrollo e Investigación del Cannabis para la Innovación, Normas Aplicables y Límites ("Ley MEDICINAL); efectos de su uso en los jóvenes y adultos</w:t>
      </w:r>
      <w:bookmarkEnd w:id="2"/>
      <w:r w:rsidRPr="00C22BBE">
        <w:rPr>
          <w:rFonts w:ascii="Book Antiqua" w:eastAsia="Times New Roman" w:hAnsi="Book Antiqua" w:cs="AngsanaUPC"/>
          <w:color w:val="0D0D0D"/>
          <w:sz w:val="24"/>
          <w:szCs w:val="24"/>
          <w:lang w:val="es-ES_tradnl"/>
        </w:rPr>
        <w:t>; y para otros fines relacionados.</w:t>
      </w:r>
    </w:p>
    <w:bookmarkEnd w:id="0"/>
    <w:bookmarkEnd w:id="1"/>
    <w:bookmarkEnd w:id="4"/>
    <w:p w14:paraId="1F3D7ED1" w14:textId="77777777" w:rsidR="00C22BBE" w:rsidRPr="00C22BBE" w:rsidRDefault="00C22BBE" w:rsidP="00D41374">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p>
    <w:p w14:paraId="4BCA1872"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 xml:space="preserve">La "Ley para Manejar el Estudio, Desarrollo e Investigación del Cannabis para la Innovación, Normas Aplicables y Límites" (“Ley MEDICINAL”), Ley Núm. 42 de 9 de julio de 2017, según enmendada, fue promulgada con el objetivo de establecer un marco regulatorio que permita el uso del cannabis medicinal en Puerto Rico. Esta ley reafirma la prohibición del uso recreacional del cannabis, mientras que fomenta su uso en el ámbito medicinal y científico bajo rigurosos controles y normativas que aseguren la salud y seguridad de los pacientes y la población en general. </w:t>
      </w:r>
    </w:p>
    <w:p w14:paraId="2318BCFC"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r>
    </w:p>
    <w:p w14:paraId="0716D4C9"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 xml:space="preserve">La Ley MEDICINAL también estableció la Junta </w:t>
      </w:r>
      <w:proofErr w:type="spellStart"/>
      <w:r w:rsidRPr="00C22BBE">
        <w:rPr>
          <w:rFonts w:ascii="Book Antiqua" w:eastAsia="Times New Roman" w:hAnsi="Book Antiqua" w:cs="AngsanaUPC"/>
          <w:color w:val="0D0D0D"/>
          <w:sz w:val="24"/>
          <w:szCs w:val="24"/>
          <w:lang w:val="es-ES_tradnl"/>
        </w:rPr>
        <w:t>Reglamentadora</w:t>
      </w:r>
      <w:proofErr w:type="spellEnd"/>
      <w:r w:rsidRPr="00C22BBE">
        <w:rPr>
          <w:rFonts w:ascii="Book Antiqua" w:eastAsia="Times New Roman" w:hAnsi="Book Antiqua" w:cs="AngsanaUPC"/>
          <w:color w:val="0D0D0D"/>
          <w:sz w:val="24"/>
          <w:szCs w:val="24"/>
          <w:lang w:val="es-ES_tradnl"/>
        </w:rPr>
        <w:t xml:space="preserve"> del Cannabis, una entidad clave en la supervisión y el cumplimiento de las disposiciones de la ley para garantizar que el uso del cannabis medicinal se maneje de manera segura y efectiva en Puerto Rico. A partir del 2 de julio de 2019, la Junta ya había emitido 92,499 tarjetas de identificación para pacientes que califican para el uso de cannabis medicinal, y 394 doctores en toda la isla estaban debidamente autorizados para hacer </w:t>
      </w:r>
      <w:r w:rsidRPr="00C22BBE">
        <w:rPr>
          <w:rFonts w:ascii="Book Antiqua" w:eastAsia="Times New Roman" w:hAnsi="Book Antiqua" w:cs="AngsanaUPC"/>
          <w:color w:val="0D0D0D"/>
          <w:sz w:val="24"/>
          <w:szCs w:val="24"/>
          <w:lang w:val="es-ES_tradnl"/>
        </w:rPr>
        <w:lastRenderedPageBreak/>
        <w:t>recomendaciones de tratamiento con cannabis medicinal. Estos datos reflejan el crecimiento y la aceptación del programa de cannabis medicinal, así como la importancia de una regulación proactiva.</w:t>
      </w:r>
    </w:p>
    <w:p w14:paraId="11EDD034"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6B5922AB"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A pesar de estos esfuerzos legislativos, la industria del cannabis en Puerto Rico se enfrenta a varios retos, incluyendo la necesidad de ajustar continuamente sus regulaciones a la luz de los avances científicos y las nuevas formas de cannabinoides que surgen en el mercado, tales como el delta-9 y delta-8 tetrahidrocannabinol (THC).</w:t>
      </w:r>
    </w:p>
    <w:p w14:paraId="5593FAC6" w14:textId="77777777" w:rsidR="00C22BBE" w:rsidRPr="00C22BBE" w:rsidRDefault="00C22BBE" w:rsidP="00D41374">
      <w:pPr>
        <w:tabs>
          <w:tab w:val="left" w:pos="720"/>
        </w:tabs>
        <w:spacing w:after="0" w:line="240" w:lineRule="auto"/>
        <w:jc w:val="both"/>
        <w:rPr>
          <w:rFonts w:ascii="Book Antiqua" w:eastAsia="Times New Roman" w:hAnsi="Book Antiqua" w:cs="AngsanaUPC"/>
          <w:color w:val="0D0D0D"/>
          <w:sz w:val="24"/>
          <w:szCs w:val="24"/>
          <w:lang w:val="es-ES_tradnl"/>
        </w:rPr>
      </w:pPr>
    </w:p>
    <w:p w14:paraId="29085320"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El delta-9 tetrahidrocannabinol (THC) es el principal componente psicoactivo de la planta de cannabis, conocido por sus efectos intoxicantes que pueden incluir una alteración de la percepción del tiempo, aumento del enfoque, y relajación. Sin embargo, su uso también conlleva riesgos significativos, como la ansiedad, dificultad para pensar y hablar, boca seca, aumento del apetito, pérdida de memoria, taquicardia, ojos rojos, y tiempos de reacción lentos. Además, existe el riesgo de desarrollar un trastorno por uso de cannabis, especialmente con el consumo prolongado y regular de productos con alto contenido de delta-9 THC.</w:t>
      </w:r>
    </w:p>
    <w:p w14:paraId="3F69BA42"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561B4254"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En el ámbito médico, el delta-9 THC ha sido reconocido por sus beneficios potenciales para tratar diversas condiciones, tales como la ansiedad, el glaucoma, el insomnio, la espasticidad muscular, y el dolor crónico, entre otros. No obstante, su uso debe ser supervisado cuidadosamente por profesionales de la salud para minimizar los riesgos asociados y asegurar que los pacientes reciban el tratamiento adecuado para sus necesidades.</w:t>
      </w:r>
    </w:p>
    <w:p w14:paraId="6ECC6DE0" w14:textId="77777777" w:rsidR="00C22BBE" w:rsidRPr="00C22BBE" w:rsidRDefault="00C22BBE" w:rsidP="00D41374">
      <w:pPr>
        <w:tabs>
          <w:tab w:val="left" w:pos="720"/>
        </w:tabs>
        <w:spacing w:after="0" w:line="240" w:lineRule="auto"/>
        <w:jc w:val="both"/>
        <w:rPr>
          <w:rFonts w:ascii="Book Antiqua" w:eastAsia="Times New Roman" w:hAnsi="Book Antiqua" w:cs="AngsanaUPC"/>
          <w:color w:val="0D0D0D"/>
          <w:sz w:val="24"/>
          <w:szCs w:val="24"/>
          <w:lang w:val="es-ES_tradnl"/>
        </w:rPr>
      </w:pPr>
    </w:p>
    <w:p w14:paraId="33A010A7"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 xml:space="preserve">Recientemente, Puerto Rico ha enfrentado un desafío similar con la comercialización del delta-8 THC, un cannabinoide que, aunque estructuralmente similar al delta-9 THC, es menos potente en sus efectos psicoactivos. Sin embargo, el delta-8 THC ha ganado popularidad en el mercado debido a que se deriva del cáñamo, lo que lo coloca en un área gris de la Ley Agrícola de 2018 (2018 </w:t>
      </w:r>
      <w:proofErr w:type="spellStart"/>
      <w:r w:rsidRPr="00C22BBE">
        <w:rPr>
          <w:rFonts w:ascii="Book Antiqua" w:eastAsia="Times New Roman" w:hAnsi="Book Antiqua" w:cs="AngsanaUPC"/>
          <w:color w:val="0D0D0D"/>
          <w:sz w:val="24"/>
          <w:szCs w:val="24"/>
          <w:lang w:val="es-ES_tradnl"/>
        </w:rPr>
        <w:t>Farm</w:t>
      </w:r>
      <w:proofErr w:type="spellEnd"/>
      <w:r w:rsidRPr="00C22BBE">
        <w:rPr>
          <w:rFonts w:ascii="Book Antiqua" w:eastAsia="Times New Roman" w:hAnsi="Book Antiqua" w:cs="AngsanaUPC"/>
          <w:color w:val="0D0D0D"/>
          <w:sz w:val="24"/>
          <w:szCs w:val="24"/>
          <w:lang w:val="es-ES_tradnl"/>
        </w:rPr>
        <w:t xml:space="preserve"> Bill) de los Estados Unidos. Esto ha permitido su comercialización en lugares donde el delta-9 THC es ilegal, incluyendo Puerto Rico.</w:t>
      </w:r>
    </w:p>
    <w:p w14:paraId="1EABAE43"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7AAFB439" w14:textId="20236DCB" w:rsid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Representantes de la industria, han expresado su preocupación por la venta de productos de delta-8 y delta-9  THC en el archipiélago, ya que muchos de estos productos se venden fuera de los establecimientos regulados, lo que pone en riesgo la salud de los consumidores al no estar sujetos a pruebas de calidad y seguridad. Esta situación refleja la necesidad urgente de establecer regulaciones claras que aborden no solo el delta-9 THC, sino también otros cannabinoides emergentes como el delta-8 THC.</w:t>
      </w:r>
    </w:p>
    <w:p w14:paraId="55FFC22B" w14:textId="77777777" w:rsidR="00D41374" w:rsidRPr="00C22BBE" w:rsidRDefault="00D41374"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41A1D80E"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r w:rsidRPr="00C22BBE">
        <w:rPr>
          <w:rFonts w:ascii="Book Antiqua" w:eastAsia="Times New Roman" w:hAnsi="Book Antiqua" w:cs="AngsanaUPC"/>
          <w:color w:val="0D0D0D"/>
          <w:sz w:val="24"/>
          <w:szCs w:val="24"/>
          <w:lang w:val="es-ES_tradnl"/>
        </w:rPr>
        <w:tab/>
        <w:t xml:space="preserve">Es imperativo que la Cámara de Representantes de Puerto Rico ordene una investigación exhaustiva sobre la regulación del delta-9 y delta-8 THC en la isla. A </w:t>
      </w:r>
      <w:r w:rsidRPr="00C22BBE">
        <w:rPr>
          <w:rFonts w:ascii="Book Antiqua" w:eastAsia="Times New Roman" w:hAnsi="Book Antiqua" w:cs="AngsanaUPC"/>
          <w:color w:val="0D0D0D"/>
          <w:sz w:val="24"/>
          <w:szCs w:val="24"/>
          <w:lang w:val="es-ES_tradnl"/>
        </w:rPr>
        <w:lastRenderedPageBreak/>
        <w:t>través de esta investigación, se debe evaluar el marco regulatorio actual, identificar lagunas y áreas de mejora, y desarrollar políticas públicas que protejan la salud de los puertorriqueños. Es fundamental reconocer los beneficios médicos potenciales de estos productos, pero asegurando siempre que su uso sea controlado, seguro y en conformidad con las normas de salud pública.</w:t>
      </w:r>
    </w:p>
    <w:p w14:paraId="78EA79E8" w14:textId="77777777" w:rsidR="00C22BBE" w:rsidRPr="00C22BBE" w:rsidRDefault="00C22BBE" w:rsidP="00D41374">
      <w:pPr>
        <w:tabs>
          <w:tab w:val="left" w:pos="720"/>
        </w:tabs>
        <w:spacing w:after="0" w:line="240" w:lineRule="auto"/>
        <w:ind w:left="360"/>
        <w:jc w:val="both"/>
        <w:rPr>
          <w:rFonts w:ascii="Book Antiqua" w:eastAsia="Times New Roman" w:hAnsi="Book Antiqua" w:cs="AngsanaUPC"/>
          <w:color w:val="0D0D0D"/>
          <w:sz w:val="24"/>
          <w:szCs w:val="24"/>
          <w:lang w:val="es-ES_tradnl"/>
        </w:rPr>
      </w:pPr>
    </w:p>
    <w:p w14:paraId="5653BDE7" w14:textId="77777777" w:rsidR="00C22BBE" w:rsidRPr="00C22BBE" w:rsidRDefault="00C22BBE" w:rsidP="00D41374">
      <w:pPr>
        <w:autoSpaceDE w:val="0"/>
        <w:autoSpaceDN w:val="0"/>
        <w:spacing w:after="0" w:line="240" w:lineRule="auto"/>
        <w:jc w:val="both"/>
        <w:rPr>
          <w:rFonts w:ascii="Book Antiqua" w:eastAsia="Times New Roman" w:hAnsi="Book Antiqua"/>
          <w:i/>
          <w:iCs/>
          <w:color w:val="0D0D0D"/>
          <w:sz w:val="24"/>
          <w:szCs w:val="24"/>
          <w:lang w:val="es-ES_tradnl"/>
        </w:rPr>
      </w:pPr>
      <w:r w:rsidRPr="00C22BBE">
        <w:rPr>
          <w:rFonts w:ascii="Book Antiqua" w:eastAsia="Times New Roman" w:hAnsi="Book Antiqua" w:cs="AngsanaUPC"/>
          <w:color w:val="0D0D0D"/>
          <w:sz w:val="24"/>
          <w:szCs w:val="24"/>
          <w:lang w:val="es-ES_tradnl"/>
        </w:rPr>
        <w:tab/>
        <w:t>El desarrollo de una política pública robusta no solo garantizará la seguridad de los consumidores, sino que también contribuirá a la legitimidad y sostenibilidad de la industria del cannabis medicinal en Puerto Rico, asegurando que aquellos que realmente necesitan estos tratamientos puedan acceder a ellos de manera segura y efectiva.</w:t>
      </w:r>
      <w:r w:rsidRPr="00C22BBE">
        <w:rPr>
          <w:rFonts w:ascii="Book Antiqua" w:eastAsia="Times New Roman" w:hAnsi="Book Antiqua"/>
          <w:i/>
          <w:iCs/>
          <w:color w:val="0D0D0D"/>
          <w:sz w:val="24"/>
          <w:szCs w:val="24"/>
          <w:lang w:val="es-ES_tradnl"/>
        </w:rPr>
        <w:t xml:space="preserve"> </w:t>
      </w:r>
    </w:p>
    <w:p w14:paraId="77FA68A1" w14:textId="77777777" w:rsidR="004349A5" w:rsidRDefault="004349A5" w:rsidP="00D41374">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D41374">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pgSz w:w="12240" w:h="15840" w:code="1"/>
          <w:pgMar w:top="1440" w:right="1440" w:bottom="1440" w:left="1440" w:header="720" w:footer="720" w:gutter="0"/>
          <w:cols w:space="720"/>
          <w:titlePg/>
          <w:docGrid w:linePitch="360"/>
        </w:sectPr>
      </w:pPr>
    </w:p>
    <w:p w14:paraId="2E10195E" w14:textId="4DBA25D9" w:rsidR="00C22BBE" w:rsidRPr="00C22BBE" w:rsidRDefault="00C22BBE" w:rsidP="00C22BBE">
      <w:pPr>
        <w:widowControl w:val="0"/>
        <w:spacing w:after="0" w:line="480" w:lineRule="auto"/>
        <w:ind w:firstLine="720"/>
        <w:jc w:val="both"/>
        <w:rPr>
          <w:rFonts w:ascii="Book Antiqua" w:eastAsia="MS Mincho" w:hAnsi="Book Antiqua"/>
          <w:sz w:val="24"/>
          <w:szCs w:val="24"/>
          <w:lang w:val="es-PR"/>
        </w:rPr>
      </w:pPr>
      <w:r w:rsidRPr="00C22BBE">
        <w:rPr>
          <w:rFonts w:ascii="Book Antiqua" w:eastAsia="MS Mincho" w:hAnsi="Book Antiqua"/>
          <w:sz w:val="24"/>
          <w:szCs w:val="24"/>
          <w:lang w:val="es-PR"/>
        </w:rPr>
        <w:t>Sección 1.-Se ordena a la Comisión la Comisión de Salud la Cámara de Representantes del Estado Libre Asociado de Puerto Rico, realizar una investigación exhaustiva en cuanto el uso y distribución de Tetrahidrocannabinol (Delta-9 THC) en cumplimiento con la Ley 42-2017, según enmendada, conocida como “Ley para Manejar el Estudio, Desarrollo e Investigación del Cannabis para la Innovación, Normas Aplicables y Límites ("Ley MEDICINAL); efectos de su uso en los jóvenes y adultos.</w:t>
      </w:r>
    </w:p>
    <w:p w14:paraId="3AAA06C9" w14:textId="77777777" w:rsidR="00C22BBE" w:rsidRPr="00C22BBE" w:rsidRDefault="00C22BBE" w:rsidP="00C22BBE">
      <w:pPr>
        <w:widowControl w:val="0"/>
        <w:spacing w:after="0" w:line="480" w:lineRule="auto"/>
        <w:ind w:firstLine="720"/>
        <w:jc w:val="both"/>
        <w:rPr>
          <w:rFonts w:ascii="Book Antiqua" w:eastAsia="MS Mincho" w:hAnsi="Book Antiqua"/>
          <w:sz w:val="24"/>
          <w:szCs w:val="24"/>
          <w:lang w:val="es-PR"/>
        </w:rPr>
      </w:pPr>
      <w:r w:rsidRPr="00C22BBE">
        <w:rPr>
          <w:rFonts w:ascii="Book Antiqua" w:eastAsia="MS Mincho" w:hAnsi="Book Antiqua"/>
          <w:sz w:val="24"/>
          <w:szCs w:val="24"/>
          <w:lang w:val="es-PR"/>
        </w:rPr>
        <w:t>Sección 2.-La Comisión rendirá un Informe con sus hallazgos, conclusiones y recomendaciones, en o antes de que culmine la séptima (7ma.) Sesión Ordinaria de la Vigésima (20ma.) Asamblea Legislativa, u otra Sesión Extra-Ordinaria convocada.</w:t>
      </w:r>
    </w:p>
    <w:p w14:paraId="714746C8" w14:textId="27D32C7B" w:rsidR="00D056D7" w:rsidRPr="006D7F2B" w:rsidRDefault="00C22BBE" w:rsidP="00C22BBE">
      <w:pPr>
        <w:widowControl w:val="0"/>
        <w:spacing w:after="0" w:line="480" w:lineRule="auto"/>
        <w:ind w:firstLine="720"/>
        <w:jc w:val="both"/>
        <w:rPr>
          <w:rFonts w:ascii="Book Antiqua" w:eastAsia="MS Mincho" w:hAnsi="Book Antiqua"/>
          <w:sz w:val="24"/>
          <w:szCs w:val="24"/>
          <w:lang w:val="es-ES_tradnl"/>
        </w:rPr>
      </w:pPr>
      <w:r w:rsidRPr="00C22BBE">
        <w:rPr>
          <w:rFonts w:ascii="Book Antiqua" w:eastAsia="MS Mincho" w:hAnsi="Book Antiqua"/>
          <w:sz w:val="24"/>
          <w:szCs w:val="24"/>
          <w:lang w:val="es-PR"/>
        </w:rPr>
        <w:t>Sección 3.-Esta Resolución comenzará a regir inmediatamente después de su aprobación.</w:t>
      </w:r>
    </w:p>
    <w:sectPr w:rsidR="00D056D7" w:rsidRPr="006D7F2B" w:rsidSect="003E7820">
      <w:headerReference w:type="even" r:id="rId11"/>
      <w:headerReference w:type="default" r:id="rId12"/>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DA581" w14:textId="77777777" w:rsidR="00A47AFF" w:rsidRDefault="00A47AFF">
      <w:pPr>
        <w:spacing w:after="0" w:line="240" w:lineRule="auto"/>
      </w:pPr>
      <w:r>
        <w:separator/>
      </w:r>
    </w:p>
  </w:endnote>
  <w:endnote w:type="continuationSeparator" w:id="0">
    <w:p w14:paraId="61C753AE" w14:textId="77777777" w:rsidR="00A47AFF" w:rsidRDefault="00A4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D6BF1" w14:textId="77777777" w:rsidR="00A47AFF" w:rsidRDefault="00A47AFF">
      <w:pPr>
        <w:spacing w:after="0" w:line="240" w:lineRule="auto"/>
      </w:pPr>
      <w:r>
        <w:separator/>
      </w:r>
    </w:p>
  </w:footnote>
  <w:footnote w:type="continuationSeparator" w:id="0">
    <w:p w14:paraId="62977B72" w14:textId="77777777" w:rsidR="00A47AFF" w:rsidRDefault="00A47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140BBA"/>
    <w:rsid w:val="003612D4"/>
    <w:rsid w:val="003C65C8"/>
    <w:rsid w:val="003E7820"/>
    <w:rsid w:val="004349A5"/>
    <w:rsid w:val="00521E8B"/>
    <w:rsid w:val="005253C3"/>
    <w:rsid w:val="0054505E"/>
    <w:rsid w:val="0055262D"/>
    <w:rsid w:val="00592027"/>
    <w:rsid w:val="00654548"/>
    <w:rsid w:val="006C05FD"/>
    <w:rsid w:val="006D7F2B"/>
    <w:rsid w:val="00721FBC"/>
    <w:rsid w:val="00752FAF"/>
    <w:rsid w:val="0075695E"/>
    <w:rsid w:val="00907DEC"/>
    <w:rsid w:val="00995861"/>
    <w:rsid w:val="00A27D28"/>
    <w:rsid w:val="00A47AFF"/>
    <w:rsid w:val="00A6433F"/>
    <w:rsid w:val="00AC1DBC"/>
    <w:rsid w:val="00B96B8F"/>
    <w:rsid w:val="00C22BBE"/>
    <w:rsid w:val="00C46478"/>
    <w:rsid w:val="00C912E5"/>
    <w:rsid w:val="00CD6646"/>
    <w:rsid w:val="00D056D7"/>
    <w:rsid w:val="00D41374"/>
    <w:rsid w:val="00E029BD"/>
    <w:rsid w:val="00E60313"/>
    <w:rsid w:val="00EC61EE"/>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semiHidden/>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15B40-49BB-4ED5-9BA2-554F091D4320}">
  <ds:schemaRefs>
    <ds:schemaRef ds:uri="http://purl.org/dc/terms/"/>
    <ds:schemaRef ds:uri="http://purl.org/dc/elements/1.1/"/>
    <ds:schemaRef ds:uri="http://schemas.microsoft.com/office/2006/documentManagement/types"/>
    <ds:schemaRef ds:uri="http://schemas.microsoft.com/office/2006/metadata/properties"/>
    <ds:schemaRef ds:uri="92f57704-3039-4ebf-ac81-f8b12810bd0e"/>
    <ds:schemaRef ds:uri="http://www.w3.org/XML/1998/namespace"/>
    <ds:schemaRef ds:uri="http://schemas.microsoft.com/office/infopath/2007/PartnerControls"/>
    <ds:schemaRef ds:uri="http://schemas.openxmlformats.org/package/2006/metadata/core-properties"/>
    <ds:schemaRef ds:uri="f98376c4-2382-4917-8550-2b1a451c8c43"/>
    <ds:schemaRef ds:uri="http://purl.org/dc/dcmitype/"/>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949</Words>
  <Characters>5469</Characters>
  <Application>Microsoft Office Word</Application>
  <DocSecurity>0</DocSecurity>
  <Lines>45</Lines>
  <Paragraphs>12</Paragraphs>
  <ScaleCrop>false</ScaleCrop>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4</cp:revision>
  <cp:lastPrinted>2025-01-13T22:23:00Z</cp:lastPrinted>
  <dcterms:created xsi:type="dcterms:W3CDTF">2025-01-13T19:39:00Z</dcterms:created>
  <dcterms:modified xsi:type="dcterms:W3CDTF">2025-01-13T22:28:00Z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