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4F27D015"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t>1</w:t>
      </w:r>
      <w:r w:rsidR="00C671E3">
        <w:rPr>
          <w:rFonts w:ascii="Book Antiqua" w:eastAsia="Book Antiqua" w:hAnsi="Book Antiqua" w:cs="Book Antiqua"/>
          <w:color w:val="000000"/>
          <w:sz w:val="24"/>
          <w:szCs w:val="24"/>
          <w:lang w:val="es-ES"/>
        </w:rPr>
        <w:t xml:space="preserve"> </w:t>
      </w:r>
      <w:proofErr w:type="spellStart"/>
      <w:r w:rsidRPr="000273A0">
        <w:rPr>
          <w:rFonts w:ascii="Book Antiqua" w:eastAsia="Book Antiqua" w:hAnsi="Book Antiqua" w:cs="Book Antiqua"/>
          <w:color w:val="000000"/>
          <w:sz w:val="24"/>
          <w:szCs w:val="24"/>
          <w:vertAlign w:val="superscript"/>
          <w:lang w:val="es-ES"/>
        </w:rPr>
        <w:t>ra</w:t>
      </w:r>
      <w:proofErr w:type="spellEnd"/>
      <w:r w:rsidRPr="000273A0">
        <w:rPr>
          <w:rFonts w:ascii="Book Antiqua" w:eastAsia="Book Antiqua" w:hAnsi="Book Antiqua" w:cs="Book Antiqua"/>
          <w:color w:val="000000"/>
          <w:sz w:val="24"/>
          <w:szCs w:val="24"/>
          <w:vertAlign w:val="superscript"/>
          <w:lang w:val="es-ES"/>
        </w:rPr>
        <w:t>.</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12B867BE"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 xml:space="preserve">P. del S. </w:t>
      </w:r>
      <w:r w:rsidR="00C50BF8">
        <w:rPr>
          <w:rFonts w:ascii="Book Antiqua" w:hAnsi="Book Antiqua"/>
          <w:b/>
          <w:sz w:val="52"/>
          <w:szCs w:val="52"/>
          <w:lang w:val="es-ES"/>
        </w:rPr>
        <w:t>284</w:t>
      </w:r>
    </w:p>
    <w:p w14:paraId="3909FDBF" w14:textId="705406F0" w:rsidR="00BF407C" w:rsidRPr="00B66E92" w:rsidRDefault="00BF407C" w:rsidP="00B66E92">
      <w:pPr>
        <w:spacing w:after="0" w:line="240" w:lineRule="auto"/>
        <w:jc w:val="center"/>
        <w:rPr>
          <w:rFonts w:ascii="Book Antiqua" w:eastAsia="Times New Roman" w:hAnsi="Book Antiqua" w:cs="Times New Roman"/>
          <w:b/>
          <w:sz w:val="24"/>
          <w:szCs w:val="24"/>
          <w:lang w:val="es-ES"/>
        </w:rPr>
      </w:pPr>
      <w:r w:rsidRPr="001649EF">
        <w:rPr>
          <w:rFonts w:ascii="Book Antiqua" w:eastAsia="Times New Roman" w:hAnsi="Book Antiqua" w:cs="Times New Roman"/>
          <w:b/>
          <w:sz w:val="24"/>
          <w:szCs w:val="24"/>
          <w:lang w:val="es-ES"/>
        </w:rPr>
        <w:t xml:space="preserve">INFORME </w:t>
      </w:r>
      <w:r w:rsidR="00AF1148">
        <w:rPr>
          <w:rFonts w:ascii="Book Antiqua" w:eastAsia="Times New Roman" w:hAnsi="Book Antiqua" w:cs="Times New Roman"/>
          <w:b/>
          <w:sz w:val="24"/>
          <w:szCs w:val="24"/>
          <w:lang w:val="es-ES"/>
        </w:rPr>
        <w:t>NEGATIVO</w:t>
      </w:r>
      <w:r w:rsidRPr="001649EF">
        <w:rPr>
          <w:rFonts w:ascii="Book Antiqua" w:eastAsia="Times New Roman" w:hAnsi="Book Antiqua" w:cs="Times New Roman"/>
          <w:b/>
          <w:sz w:val="24"/>
          <w:szCs w:val="24"/>
          <w:lang w:val="es-ES"/>
        </w:rPr>
        <w:t xml:space="preserve"> </w:t>
      </w:r>
      <w:r w:rsidRPr="001649EF">
        <w:rPr>
          <w:rFonts w:ascii="Book Antiqua" w:eastAsia="Times New Roman" w:hAnsi="Book Antiqua" w:cs="Times New Roman"/>
          <w:b/>
          <w:sz w:val="24"/>
          <w:szCs w:val="24"/>
          <w:lang w:val="es-ES"/>
        </w:rPr>
        <w:br/>
      </w:r>
      <w:r w:rsidRPr="00B66E92">
        <w:rPr>
          <w:rFonts w:ascii="Book Antiqua" w:eastAsia="Times New Roman" w:hAnsi="Book Antiqua" w:cs="Times New Roman"/>
          <w:b/>
          <w:sz w:val="24"/>
          <w:szCs w:val="24"/>
          <w:lang w:val="es-ES"/>
        </w:rPr>
        <w:br/>
      </w:r>
      <w:r w:rsidR="007D6A59">
        <w:rPr>
          <w:rFonts w:ascii="Book Antiqua" w:eastAsia="Times New Roman" w:hAnsi="Book Antiqua" w:cs="Times New Roman"/>
          <w:sz w:val="24"/>
          <w:szCs w:val="24"/>
          <w:lang w:val="es-ES"/>
        </w:rPr>
        <w:t>23</w:t>
      </w:r>
      <w:r w:rsidR="00AF550C">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 xml:space="preserve">de </w:t>
      </w:r>
      <w:r w:rsidR="00C671E3" w:rsidRPr="00B66E92">
        <w:rPr>
          <w:rFonts w:ascii="Book Antiqua" w:eastAsia="Times New Roman" w:hAnsi="Book Antiqua" w:cs="Times New Roman"/>
          <w:sz w:val="24"/>
          <w:szCs w:val="24"/>
          <w:lang w:val="es-ES"/>
        </w:rPr>
        <w:t xml:space="preserve">junio </w:t>
      </w:r>
      <w:r w:rsidRPr="00B66E92">
        <w:rPr>
          <w:rFonts w:ascii="Book Antiqua" w:eastAsia="Times New Roman" w:hAnsi="Book Antiqua" w:cs="Times New Roman"/>
          <w:sz w:val="24"/>
          <w:szCs w:val="24"/>
          <w:lang w:val="es-ES"/>
        </w:rPr>
        <w:t>de 2025</w:t>
      </w:r>
    </w:p>
    <w:p w14:paraId="4F585915" w14:textId="77777777" w:rsidR="00BF407C" w:rsidRPr="00B66E92"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23A60ADA"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 xml:space="preserve">Proyecto del Senado </w:t>
      </w:r>
      <w:r w:rsidR="00C50BF8">
        <w:rPr>
          <w:rStyle w:val="normaltextrun"/>
          <w:rFonts w:ascii="Book Antiqua" w:hAnsi="Book Antiqua"/>
          <w:b/>
          <w:bCs/>
          <w:color w:val="000000"/>
          <w:sz w:val="24"/>
          <w:szCs w:val="24"/>
          <w:shd w:val="clear" w:color="auto" w:fill="FFFFFF"/>
          <w:lang w:val="es-ES"/>
        </w:rPr>
        <w:t>284</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64C07DA3" w14:textId="0386947A" w:rsidR="00AF550C" w:rsidRPr="00AF550C" w:rsidRDefault="00DC2372" w:rsidP="00115BA5">
      <w:pPr>
        <w:spacing w:after="0" w:line="360" w:lineRule="auto"/>
        <w:ind w:firstLine="720"/>
        <w:jc w:val="both"/>
        <w:rPr>
          <w:rFonts w:ascii="Book Antiqua" w:hAnsi="Book Antiqua"/>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 xml:space="preserve">del Senado </w:t>
      </w:r>
      <w:r w:rsidR="00C50BF8">
        <w:rPr>
          <w:rFonts w:ascii="Book Antiqua" w:eastAsia="Times New Roman" w:hAnsi="Book Antiqua" w:cs="Times New Roman"/>
          <w:sz w:val="24"/>
          <w:szCs w:val="24"/>
          <w:lang w:val="es-ES"/>
        </w:rPr>
        <w:t>284</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tiene como propósito</w:t>
      </w:r>
      <w:r w:rsidR="00AF550C">
        <w:rPr>
          <w:rFonts w:ascii="Book Antiqua" w:eastAsia="Times New Roman" w:hAnsi="Book Antiqua" w:cs="Times New Roman"/>
          <w:sz w:val="24"/>
          <w:szCs w:val="24"/>
          <w:lang w:val="es-ES"/>
        </w:rPr>
        <w:t xml:space="preserve"> </w:t>
      </w:r>
      <w:r w:rsidR="002F410F" w:rsidRPr="002F410F">
        <w:rPr>
          <w:rFonts w:ascii="Book Antiqua" w:eastAsia="Times New Roman" w:hAnsi="Book Antiqua" w:cs="Times New Roman"/>
          <w:sz w:val="24"/>
          <w:szCs w:val="24"/>
          <w:lang w:val="es-ES_tradnl"/>
        </w:rPr>
        <w:t xml:space="preserve">crear la “Ley de Legitimación Activa Ambiental”, a los fines de otorgar legitimación activa estatutaria plena a cualquier persona en Puerto Rico que, motivada por el propósito de hacer valer la política pública ambiental, interese presentar, intervenir, solicitar reconsideración, recurrir o apelar como parte en cualquier acción o causa civil o administrativa bajo cualquier ley, reglamento u otra fuente jurídica que verse sobre asuntos ambientales, ecológicos o relacionadas a la protección, conservación o desarrollo de los recursos naturales o que tengan un impacto directo o indirecto en cuanto a estos asuntos; enmendar las Secciones 3.5, 3.15, 4.2 y 4.7 de la Ley 38-2017, según enmendada, conocida como “Ley de Procedimiento Administrativo Uniforme del Gobierno de Puerto Rico”; enmendar los Artículos 9.8, 13.1, 14.1 y 14.6 de la Ley 161-2009, según enmendada, conocida como “Ley para la Reforma </w:t>
      </w:r>
      <w:r w:rsidR="002F410F" w:rsidRPr="002F410F">
        <w:rPr>
          <w:rFonts w:ascii="Book Antiqua" w:eastAsia="Times New Roman" w:hAnsi="Book Antiqua" w:cs="Times New Roman"/>
          <w:sz w:val="24"/>
          <w:szCs w:val="24"/>
          <w:lang w:val="es-ES_tradnl"/>
        </w:rPr>
        <w:lastRenderedPageBreak/>
        <w:t>del Proceso de Permisos de Puerto Rico”; enmendar los Artículos 12 y 19 de la Ley 416-2004, según enmendada, conocida como “Ley Sobre Política Pública Ambiental”; y para decretar otras disposiciones complementarias</w:t>
      </w:r>
      <w:r w:rsidR="00AF550C" w:rsidRPr="00AF550C">
        <w:rPr>
          <w:rFonts w:ascii="Book Antiqua" w:hAnsi="Book Antiqua"/>
          <w:sz w:val="24"/>
          <w:szCs w:val="24"/>
          <w:lang w:val="es-PR"/>
        </w:rPr>
        <w:t>.</w:t>
      </w:r>
      <w:r w:rsidR="00A5249B">
        <w:rPr>
          <w:rStyle w:val="FootnoteReference"/>
          <w:rFonts w:ascii="Book Antiqua" w:hAnsi="Book Antiqua"/>
          <w:sz w:val="24"/>
          <w:szCs w:val="24"/>
          <w:lang w:val="es-PR"/>
        </w:rPr>
        <w:footnoteReference w:id="1"/>
      </w:r>
    </w:p>
    <w:p w14:paraId="249FAC15" w14:textId="47A0C914" w:rsidR="009967C7" w:rsidRPr="00AF550C" w:rsidRDefault="009967C7" w:rsidP="009967C7">
      <w:pPr>
        <w:spacing w:after="0" w:line="240" w:lineRule="auto"/>
        <w:jc w:val="both"/>
        <w:rPr>
          <w:rFonts w:ascii="Book Antiqua" w:eastAsia="Times New Roman" w:hAnsi="Book Antiqua" w:cs="Times New Roman"/>
          <w:sz w:val="24"/>
          <w:szCs w:val="24"/>
          <w:lang w:val="es-PR"/>
        </w:rPr>
      </w:pPr>
    </w:p>
    <w:p w14:paraId="69FA1523" w14:textId="4E05EC03" w:rsidR="0075038A" w:rsidRDefault="003C78B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INTRODUCCIÓN</w:t>
      </w:r>
    </w:p>
    <w:p w14:paraId="457ECF26" w14:textId="77777777" w:rsidR="009967C7" w:rsidRPr="00B66E92" w:rsidRDefault="009967C7" w:rsidP="009967C7">
      <w:pPr>
        <w:spacing w:after="0" w:line="240" w:lineRule="auto"/>
        <w:jc w:val="center"/>
        <w:rPr>
          <w:rFonts w:ascii="Book Antiqua" w:eastAsia="Times New Roman" w:hAnsi="Book Antiqua" w:cs="Times New Roman"/>
          <w:b/>
          <w:sz w:val="24"/>
          <w:szCs w:val="24"/>
          <w:lang w:val="es-ES"/>
        </w:rPr>
      </w:pPr>
    </w:p>
    <w:p w14:paraId="32E9C7E3" w14:textId="08C00F81" w:rsidR="002F410F" w:rsidRPr="002F410F" w:rsidRDefault="002F410F" w:rsidP="002F410F">
      <w:pPr>
        <w:pStyle w:val="NormalWeb"/>
        <w:spacing w:before="0" w:beforeAutospacing="0" w:after="0" w:afterAutospacing="0" w:line="360" w:lineRule="auto"/>
        <w:ind w:firstLine="720"/>
        <w:jc w:val="both"/>
        <w:rPr>
          <w:rFonts w:ascii="Book Antiqua" w:hAnsi="Book Antiqua"/>
          <w:lang w:val="es-PR"/>
        </w:rPr>
      </w:pPr>
      <w:r w:rsidRPr="002F410F">
        <w:rPr>
          <w:rFonts w:ascii="Book Antiqua" w:hAnsi="Book Antiqua"/>
          <w:lang w:val="es-PR"/>
        </w:rPr>
        <w:t>Según</w:t>
      </w:r>
      <w:r>
        <w:rPr>
          <w:rFonts w:ascii="Book Antiqua" w:hAnsi="Book Antiqua"/>
          <w:lang w:val="es-PR"/>
        </w:rPr>
        <w:t xml:space="preserve"> la</w:t>
      </w:r>
      <w:r w:rsidRPr="002F410F">
        <w:rPr>
          <w:rFonts w:ascii="Book Antiqua" w:hAnsi="Book Antiqua"/>
          <w:lang w:val="es-PR"/>
        </w:rPr>
        <w:t xml:space="preserve"> Exposición de Motivos</w:t>
      </w:r>
      <w:r>
        <w:rPr>
          <w:rFonts w:ascii="Book Antiqua" w:hAnsi="Book Antiqua"/>
          <w:lang w:val="es-PR"/>
        </w:rPr>
        <w:t xml:space="preserve"> del P. del S. 284</w:t>
      </w:r>
      <w:r w:rsidRPr="002F410F">
        <w:rPr>
          <w:rFonts w:ascii="Book Antiqua" w:hAnsi="Book Antiqua"/>
          <w:lang w:val="es-PR"/>
        </w:rPr>
        <w:t>, en Puerto Rico, la protección del medio ambiente está establecida como una política pública constitucional</w:t>
      </w:r>
      <w:r w:rsidR="00280801" w:rsidRPr="00280801">
        <w:rPr>
          <w:rFonts w:ascii="Book Antiqua" w:hAnsi="Book Antiqua"/>
          <w:lang w:val="es-ES_tradnl"/>
        </w:rPr>
        <w:t xml:space="preserve">: “Será política pública del Estado Libre Asociado de Puerto Rico la más eficaz conservación de sus recursos naturales, así como el mayor desarrollo y aprovechamiento de </w:t>
      </w:r>
      <w:r w:rsidR="00F912F4" w:rsidRPr="00280801">
        <w:rPr>
          <w:rFonts w:ascii="Book Antiqua" w:hAnsi="Book Antiqua"/>
          <w:lang w:val="es-ES_tradnl"/>
        </w:rPr>
        <w:t>estos</w:t>
      </w:r>
      <w:r w:rsidR="00280801" w:rsidRPr="00280801">
        <w:rPr>
          <w:rFonts w:ascii="Book Antiqua" w:hAnsi="Book Antiqua"/>
          <w:lang w:val="es-ES_tradnl"/>
        </w:rPr>
        <w:t xml:space="preserve"> para el beneficio general de la comunidad”</w:t>
      </w:r>
      <w:r w:rsidRPr="002F410F">
        <w:rPr>
          <w:rFonts w:ascii="Book Antiqua" w:hAnsi="Book Antiqua"/>
          <w:lang w:val="es-PR"/>
        </w:rPr>
        <w:t xml:space="preserve">. Sin embargo, se menciona que, en el caso </w:t>
      </w:r>
      <w:proofErr w:type="spellStart"/>
      <w:r w:rsidRPr="002F410F">
        <w:rPr>
          <w:rFonts w:ascii="Book Antiqua" w:hAnsi="Book Antiqua"/>
          <w:i/>
          <w:iCs/>
          <w:lang w:val="es-PR"/>
        </w:rPr>
        <w:t>Fund</w:t>
      </w:r>
      <w:proofErr w:type="spellEnd"/>
      <w:r w:rsidRPr="002F410F">
        <w:rPr>
          <w:rFonts w:ascii="Book Antiqua" w:hAnsi="Book Antiqua"/>
          <w:i/>
          <w:iCs/>
          <w:lang w:val="es-PR"/>
        </w:rPr>
        <w:t xml:space="preserve">. </w:t>
      </w:r>
      <w:proofErr w:type="spellStart"/>
      <w:r w:rsidRPr="002F410F">
        <w:rPr>
          <w:rFonts w:ascii="Book Antiqua" w:hAnsi="Book Antiqua"/>
          <w:i/>
          <w:iCs/>
          <w:lang w:val="es-PR"/>
        </w:rPr>
        <w:t>Surfrider</w:t>
      </w:r>
      <w:proofErr w:type="spellEnd"/>
      <w:r w:rsidRPr="002F410F">
        <w:rPr>
          <w:rFonts w:ascii="Book Antiqua" w:hAnsi="Book Antiqua"/>
          <w:i/>
          <w:iCs/>
          <w:lang w:val="es-PR"/>
        </w:rPr>
        <w:t xml:space="preserve"> v. </w:t>
      </w:r>
      <w:proofErr w:type="spellStart"/>
      <w:r w:rsidRPr="002F410F">
        <w:rPr>
          <w:rFonts w:ascii="Book Antiqua" w:hAnsi="Book Antiqua"/>
          <w:i/>
          <w:iCs/>
          <w:lang w:val="es-PR"/>
        </w:rPr>
        <w:t>A.R.Pe</w:t>
      </w:r>
      <w:proofErr w:type="spellEnd"/>
      <w:r w:rsidRPr="002F410F">
        <w:rPr>
          <w:rFonts w:ascii="Book Antiqua" w:hAnsi="Book Antiqua"/>
          <w:i/>
          <w:iCs/>
          <w:lang w:val="es-PR"/>
        </w:rPr>
        <w:t>.</w:t>
      </w:r>
      <w:r w:rsidRPr="002F410F">
        <w:rPr>
          <w:rFonts w:ascii="Book Antiqua" w:hAnsi="Book Antiqua"/>
          <w:lang w:val="es-PR"/>
        </w:rPr>
        <w:t>, el Tribunal Supremo de Puerto Rico limitó la legitimación activa de las entidades que defienden el medio ambiente para recurrir decisiones administrativas que tengan un impacto ambiental. Esta limitación, según</w:t>
      </w:r>
      <w:r w:rsidR="00280801">
        <w:rPr>
          <w:rFonts w:ascii="Book Antiqua" w:hAnsi="Book Antiqua"/>
          <w:lang w:val="es-PR"/>
        </w:rPr>
        <w:t xml:space="preserve"> se</w:t>
      </w:r>
      <w:r w:rsidRPr="002F410F">
        <w:rPr>
          <w:rFonts w:ascii="Book Antiqua" w:hAnsi="Book Antiqua"/>
          <w:lang w:val="es-PR"/>
        </w:rPr>
        <w:t xml:space="preserve"> </w:t>
      </w:r>
      <w:r w:rsidR="00280801">
        <w:rPr>
          <w:rFonts w:ascii="Book Antiqua" w:hAnsi="Book Antiqua"/>
          <w:lang w:val="es-PR"/>
        </w:rPr>
        <w:t>señala</w:t>
      </w:r>
      <w:r w:rsidRPr="002F410F">
        <w:rPr>
          <w:rFonts w:ascii="Book Antiqua" w:hAnsi="Book Antiqua"/>
          <w:lang w:val="es-PR"/>
        </w:rPr>
        <w:t>, ha obstaculizado el cumplimiento efectivo de la política pública ambiental, al restringir el acceso a los foros judiciales y administrativos para aquellos interesados en proteger el entorno.</w:t>
      </w:r>
    </w:p>
    <w:p w14:paraId="4DA61C44" w14:textId="3EB5BE26" w:rsidR="002F410F" w:rsidRPr="002F410F" w:rsidRDefault="002F410F" w:rsidP="002F410F">
      <w:pPr>
        <w:pStyle w:val="NormalWeb"/>
        <w:spacing w:before="0" w:beforeAutospacing="0" w:after="0" w:afterAutospacing="0" w:line="360" w:lineRule="auto"/>
        <w:ind w:firstLine="720"/>
        <w:jc w:val="both"/>
        <w:rPr>
          <w:rFonts w:ascii="Book Antiqua" w:hAnsi="Book Antiqua"/>
          <w:lang w:val="es-PR"/>
        </w:rPr>
      </w:pPr>
      <w:r w:rsidRPr="002F410F">
        <w:rPr>
          <w:rFonts w:ascii="Book Antiqua" w:hAnsi="Book Antiqua"/>
          <w:lang w:val="es-PR"/>
        </w:rPr>
        <w:t xml:space="preserve">En este contexto, </w:t>
      </w:r>
      <w:r w:rsidR="0042325E">
        <w:rPr>
          <w:rFonts w:ascii="Book Antiqua" w:hAnsi="Book Antiqua"/>
          <w:lang w:val="es-PR"/>
        </w:rPr>
        <w:t xml:space="preserve">según la parte expositiva, </w:t>
      </w:r>
      <w:r w:rsidR="0042325E" w:rsidRPr="002F410F">
        <w:rPr>
          <w:rFonts w:ascii="Book Antiqua" w:hAnsi="Book Antiqua"/>
          <w:lang w:val="es-PR"/>
        </w:rPr>
        <w:t>el</w:t>
      </w:r>
      <w:r w:rsidR="0042325E">
        <w:rPr>
          <w:rFonts w:ascii="Book Antiqua" w:hAnsi="Book Antiqua"/>
          <w:lang w:val="es-PR"/>
        </w:rPr>
        <w:t xml:space="preserve"> P. del S.</w:t>
      </w:r>
      <w:r w:rsidRPr="002F410F">
        <w:rPr>
          <w:rFonts w:ascii="Book Antiqua" w:hAnsi="Book Antiqua"/>
          <w:lang w:val="es-PR"/>
        </w:rPr>
        <w:t xml:space="preserve"> 284 tiene como finalidad otorgar legitimación activa estatutaria de manera amplia, permitiendo que cualquier persona, organización o grupo con interés en la protección del medio ambiente, áreas naturales, especies o en mitigar los efectos del cambio climático, pueda presentar, intervenir, solicitar reconsideración, recurrir o apelar en acciones civiles o administrativas relacionadas con estos temas. </w:t>
      </w:r>
      <w:r w:rsidR="0042325E">
        <w:rPr>
          <w:rFonts w:ascii="Book Antiqua" w:hAnsi="Book Antiqua"/>
          <w:lang w:val="es-PR"/>
        </w:rPr>
        <w:t xml:space="preserve">Además, </w:t>
      </w:r>
      <w:r w:rsidR="0042325E" w:rsidRPr="002F410F">
        <w:rPr>
          <w:rFonts w:ascii="Book Antiqua" w:hAnsi="Book Antiqua"/>
          <w:lang w:val="es-PR"/>
        </w:rPr>
        <w:t>la</w:t>
      </w:r>
      <w:r w:rsidRPr="002F410F">
        <w:rPr>
          <w:rFonts w:ascii="Book Antiqua" w:hAnsi="Book Antiqua"/>
          <w:lang w:val="es-PR"/>
        </w:rPr>
        <w:t xml:space="preserve"> medida </w:t>
      </w:r>
      <w:r w:rsidR="0042325E">
        <w:rPr>
          <w:rFonts w:ascii="Book Antiqua" w:hAnsi="Book Antiqua"/>
          <w:lang w:val="es-PR"/>
        </w:rPr>
        <w:t xml:space="preserve">propuesta </w:t>
      </w:r>
      <w:r w:rsidRPr="002F410F">
        <w:rPr>
          <w:rFonts w:ascii="Book Antiqua" w:hAnsi="Book Antiqua"/>
          <w:lang w:val="es-PR"/>
        </w:rPr>
        <w:t xml:space="preserve">también enmienda diversas disposiciones de la Ley 19-2017 y la Ley 416-2004, ampliando el universo de personas que pueden solicitar revisiones o presentar acciones judiciales. Asimismo, se establece que ninguna acción será desestimada por falta de legitimación activa sin haber celebrado una vista </w:t>
      </w:r>
      <w:proofErr w:type="spellStart"/>
      <w:r w:rsidR="006B3955" w:rsidRPr="002F410F">
        <w:rPr>
          <w:rFonts w:ascii="Book Antiqua" w:hAnsi="Book Antiqua"/>
          <w:lang w:val="es-PR"/>
        </w:rPr>
        <w:t>evidenciar</w:t>
      </w:r>
      <w:r w:rsidR="006B3955">
        <w:rPr>
          <w:rFonts w:ascii="Book Antiqua" w:hAnsi="Book Antiqua"/>
          <w:lang w:val="es-PR"/>
        </w:rPr>
        <w:t>ia</w:t>
      </w:r>
      <w:proofErr w:type="spellEnd"/>
      <w:r w:rsidR="006B3955">
        <w:rPr>
          <w:rFonts w:ascii="Book Antiqua" w:hAnsi="Book Antiqua"/>
          <w:lang w:val="es-PR"/>
        </w:rPr>
        <w:t xml:space="preserve"> </w:t>
      </w:r>
      <w:r w:rsidRPr="002F410F">
        <w:rPr>
          <w:rFonts w:ascii="Book Antiqua" w:hAnsi="Book Antiqua"/>
          <w:lang w:val="es-PR"/>
        </w:rPr>
        <w:t>para evaluar la legitimidad de la acción.</w:t>
      </w:r>
    </w:p>
    <w:p w14:paraId="305326B8" w14:textId="603AEB30" w:rsidR="00C0212B" w:rsidRPr="00C0212B" w:rsidRDefault="002F410F" w:rsidP="004A7E4A">
      <w:pPr>
        <w:pStyle w:val="NormalWeb"/>
        <w:spacing w:before="0" w:beforeAutospacing="0" w:after="0" w:afterAutospacing="0" w:line="360" w:lineRule="auto"/>
        <w:ind w:firstLine="720"/>
        <w:jc w:val="both"/>
        <w:rPr>
          <w:rFonts w:ascii="Book Antiqua" w:hAnsi="Book Antiqua"/>
          <w:lang w:val="es-PR"/>
        </w:rPr>
      </w:pPr>
      <w:r w:rsidRPr="002F410F">
        <w:rPr>
          <w:rFonts w:ascii="Book Antiqua" w:hAnsi="Book Antiqua"/>
          <w:lang w:val="es-PR"/>
        </w:rPr>
        <w:lastRenderedPageBreak/>
        <w:t xml:space="preserve">Por último, </w:t>
      </w:r>
      <w:r w:rsidR="0042325E">
        <w:rPr>
          <w:rFonts w:ascii="Book Antiqua" w:hAnsi="Book Antiqua"/>
          <w:lang w:val="es-PR"/>
        </w:rPr>
        <w:t>expresa la parte explicativa del Proyecto</w:t>
      </w:r>
      <w:r w:rsidRPr="002F410F">
        <w:rPr>
          <w:rFonts w:ascii="Book Antiqua" w:hAnsi="Book Antiqua"/>
          <w:lang w:val="es-PR"/>
        </w:rPr>
        <w:t xml:space="preserve">, </w:t>
      </w:r>
      <w:r w:rsidR="0042325E">
        <w:rPr>
          <w:rFonts w:ascii="Book Antiqua" w:hAnsi="Book Antiqua"/>
          <w:lang w:val="es-PR"/>
        </w:rPr>
        <w:t xml:space="preserve">que, </w:t>
      </w:r>
      <w:r w:rsidRPr="002F410F">
        <w:rPr>
          <w:rFonts w:ascii="Book Antiqua" w:hAnsi="Book Antiqua"/>
          <w:lang w:val="es-PR"/>
        </w:rPr>
        <w:t>con esta medida Puerto Rico se alinearía con otros países que han reconocido el derecho de sus ciudadanos a proteger el medio ambiente, permitiendo que estos tramiten acciones dirigidas a cuestionar actuaciones que puedan causar daños ambientales, como la contaminación o la pérdida de biodiversidad.</w:t>
      </w:r>
    </w:p>
    <w:p w14:paraId="5004A757"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29FBD40D" w14:textId="506739DD" w:rsidR="00F7790D" w:rsidRPr="00B66E92" w:rsidRDefault="007B2B0E" w:rsidP="009967C7">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129D0944" w14:textId="77777777" w:rsidR="00681792" w:rsidRPr="00B66E92" w:rsidRDefault="00F7790D" w:rsidP="009967C7">
      <w:pPr>
        <w:snapToGrid w:val="0"/>
        <w:spacing w:after="0" w:line="240" w:lineRule="auto"/>
        <w:jc w:val="both"/>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b/>
      </w:r>
    </w:p>
    <w:p w14:paraId="21828375" w14:textId="772814BB" w:rsidR="002B637C" w:rsidRPr="00BB39AC" w:rsidRDefault="00CD45E9" w:rsidP="00BB39AC">
      <w:pPr>
        <w:snapToGrid w:val="0"/>
        <w:spacing w:after="0" w:line="360" w:lineRule="auto"/>
        <w:ind w:firstLine="720"/>
        <w:jc w:val="both"/>
        <w:rPr>
          <w:rFonts w:ascii="Book Antiqua" w:eastAsia="Times New Roman" w:hAnsi="Book Antiqua" w:cs="Times New Roman"/>
          <w:bCs/>
          <w:sz w:val="24"/>
          <w:szCs w:val="24"/>
          <w:lang w:val="es-PR"/>
        </w:rPr>
      </w:pPr>
      <w:r w:rsidRPr="00B66E92">
        <w:rPr>
          <w:rFonts w:ascii="Book Antiqua" w:hAnsi="Book Antiqua"/>
          <w:sz w:val="24"/>
          <w:szCs w:val="24"/>
          <w:lang w:val="es-PR"/>
        </w:rPr>
        <w:t xml:space="preserve">La Comisión de </w:t>
      </w:r>
      <w:r w:rsidR="00DA0691">
        <w:rPr>
          <w:rFonts w:ascii="Book Antiqua" w:hAnsi="Book Antiqua"/>
          <w:sz w:val="24"/>
          <w:szCs w:val="24"/>
          <w:lang w:val="es-PR"/>
        </w:rPr>
        <w:t>Innovación, Reforma y Nombramientos</w:t>
      </w:r>
      <w:r w:rsidRPr="00B66E92">
        <w:rPr>
          <w:rFonts w:ascii="Book Antiqua" w:hAnsi="Book Antiqua"/>
          <w:sz w:val="24"/>
          <w:szCs w:val="24"/>
          <w:lang w:val="es-PR"/>
        </w:rPr>
        <w:t xml:space="preserve"> del Senado de Puerto Rico, en cumplimiento de su responsabilidad y deber ministerial en el estudio y evaluación del Proyecto del Senado </w:t>
      </w:r>
      <w:r w:rsidR="004C619E">
        <w:rPr>
          <w:rFonts w:ascii="Book Antiqua" w:hAnsi="Book Antiqua"/>
          <w:sz w:val="24"/>
          <w:szCs w:val="24"/>
          <w:lang w:val="es-PR"/>
        </w:rPr>
        <w:t>284</w:t>
      </w:r>
      <w:r w:rsidRPr="00B66E92">
        <w:rPr>
          <w:rFonts w:ascii="Book Antiqua" w:hAnsi="Book Antiqua"/>
          <w:sz w:val="24"/>
          <w:szCs w:val="24"/>
          <w:lang w:val="es-PR"/>
        </w:rPr>
        <w:t>, realizó un análisis detallado de la medida.</w:t>
      </w:r>
      <w:r w:rsidR="00EC291A" w:rsidRPr="00B66E92">
        <w:rPr>
          <w:rFonts w:ascii="Book Antiqua" w:eastAsia="Times New Roman" w:hAnsi="Book Antiqua" w:cs="Times New Roman"/>
          <w:bCs/>
          <w:sz w:val="24"/>
          <w:szCs w:val="24"/>
          <w:lang w:val="es-ES"/>
        </w:rPr>
        <w:t xml:space="preserve"> </w:t>
      </w:r>
      <w:r w:rsidR="0021388E" w:rsidRPr="00B66E92">
        <w:rPr>
          <w:rFonts w:ascii="Book Antiqua" w:eastAsia="Times New Roman" w:hAnsi="Book Antiqua" w:cs="Times New Roman"/>
          <w:bCs/>
          <w:sz w:val="24"/>
          <w:szCs w:val="24"/>
          <w:lang w:val="es-ES"/>
        </w:rPr>
        <w:t xml:space="preserve">La </w:t>
      </w:r>
      <w:r w:rsidR="00F55108">
        <w:rPr>
          <w:rFonts w:ascii="Book Antiqua" w:eastAsia="Times New Roman" w:hAnsi="Book Antiqua" w:cs="Times New Roman"/>
          <w:bCs/>
          <w:sz w:val="24"/>
          <w:szCs w:val="24"/>
          <w:lang w:val="es-ES"/>
        </w:rPr>
        <w:t xml:space="preserve">Comisión </w:t>
      </w:r>
      <w:r w:rsidR="000D15E6">
        <w:rPr>
          <w:rFonts w:ascii="Book Antiqua" w:eastAsia="Times New Roman" w:hAnsi="Book Antiqua" w:cs="Times New Roman"/>
          <w:bCs/>
          <w:sz w:val="24"/>
          <w:szCs w:val="24"/>
          <w:lang w:val="es-ES"/>
        </w:rPr>
        <w:t xml:space="preserve">solicitó </w:t>
      </w:r>
      <w:r w:rsidR="0004764E">
        <w:rPr>
          <w:rFonts w:ascii="Book Antiqua" w:eastAsia="Times New Roman" w:hAnsi="Book Antiqua" w:cs="Times New Roman"/>
          <w:bCs/>
          <w:sz w:val="24"/>
          <w:szCs w:val="24"/>
          <w:lang w:val="es-ES"/>
        </w:rPr>
        <w:t>comentarios escritos a las siguientes agencias</w:t>
      </w:r>
      <w:r w:rsidR="00DA0691">
        <w:rPr>
          <w:rFonts w:ascii="Book Antiqua" w:eastAsia="Times New Roman" w:hAnsi="Book Antiqua" w:cs="Times New Roman"/>
          <w:bCs/>
          <w:sz w:val="24"/>
          <w:szCs w:val="24"/>
          <w:lang w:val="es-ES"/>
        </w:rPr>
        <w:t xml:space="preserve"> y entidades</w:t>
      </w:r>
      <w:r w:rsidR="00D173EE">
        <w:rPr>
          <w:rFonts w:ascii="Book Antiqua" w:eastAsia="Times New Roman" w:hAnsi="Book Antiqua" w:cs="Times New Roman"/>
          <w:bCs/>
          <w:sz w:val="24"/>
          <w:szCs w:val="24"/>
          <w:lang w:val="es-ES"/>
        </w:rPr>
        <w:t>:</w:t>
      </w:r>
      <w:r w:rsidR="00A64B8D">
        <w:rPr>
          <w:rFonts w:ascii="Book Antiqua" w:eastAsia="Times New Roman" w:hAnsi="Book Antiqua" w:cs="Times New Roman"/>
          <w:bCs/>
          <w:sz w:val="24"/>
          <w:szCs w:val="24"/>
          <w:lang w:val="es-ES"/>
        </w:rPr>
        <w:t xml:space="preserve"> </w:t>
      </w:r>
      <w:r w:rsidR="008E619D" w:rsidRPr="008E619D">
        <w:rPr>
          <w:rFonts w:ascii="Book Antiqua" w:eastAsia="Times New Roman" w:hAnsi="Book Antiqua" w:cs="Times New Roman"/>
          <w:bCs/>
          <w:sz w:val="24"/>
          <w:szCs w:val="24"/>
          <w:lang w:val="es-PR"/>
        </w:rPr>
        <w:t>Departamento</w:t>
      </w:r>
      <w:r w:rsidR="008E619D" w:rsidRPr="00BD145A">
        <w:rPr>
          <w:rFonts w:ascii="Book Antiqua" w:eastAsia="Times New Roman" w:hAnsi="Book Antiqua" w:cs="Times New Roman"/>
          <w:bCs/>
          <w:sz w:val="24"/>
          <w:szCs w:val="24"/>
          <w:lang w:val="es-PR"/>
        </w:rPr>
        <w:t xml:space="preserve"> de Recursos Naturales y Ambientales (DRNA)</w:t>
      </w:r>
      <w:r w:rsidR="008E619D">
        <w:rPr>
          <w:rFonts w:ascii="Book Antiqua" w:eastAsia="Times New Roman" w:hAnsi="Book Antiqua" w:cs="Times New Roman"/>
          <w:bCs/>
          <w:sz w:val="24"/>
          <w:szCs w:val="24"/>
          <w:lang w:val="es-PR"/>
        </w:rPr>
        <w:t xml:space="preserve">; </w:t>
      </w:r>
      <w:r w:rsidR="004C619E" w:rsidRPr="004C619E">
        <w:rPr>
          <w:rFonts w:ascii="Book Antiqua" w:eastAsia="Times New Roman" w:hAnsi="Book Antiqua" w:cs="Times New Roman"/>
          <w:bCs/>
          <w:sz w:val="24"/>
          <w:szCs w:val="24"/>
          <w:lang w:val="es-PR"/>
        </w:rPr>
        <w:t>Departamento de Desarrollo Económico y Comercio (DDEC)</w:t>
      </w:r>
      <w:r w:rsidR="004C619E">
        <w:rPr>
          <w:rFonts w:ascii="Book Antiqua" w:eastAsia="Times New Roman" w:hAnsi="Book Antiqua" w:cs="Times New Roman"/>
          <w:bCs/>
          <w:sz w:val="24"/>
          <w:szCs w:val="24"/>
          <w:lang w:val="es-PR"/>
        </w:rPr>
        <w:t>;</w:t>
      </w:r>
      <w:r w:rsidR="008E619D" w:rsidRPr="008E619D">
        <w:rPr>
          <w:rFonts w:ascii="Book Antiqua" w:hAnsi="Book Antiqua"/>
          <w:sz w:val="24"/>
          <w:szCs w:val="24"/>
          <w:lang w:val="es-PR"/>
        </w:rPr>
        <w:t xml:space="preserve"> </w:t>
      </w:r>
      <w:r w:rsidR="008E619D" w:rsidRPr="004A7E4A">
        <w:rPr>
          <w:rFonts w:ascii="Book Antiqua" w:eastAsia="Times New Roman" w:hAnsi="Book Antiqua" w:cs="Times New Roman"/>
          <w:bCs/>
          <w:sz w:val="24"/>
          <w:szCs w:val="24"/>
          <w:lang w:val="es-PR"/>
        </w:rPr>
        <w:t>Departamento de Asuntos del Consumidor (DACO)</w:t>
      </w:r>
      <w:r w:rsidR="008E619D">
        <w:rPr>
          <w:rFonts w:ascii="Book Antiqua" w:eastAsia="Times New Roman" w:hAnsi="Book Antiqua" w:cs="Times New Roman"/>
          <w:bCs/>
          <w:sz w:val="24"/>
          <w:szCs w:val="24"/>
          <w:lang w:val="es-PR"/>
        </w:rPr>
        <w:t>;</w:t>
      </w:r>
      <w:r w:rsidR="004C619E">
        <w:rPr>
          <w:rFonts w:ascii="Book Antiqua" w:eastAsia="Times New Roman" w:hAnsi="Book Antiqua" w:cs="Times New Roman"/>
          <w:bCs/>
          <w:sz w:val="24"/>
          <w:szCs w:val="24"/>
          <w:lang w:val="es-PR"/>
        </w:rPr>
        <w:t xml:space="preserve"> </w:t>
      </w:r>
      <w:r w:rsidR="00DA0691" w:rsidRPr="00DA0691">
        <w:rPr>
          <w:rFonts w:ascii="Book Antiqua" w:eastAsia="Times New Roman" w:hAnsi="Book Antiqua" w:cs="Times New Roman"/>
          <w:bCs/>
          <w:sz w:val="24"/>
          <w:szCs w:val="24"/>
          <w:lang w:val="es-ES"/>
        </w:rPr>
        <w:t xml:space="preserve">Colegio de </w:t>
      </w:r>
      <w:proofErr w:type="gramStart"/>
      <w:r w:rsidR="00DA0691" w:rsidRPr="00DA0691">
        <w:rPr>
          <w:rFonts w:ascii="Book Antiqua" w:eastAsia="Times New Roman" w:hAnsi="Book Antiqua" w:cs="Times New Roman"/>
          <w:bCs/>
          <w:sz w:val="24"/>
          <w:szCs w:val="24"/>
          <w:lang w:val="es-ES"/>
        </w:rPr>
        <w:t>Abogados y Abogadas</w:t>
      </w:r>
      <w:proofErr w:type="gramEnd"/>
      <w:r w:rsidR="00DA0691" w:rsidRPr="00DA0691">
        <w:rPr>
          <w:rFonts w:ascii="Book Antiqua" w:eastAsia="Times New Roman" w:hAnsi="Book Antiqua" w:cs="Times New Roman"/>
          <w:bCs/>
          <w:sz w:val="24"/>
          <w:szCs w:val="24"/>
          <w:lang w:val="es-ES"/>
        </w:rPr>
        <w:t xml:space="preserve"> de Puerto Rico</w:t>
      </w:r>
      <w:r w:rsidR="008E619D">
        <w:rPr>
          <w:rFonts w:ascii="Book Antiqua" w:eastAsia="Times New Roman" w:hAnsi="Book Antiqua" w:cs="Times New Roman"/>
          <w:bCs/>
          <w:sz w:val="24"/>
          <w:szCs w:val="24"/>
          <w:lang w:val="es-ES"/>
        </w:rPr>
        <w:t xml:space="preserve">; </w:t>
      </w:r>
      <w:r w:rsidR="00DA0691" w:rsidRPr="00DA0691">
        <w:rPr>
          <w:rFonts w:ascii="Book Antiqua" w:eastAsia="Times New Roman" w:hAnsi="Book Antiqua" w:cs="Times New Roman"/>
          <w:bCs/>
          <w:sz w:val="24"/>
          <w:szCs w:val="24"/>
          <w:lang w:val="es-ES"/>
        </w:rPr>
        <w:t>Departamento de Justicia de Puerto Rico</w:t>
      </w:r>
      <w:r w:rsidR="00BB39AC">
        <w:rPr>
          <w:rFonts w:ascii="Book Antiqua" w:eastAsia="Times New Roman" w:hAnsi="Book Antiqua" w:cs="Times New Roman"/>
          <w:bCs/>
          <w:sz w:val="24"/>
          <w:szCs w:val="24"/>
          <w:lang w:val="es-ES"/>
        </w:rPr>
        <w:t xml:space="preserve">; y </w:t>
      </w:r>
      <w:r w:rsidR="00BB39AC" w:rsidRPr="00BB39AC">
        <w:rPr>
          <w:rFonts w:ascii="Book Antiqua" w:eastAsia="Times New Roman" w:hAnsi="Book Antiqua" w:cs="Times New Roman"/>
          <w:sz w:val="24"/>
          <w:szCs w:val="24"/>
          <w:lang w:val="es-PR"/>
        </w:rPr>
        <w:t>Oficina de Gerencia de Permiso (</w:t>
      </w:r>
      <w:proofErr w:type="spellStart"/>
      <w:r w:rsidR="00BB39AC" w:rsidRPr="00BB39AC">
        <w:rPr>
          <w:rFonts w:ascii="Book Antiqua" w:eastAsia="Times New Roman" w:hAnsi="Book Antiqua" w:cs="Times New Roman"/>
          <w:sz w:val="24"/>
          <w:szCs w:val="24"/>
          <w:lang w:val="es-PR"/>
        </w:rPr>
        <w:t>OGPe</w:t>
      </w:r>
      <w:proofErr w:type="spellEnd"/>
      <w:r w:rsidR="00BB39AC" w:rsidRPr="00BB39AC">
        <w:rPr>
          <w:rFonts w:ascii="Book Antiqua" w:eastAsia="Times New Roman" w:hAnsi="Book Antiqua" w:cs="Times New Roman"/>
          <w:sz w:val="24"/>
          <w:szCs w:val="24"/>
          <w:lang w:val="es-PR"/>
        </w:rPr>
        <w:t>)</w:t>
      </w:r>
      <w:r w:rsidR="00BB39AC">
        <w:rPr>
          <w:rFonts w:ascii="Book Antiqua" w:eastAsia="Times New Roman" w:hAnsi="Book Antiqua" w:cs="Times New Roman"/>
          <w:sz w:val="24"/>
          <w:szCs w:val="24"/>
          <w:lang w:val="es-PR"/>
        </w:rPr>
        <w:t>.</w:t>
      </w:r>
    </w:p>
    <w:p w14:paraId="12172C55" w14:textId="26CDEE2D" w:rsidR="00C54852" w:rsidRDefault="0035525D" w:rsidP="00F55108">
      <w:pPr>
        <w:snapToGrid w:val="0"/>
        <w:spacing w:after="0" w:line="360" w:lineRule="auto"/>
        <w:ind w:firstLine="720"/>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Al momento de la redacción del</w:t>
      </w:r>
      <w:r w:rsidR="00906520">
        <w:rPr>
          <w:rFonts w:ascii="Book Antiqua" w:eastAsia="Times New Roman" w:hAnsi="Book Antiqua" w:cs="Times New Roman"/>
          <w:bCs/>
          <w:sz w:val="24"/>
          <w:szCs w:val="24"/>
          <w:lang w:val="es-ES"/>
        </w:rPr>
        <w:t xml:space="preserve"> presente</w:t>
      </w:r>
      <w:r>
        <w:rPr>
          <w:rFonts w:ascii="Book Antiqua" w:eastAsia="Times New Roman" w:hAnsi="Book Antiqua" w:cs="Times New Roman"/>
          <w:bCs/>
          <w:sz w:val="24"/>
          <w:szCs w:val="24"/>
          <w:lang w:val="es-ES"/>
        </w:rPr>
        <w:t xml:space="preserve"> Informe, </w:t>
      </w:r>
      <w:r w:rsidR="00F55108">
        <w:rPr>
          <w:rFonts w:ascii="Book Antiqua" w:eastAsia="Times New Roman" w:hAnsi="Book Antiqua" w:cs="Times New Roman"/>
          <w:bCs/>
          <w:sz w:val="24"/>
          <w:szCs w:val="24"/>
          <w:lang w:val="es-ES"/>
        </w:rPr>
        <w:t>esta</w:t>
      </w:r>
      <w:r>
        <w:rPr>
          <w:rFonts w:ascii="Book Antiqua" w:eastAsia="Times New Roman" w:hAnsi="Book Antiqua" w:cs="Times New Roman"/>
          <w:bCs/>
          <w:sz w:val="24"/>
          <w:szCs w:val="24"/>
          <w:lang w:val="es-ES"/>
        </w:rPr>
        <w:t xml:space="preserve"> Comisión </w:t>
      </w:r>
      <w:r w:rsidR="00F55108">
        <w:rPr>
          <w:rFonts w:ascii="Book Antiqua" w:eastAsia="Times New Roman" w:hAnsi="Book Antiqua" w:cs="Times New Roman"/>
          <w:bCs/>
          <w:sz w:val="24"/>
          <w:szCs w:val="24"/>
          <w:lang w:val="es-ES"/>
        </w:rPr>
        <w:t>recibió los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memoriales explicativos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 xml:space="preserve">de </w:t>
      </w:r>
      <w:r w:rsidR="008E619D" w:rsidRPr="008E619D">
        <w:rPr>
          <w:rFonts w:ascii="Book Antiqua" w:eastAsia="Times New Roman" w:hAnsi="Book Antiqua" w:cs="Times New Roman"/>
          <w:bCs/>
          <w:sz w:val="24"/>
          <w:szCs w:val="24"/>
          <w:lang w:val="es-PR"/>
        </w:rPr>
        <w:t>Departamento</w:t>
      </w:r>
      <w:r w:rsidR="008E619D" w:rsidRPr="00BD145A">
        <w:rPr>
          <w:rFonts w:ascii="Book Antiqua" w:eastAsia="Times New Roman" w:hAnsi="Book Antiqua" w:cs="Times New Roman"/>
          <w:bCs/>
          <w:sz w:val="24"/>
          <w:szCs w:val="24"/>
          <w:lang w:val="es-PR"/>
        </w:rPr>
        <w:t xml:space="preserve"> de Recursos Naturales y Ambientales (DRNA)</w:t>
      </w:r>
      <w:r w:rsidR="008E619D" w:rsidRPr="008E619D">
        <w:rPr>
          <w:rFonts w:ascii="Book Antiqua" w:eastAsia="Times New Roman" w:hAnsi="Book Antiqua" w:cs="Times New Roman"/>
          <w:bCs/>
          <w:sz w:val="24"/>
          <w:szCs w:val="24"/>
          <w:lang w:val="es-PR"/>
        </w:rPr>
        <w:t xml:space="preserve">; </w:t>
      </w:r>
      <w:r w:rsidR="008E619D" w:rsidRPr="004C619E">
        <w:rPr>
          <w:rFonts w:ascii="Book Antiqua" w:eastAsia="Times New Roman" w:hAnsi="Book Antiqua" w:cs="Times New Roman"/>
          <w:bCs/>
          <w:sz w:val="24"/>
          <w:szCs w:val="24"/>
          <w:lang w:val="es-PR"/>
        </w:rPr>
        <w:t>Departamento de Desarrollo Económico y Comercio (DDEC)</w:t>
      </w:r>
      <w:r w:rsidR="008E619D" w:rsidRPr="008E619D">
        <w:rPr>
          <w:rFonts w:ascii="Book Antiqua" w:eastAsia="Times New Roman" w:hAnsi="Book Antiqua" w:cs="Times New Roman"/>
          <w:bCs/>
          <w:sz w:val="24"/>
          <w:szCs w:val="24"/>
          <w:lang w:val="es-PR"/>
        </w:rPr>
        <w:t xml:space="preserve">; </w:t>
      </w:r>
      <w:r w:rsidR="008E619D" w:rsidRPr="004A7E4A">
        <w:rPr>
          <w:rFonts w:ascii="Book Antiqua" w:eastAsia="Times New Roman" w:hAnsi="Book Antiqua" w:cs="Times New Roman"/>
          <w:bCs/>
          <w:sz w:val="24"/>
          <w:szCs w:val="24"/>
          <w:lang w:val="es-PR"/>
        </w:rPr>
        <w:t>Departamento de Asuntos del Consumidor (DACO)</w:t>
      </w:r>
      <w:r w:rsidR="008E619D" w:rsidRPr="008E619D">
        <w:rPr>
          <w:rFonts w:ascii="Book Antiqua" w:eastAsia="Times New Roman" w:hAnsi="Book Antiqua" w:cs="Times New Roman"/>
          <w:bCs/>
          <w:sz w:val="24"/>
          <w:szCs w:val="24"/>
          <w:lang w:val="es-PR"/>
        </w:rPr>
        <w:t xml:space="preserve">; </w:t>
      </w:r>
      <w:r w:rsidR="008E619D" w:rsidRPr="008E619D">
        <w:rPr>
          <w:rFonts w:ascii="Book Antiqua" w:eastAsia="Times New Roman" w:hAnsi="Book Antiqua" w:cs="Times New Roman"/>
          <w:bCs/>
          <w:sz w:val="24"/>
          <w:szCs w:val="24"/>
          <w:lang w:val="es-ES"/>
        </w:rPr>
        <w:t xml:space="preserve">Colegio de </w:t>
      </w:r>
      <w:proofErr w:type="gramStart"/>
      <w:r w:rsidR="008E619D" w:rsidRPr="008E619D">
        <w:rPr>
          <w:rFonts w:ascii="Book Antiqua" w:eastAsia="Times New Roman" w:hAnsi="Book Antiqua" w:cs="Times New Roman"/>
          <w:bCs/>
          <w:sz w:val="24"/>
          <w:szCs w:val="24"/>
          <w:lang w:val="es-ES"/>
        </w:rPr>
        <w:t>Abogados y Abogadas</w:t>
      </w:r>
      <w:proofErr w:type="gramEnd"/>
      <w:r w:rsidR="008E619D" w:rsidRPr="008E619D">
        <w:rPr>
          <w:rFonts w:ascii="Book Antiqua" w:eastAsia="Times New Roman" w:hAnsi="Book Antiqua" w:cs="Times New Roman"/>
          <w:bCs/>
          <w:sz w:val="24"/>
          <w:szCs w:val="24"/>
          <w:lang w:val="es-ES"/>
        </w:rPr>
        <w:t xml:space="preserve"> de Puerto Rico</w:t>
      </w:r>
      <w:r w:rsidR="00F55108">
        <w:rPr>
          <w:rFonts w:ascii="Book Antiqua" w:eastAsia="Times New Roman" w:hAnsi="Book Antiqua" w:cs="Times New Roman"/>
          <w:bCs/>
          <w:sz w:val="24"/>
          <w:szCs w:val="24"/>
          <w:lang w:val="es-ES"/>
        </w:rPr>
        <w:t xml:space="preserve">, lo cuales forman parte de este informe y cuyo resumen se expone a continuación: </w:t>
      </w:r>
    </w:p>
    <w:p w14:paraId="6603A04D" w14:textId="77777777" w:rsidR="00F55108" w:rsidRPr="00B66E92" w:rsidRDefault="00F55108" w:rsidP="00F55108">
      <w:pPr>
        <w:snapToGrid w:val="0"/>
        <w:spacing w:after="0" w:line="360" w:lineRule="auto"/>
        <w:ind w:firstLine="720"/>
        <w:jc w:val="both"/>
        <w:rPr>
          <w:rFonts w:ascii="Book Antiqua" w:eastAsia="Times New Roman" w:hAnsi="Book Antiqua" w:cs="Times New Roman"/>
          <w:bCs/>
          <w:sz w:val="24"/>
          <w:szCs w:val="24"/>
          <w:lang w:val="es-ES"/>
        </w:rPr>
      </w:pPr>
    </w:p>
    <w:p w14:paraId="7A209770" w14:textId="112E9942" w:rsidR="002B637C" w:rsidRDefault="004C619E" w:rsidP="009967C7">
      <w:pPr>
        <w:spacing w:after="0" w:line="240" w:lineRule="auto"/>
        <w:jc w:val="center"/>
        <w:rPr>
          <w:rFonts w:ascii="Book Antiqua" w:eastAsia="Times New Roman" w:hAnsi="Book Antiqua" w:cs="Times New Roman"/>
          <w:b/>
          <w:sz w:val="24"/>
          <w:szCs w:val="24"/>
          <w:u w:val="single"/>
          <w:lang w:val="es-PR"/>
        </w:rPr>
      </w:pPr>
      <w:r w:rsidRPr="004C619E">
        <w:rPr>
          <w:rFonts w:ascii="Book Antiqua" w:eastAsia="Times New Roman" w:hAnsi="Book Antiqua" w:cs="Times New Roman"/>
          <w:b/>
          <w:sz w:val="24"/>
          <w:szCs w:val="24"/>
          <w:u w:val="single"/>
          <w:lang w:val="es-PR"/>
        </w:rPr>
        <w:t>DEPARTAMENTO DE DESARROLLO ECONÓMICO Y COMERCIO (DDEC)</w:t>
      </w:r>
    </w:p>
    <w:p w14:paraId="59F19CAC" w14:textId="77777777" w:rsidR="004C619E" w:rsidRPr="002B637C" w:rsidRDefault="004C619E" w:rsidP="009967C7">
      <w:pPr>
        <w:spacing w:after="0" w:line="240" w:lineRule="auto"/>
        <w:jc w:val="center"/>
        <w:rPr>
          <w:rFonts w:ascii="Book Antiqua" w:eastAsia="Times New Roman" w:hAnsi="Book Antiqua" w:cs="Times New Roman"/>
          <w:b/>
          <w:sz w:val="24"/>
          <w:szCs w:val="24"/>
          <w:u w:val="single"/>
          <w:lang w:val="es-PR"/>
        </w:rPr>
      </w:pPr>
    </w:p>
    <w:p w14:paraId="680A52EF" w14:textId="24BFF519" w:rsidR="004C619E" w:rsidRPr="004C619E" w:rsidRDefault="004C619E" w:rsidP="004C619E">
      <w:pPr>
        <w:pStyle w:val="NormalWeb"/>
        <w:spacing w:before="0" w:beforeAutospacing="0" w:after="0" w:afterAutospacing="0" w:line="360" w:lineRule="auto"/>
        <w:jc w:val="both"/>
        <w:rPr>
          <w:rFonts w:ascii="Book Antiqua" w:hAnsi="Book Antiqua"/>
          <w:lang w:val="es-PR"/>
        </w:rPr>
      </w:pPr>
      <w:r w:rsidRPr="004C619E">
        <w:rPr>
          <w:rFonts w:ascii="Book Antiqua" w:hAnsi="Book Antiqua"/>
          <w:lang w:val="es-PR"/>
        </w:rPr>
        <w:t>El Departamento de Desarrollo Económico y Comercio (DDEC) presentó un memorial explicativo en respuesta al P</w:t>
      </w:r>
      <w:r>
        <w:rPr>
          <w:rFonts w:ascii="Book Antiqua" w:hAnsi="Book Antiqua"/>
          <w:lang w:val="es-PR"/>
        </w:rPr>
        <w:t>.</w:t>
      </w:r>
      <w:r w:rsidRPr="004C619E">
        <w:rPr>
          <w:rFonts w:ascii="Book Antiqua" w:hAnsi="Book Antiqua"/>
          <w:lang w:val="es-PR"/>
        </w:rPr>
        <w:t xml:space="preserve"> del S</w:t>
      </w:r>
      <w:r>
        <w:rPr>
          <w:rFonts w:ascii="Book Antiqua" w:hAnsi="Book Antiqua"/>
          <w:lang w:val="es-PR"/>
        </w:rPr>
        <w:t xml:space="preserve">. </w:t>
      </w:r>
      <w:r w:rsidRPr="004C619E">
        <w:rPr>
          <w:rFonts w:ascii="Book Antiqua" w:hAnsi="Book Antiqua"/>
          <w:lang w:val="es-PR"/>
        </w:rPr>
        <w:t xml:space="preserve">284, el cual propone la creación de la “Ley de Legitimación Activa Ambiental”. Esta medida busca conceder legitimación activa estatutaria plena a cualquier persona en Puerto Rico que, motivada por la protección del ambiente, desee intervenir en procesos administrativos o judiciales relacionados con </w:t>
      </w:r>
      <w:r w:rsidRPr="004C619E">
        <w:rPr>
          <w:rFonts w:ascii="Book Antiqua" w:hAnsi="Book Antiqua"/>
          <w:lang w:val="es-PR"/>
        </w:rPr>
        <w:lastRenderedPageBreak/>
        <w:t>asuntos ambientales. Para ello, se plantean enmiendas a diversas leyes como la Ley de Procedimiento Administrativo Uniforme, la Ley para la Reforma del Proceso de Permisos y la Ley Sobre Política Pública Ambiental.</w:t>
      </w:r>
    </w:p>
    <w:p w14:paraId="6F1C8525" w14:textId="77777777" w:rsidR="004C619E" w:rsidRPr="004C619E" w:rsidRDefault="004C619E" w:rsidP="006B3955">
      <w:pPr>
        <w:pStyle w:val="NormalWeb"/>
        <w:spacing w:before="0" w:beforeAutospacing="0" w:after="0" w:afterAutospacing="0" w:line="360" w:lineRule="auto"/>
        <w:ind w:firstLine="720"/>
        <w:jc w:val="both"/>
        <w:rPr>
          <w:rFonts w:ascii="Book Antiqua" w:hAnsi="Book Antiqua"/>
          <w:lang w:val="es-PR"/>
        </w:rPr>
      </w:pPr>
      <w:r w:rsidRPr="004C619E">
        <w:rPr>
          <w:rFonts w:ascii="Book Antiqua" w:hAnsi="Book Antiqua"/>
          <w:lang w:val="es-PR"/>
        </w:rPr>
        <w:t xml:space="preserve">El DDEC </w:t>
      </w:r>
      <w:r w:rsidRPr="006B3955">
        <w:rPr>
          <w:rFonts w:ascii="Book Antiqua" w:hAnsi="Book Antiqua"/>
          <w:lang w:val="es-PR"/>
        </w:rPr>
        <w:t>se opone a varias de estas enmiendas</w:t>
      </w:r>
      <w:r w:rsidRPr="004C619E">
        <w:rPr>
          <w:rFonts w:ascii="Book Antiqua" w:hAnsi="Book Antiqua"/>
          <w:lang w:val="es-PR"/>
        </w:rPr>
        <w:t xml:space="preserve"> por considerar que podrían afectar negativamente el debido proceso de ley y obstaculizar la eficiencia administrativa. Particularmente, advierte que permitir la intervención de personas no participantes en los procesos originales podría provocar dilaciones en la toma de decisiones, especialmente en los trámites de permisos, lo cual impactaría negativamente el desarrollo económico de la isla. Además, sostiene que muchos de los conceptos que se pretenden introducir ya están contenidos en el marco jurídico vigente, haciendo innecesarias las modificaciones.</w:t>
      </w:r>
    </w:p>
    <w:p w14:paraId="342CD2FB" w14:textId="77777777" w:rsidR="004C619E" w:rsidRPr="004C619E" w:rsidRDefault="004C619E" w:rsidP="006B3955">
      <w:pPr>
        <w:pStyle w:val="NormalWeb"/>
        <w:spacing w:before="0" w:beforeAutospacing="0" w:after="0" w:afterAutospacing="0" w:line="360" w:lineRule="auto"/>
        <w:ind w:firstLine="720"/>
        <w:jc w:val="both"/>
        <w:rPr>
          <w:rFonts w:ascii="Book Antiqua" w:hAnsi="Book Antiqua"/>
          <w:lang w:val="es-PR"/>
        </w:rPr>
      </w:pPr>
      <w:r w:rsidRPr="004C619E">
        <w:rPr>
          <w:rFonts w:ascii="Book Antiqua" w:hAnsi="Book Antiqua"/>
          <w:lang w:val="es-PR"/>
        </w:rPr>
        <w:t xml:space="preserve">Asimismo, el DDEC señala que ciertas definiciones propuestas, como la ampliación del concepto de “colindante”, son vagas y subjetivas, lo que podría generar incertidumbre jurídica. En cuanto a las enmiendas a la Ley Sobre Política Pública Ambiental, reconoce que se mantiene el requisito de demostrar daño como base para las acciones judiciales, por lo que no representan un cambio sustancial en el estado de derecho actual. En conclusión, </w:t>
      </w:r>
      <w:r w:rsidRPr="006B3955">
        <w:rPr>
          <w:rFonts w:ascii="Book Antiqua" w:hAnsi="Book Antiqua"/>
          <w:b/>
          <w:bCs/>
          <w:lang w:val="es-PR"/>
        </w:rPr>
        <w:t>el DDEC recomienda no acoger</w:t>
      </w:r>
      <w:r w:rsidRPr="004C619E">
        <w:rPr>
          <w:rFonts w:ascii="Book Antiqua" w:hAnsi="Book Antiqua"/>
          <w:lang w:val="es-PR"/>
        </w:rPr>
        <w:t xml:space="preserve"> las enmiendas propuestas en el proyecto y remite a las agencias pertinentes, como el Departamento de Justicia y el Departamento de Recursos Naturales, la evaluación de los aspectos legales más delicados.</w:t>
      </w:r>
    </w:p>
    <w:p w14:paraId="212F3373"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6AC48772" w14:textId="3DD3F32E" w:rsidR="00130B19" w:rsidRPr="00130B19" w:rsidRDefault="004A7E4A" w:rsidP="004A7E4A">
      <w:pPr>
        <w:snapToGrid w:val="0"/>
        <w:spacing w:line="360" w:lineRule="auto"/>
        <w:ind w:firstLine="720"/>
        <w:jc w:val="center"/>
        <w:rPr>
          <w:rFonts w:ascii="Book Antiqua" w:eastAsia="Times New Roman" w:hAnsi="Book Antiqua" w:cs="Times New Roman"/>
          <w:b/>
          <w:sz w:val="24"/>
          <w:szCs w:val="24"/>
          <w:u w:val="single"/>
          <w:lang w:val="es-ES"/>
        </w:rPr>
      </w:pPr>
      <w:r w:rsidRPr="004A7E4A">
        <w:rPr>
          <w:rFonts w:ascii="Book Antiqua" w:eastAsia="Times New Roman" w:hAnsi="Book Antiqua" w:cs="Times New Roman"/>
          <w:b/>
          <w:sz w:val="24"/>
          <w:szCs w:val="24"/>
          <w:u w:val="single"/>
          <w:lang w:val="es-PR"/>
        </w:rPr>
        <w:t>DEPARTAMENTO DE ASUNTOS DEL CONSUMIDOR (DACO)</w:t>
      </w:r>
    </w:p>
    <w:p w14:paraId="2CDBF31C" w14:textId="07EE847A" w:rsidR="00605423" w:rsidRPr="00605423" w:rsidRDefault="004A7E4A" w:rsidP="00605423">
      <w:pPr>
        <w:spacing w:after="0" w:line="360" w:lineRule="auto"/>
        <w:ind w:firstLine="720"/>
        <w:jc w:val="both"/>
        <w:rPr>
          <w:rFonts w:ascii="Book Antiqua" w:hAnsi="Book Antiqua"/>
          <w:sz w:val="24"/>
          <w:szCs w:val="24"/>
          <w:lang w:val="es-PR"/>
        </w:rPr>
      </w:pPr>
      <w:r w:rsidRPr="004A7E4A">
        <w:rPr>
          <w:rFonts w:ascii="Book Antiqua" w:hAnsi="Book Antiqua"/>
          <w:sz w:val="24"/>
          <w:szCs w:val="24"/>
          <w:lang w:val="es-PR"/>
        </w:rPr>
        <w:t xml:space="preserve">El Departamento de Asuntos del Consumidor (DACO) presentó </w:t>
      </w:r>
      <w:r w:rsidR="00880331">
        <w:rPr>
          <w:rFonts w:ascii="Book Antiqua" w:hAnsi="Book Antiqua"/>
          <w:sz w:val="24"/>
          <w:szCs w:val="24"/>
          <w:lang w:val="es-PR"/>
        </w:rPr>
        <w:t>su</w:t>
      </w:r>
      <w:r w:rsidR="006A1736">
        <w:rPr>
          <w:rFonts w:ascii="Book Antiqua" w:hAnsi="Book Antiqua"/>
          <w:sz w:val="24"/>
          <w:szCs w:val="24"/>
          <w:lang w:val="es-PR"/>
        </w:rPr>
        <w:t>s</w:t>
      </w:r>
      <w:r w:rsidR="00880331">
        <w:rPr>
          <w:rFonts w:ascii="Book Antiqua" w:hAnsi="Book Antiqua"/>
          <w:sz w:val="24"/>
          <w:szCs w:val="24"/>
          <w:lang w:val="es-PR"/>
        </w:rPr>
        <w:t xml:space="preserve"> </w:t>
      </w:r>
      <w:r w:rsidR="006A1736">
        <w:rPr>
          <w:rFonts w:ascii="Book Antiqua" w:hAnsi="Book Antiqua"/>
          <w:sz w:val="24"/>
          <w:szCs w:val="24"/>
          <w:lang w:val="es-PR"/>
        </w:rPr>
        <w:t>comentarios</w:t>
      </w:r>
      <w:r w:rsidR="00880331">
        <w:rPr>
          <w:rFonts w:ascii="Book Antiqua" w:hAnsi="Book Antiqua"/>
          <w:sz w:val="24"/>
          <w:szCs w:val="24"/>
          <w:lang w:val="es-PR"/>
        </w:rPr>
        <w:t xml:space="preserve"> </w:t>
      </w:r>
      <w:r w:rsidR="00880331" w:rsidRPr="004A7E4A">
        <w:rPr>
          <w:rFonts w:ascii="Book Antiqua" w:hAnsi="Book Antiqua"/>
          <w:sz w:val="24"/>
          <w:szCs w:val="24"/>
          <w:lang w:val="es-PR"/>
        </w:rPr>
        <w:t>sobre</w:t>
      </w:r>
      <w:r w:rsidRPr="004A7E4A">
        <w:rPr>
          <w:rFonts w:ascii="Book Antiqua" w:hAnsi="Book Antiqua"/>
          <w:sz w:val="24"/>
          <w:szCs w:val="24"/>
          <w:lang w:val="es-PR"/>
        </w:rPr>
        <w:t xml:space="preserve"> el P</w:t>
      </w:r>
      <w:r>
        <w:rPr>
          <w:rFonts w:ascii="Book Antiqua" w:hAnsi="Book Antiqua"/>
          <w:sz w:val="24"/>
          <w:szCs w:val="24"/>
          <w:lang w:val="es-PR"/>
        </w:rPr>
        <w:t>.</w:t>
      </w:r>
      <w:r w:rsidRPr="004A7E4A">
        <w:rPr>
          <w:rFonts w:ascii="Book Antiqua" w:hAnsi="Book Antiqua"/>
          <w:sz w:val="24"/>
          <w:szCs w:val="24"/>
          <w:lang w:val="es-PR"/>
        </w:rPr>
        <w:t xml:space="preserve"> del S</w:t>
      </w:r>
      <w:r>
        <w:rPr>
          <w:rFonts w:ascii="Book Antiqua" w:hAnsi="Book Antiqua"/>
          <w:sz w:val="24"/>
          <w:szCs w:val="24"/>
          <w:lang w:val="es-PR"/>
        </w:rPr>
        <w:t>.</w:t>
      </w:r>
      <w:r w:rsidRPr="004A7E4A">
        <w:rPr>
          <w:rFonts w:ascii="Book Antiqua" w:hAnsi="Book Antiqua"/>
          <w:sz w:val="24"/>
          <w:szCs w:val="24"/>
          <w:lang w:val="es-PR"/>
        </w:rPr>
        <w:t xml:space="preserve"> 284, el cual propone crear la “Ley de Legitimación Activa Ambiental”.</w:t>
      </w:r>
      <w:r w:rsidR="006A1736">
        <w:rPr>
          <w:rFonts w:ascii="Book Antiqua" w:hAnsi="Book Antiqua"/>
          <w:sz w:val="24"/>
          <w:szCs w:val="24"/>
          <w:lang w:val="es-PR"/>
        </w:rPr>
        <w:t xml:space="preserve"> </w:t>
      </w:r>
      <w:r w:rsidR="00F912F4" w:rsidRPr="000F3953">
        <w:rPr>
          <w:rFonts w:ascii="Book Antiqua" w:hAnsi="Book Antiqua"/>
          <w:sz w:val="24"/>
          <w:szCs w:val="24"/>
          <w:lang w:val="es-PR"/>
        </w:rPr>
        <w:t>Aunque reconoce</w:t>
      </w:r>
      <w:r w:rsidR="000F3953" w:rsidRPr="000F3953">
        <w:rPr>
          <w:rFonts w:ascii="Book Antiqua" w:hAnsi="Book Antiqua"/>
          <w:sz w:val="24"/>
          <w:szCs w:val="24"/>
          <w:lang w:val="es-PR"/>
        </w:rPr>
        <w:t xml:space="preserve"> que esta </w:t>
      </w:r>
      <w:r w:rsidR="000F3953">
        <w:rPr>
          <w:rFonts w:ascii="Book Antiqua" w:hAnsi="Book Antiqua"/>
          <w:sz w:val="24"/>
          <w:szCs w:val="24"/>
          <w:lang w:val="es-PR"/>
        </w:rPr>
        <w:t xml:space="preserve">medida </w:t>
      </w:r>
      <w:r w:rsidR="000F3953" w:rsidRPr="000F3953">
        <w:rPr>
          <w:rFonts w:ascii="Book Antiqua" w:hAnsi="Book Antiqua"/>
          <w:sz w:val="24"/>
          <w:szCs w:val="24"/>
          <w:lang w:val="es-PR"/>
        </w:rPr>
        <w:t>no guarda relación</w:t>
      </w:r>
      <w:r w:rsidR="000F3953">
        <w:rPr>
          <w:rFonts w:ascii="Book Antiqua" w:hAnsi="Book Antiqua"/>
          <w:sz w:val="24"/>
          <w:szCs w:val="24"/>
          <w:lang w:val="es-PR"/>
        </w:rPr>
        <w:t xml:space="preserve"> directa</w:t>
      </w:r>
      <w:r w:rsidR="000F3953" w:rsidRPr="000F3953">
        <w:rPr>
          <w:rFonts w:ascii="Book Antiqua" w:hAnsi="Book Antiqua"/>
          <w:sz w:val="24"/>
          <w:szCs w:val="24"/>
          <w:lang w:val="es-PR"/>
        </w:rPr>
        <w:t xml:space="preserve"> con sus funciones, </w:t>
      </w:r>
      <w:proofErr w:type="gramStart"/>
      <w:r w:rsidR="000F3953">
        <w:rPr>
          <w:rFonts w:ascii="Book Antiqua" w:hAnsi="Book Antiqua"/>
          <w:sz w:val="24"/>
          <w:szCs w:val="24"/>
          <w:lang w:val="es-PR"/>
        </w:rPr>
        <w:t xml:space="preserve">el </w:t>
      </w:r>
      <w:r w:rsidRPr="004A7E4A">
        <w:rPr>
          <w:rFonts w:ascii="Book Antiqua" w:hAnsi="Book Antiqua"/>
          <w:sz w:val="24"/>
          <w:szCs w:val="24"/>
          <w:lang w:val="es-PR"/>
        </w:rPr>
        <w:t xml:space="preserve"> DACO</w:t>
      </w:r>
      <w:proofErr w:type="gramEnd"/>
      <w:r w:rsidRPr="004A7E4A">
        <w:rPr>
          <w:rFonts w:ascii="Book Antiqua" w:hAnsi="Book Antiqua"/>
          <w:sz w:val="24"/>
          <w:szCs w:val="24"/>
          <w:lang w:val="es-PR"/>
        </w:rPr>
        <w:t xml:space="preserve"> expresa preocupación por el impacto general que podría tener la medida sobre el sistema jurídico-administrativo. Señala que eliminar los requisitos tradicionales de legitimación podría abrir la puerta a litigios promovidos por personas sin vínculo real </w:t>
      </w:r>
      <w:r w:rsidRPr="004A7E4A">
        <w:rPr>
          <w:rFonts w:ascii="Book Antiqua" w:hAnsi="Book Antiqua"/>
          <w:sz w:val="24"/>
          <w:szCs w:val="24"/>
          <w:lang w:val="es-PR"/>
        </w:rPr>
        <w:lastRenderedPageBreak/>
        <w:t xml:space="preserve">con los hechos, lo que afectaría el uso legítimo de la propiedad privada, aumentaría la incertidumbre jurídica y desincentivaría la inversión. </w:t>
      </w:r>
    </w:p>
    <w:p w14:paraId="20CB672F" w14:textId="266719C6" w:rsidR="00605423" w:rsidRPr="00605423" w:rsidRDefault="00605423" w:rsidP="00F547C9">
      <w:pPr>
        <w:spacing w:after="0" w:line="360" w:lineRule="auto"/>
        <w:ind w:firstLine="720"/>
        <w:jc w:val="both"/>
        <w:rPr>
          <w:rFonts w:ascii="Book Antiqua" w:hAnsi="Book Antiqua"/>
          <w:sz w:val="24"/>
          <w:szCs w:val="24"/>
          <w:lang w:val="es-ES_tradnl"/>
        </w:rPr>
      </w:pPr>
      <w:r w:rsidRPr="00605423">
        <w:rPr>
          <w:rFonts w:ascii="Book Antiqua" w:hAnsi="Book Antiqua"/>
          <w:sz w:val="24"/>
          <w:szCs w:val="24"/>
          <w:lang w:val="es-ES_tradnl"/>
        </w:rPr>
        <w:t>Desde la perspectiva del DACO, este tipo de legitimación sin límites puede ser utilizado como herramienta para entorpecer transacciones legales, paralizar desarrollos autorizados y exponer a ciudadanos y empresas a litigios promovidos por terceros sin conexión directa con los hechos en controversia. Esta amplitud amenaza con desbordar la protección ambiental y transformarla en un vehículo para obstaculizar proyectos residenciales, comerciales o industriales, incluso cuando estos cumplan con todos los requisitos legales y ambientales vigentes.</w:t>
      </w:r>
    </w:p>
    <w:p w14:paraId="65397EC1" w14:textId="1FF33B36" w:rsidR="004A7E4A" w:rsidRPr="004A7E4A" w:rsidRDefault="004A7E4A" w:rsidP="004A7E4A">
      <w:pPr>
        <w:spacing w:after="0" w:line="360" w:lineRule="auto"/>
        <w:ind w:firstLine="720"/>
        <w:jc w:val="both"/>
        <w:rPr>
          <w:rFonts w:ascii="Book Antiqua" w:hAnsi="Book Antiqua"/>
          <w:sz w:val="24"/>
          <w:szCs w:val="24"/>
          <w:lang w:val="es-PR"/>
        </w:rPr>
      </w:pPr>
      <w:r w:rsidRPr="004A7E4A">
        <w:rPr>
          <w:rFonts w:ascii="Book Antiqua" w:hAnsi="Book Antiqua"/>
          <w:sz w:val="24"/>
          <w:szCs w:val="24"/>
          <w:lang w:val="es-PR"/>
        </w:rPr>
        <w:t>Considera que el ordenamiento actual, particularmente bajo la Ley Núm. 161-2009, ya provee mecanismos adecuados para la participación ciudadana, asegurando el debido proceso y protegiendo derechos adquiridos</w:t>
      </w:r>
      <w:r w:rsidR="00F547C9">
        <w:rPr>
          <w:rFonts w:ascii="Book Antiqua" w:hAnsi="Book Antiqua"/>
          <w:sz w:val="24"/>
          <w:szCs w:val="24"/>
          <w:lang w:val="es-PR"/>
        </w:rPr>
        <w:t xml:space="preserve"> conforme a derecho</w:t>
      </w:r>
      <w:r w:rsidRPr="004A7E4A">
        <w:rPr>
          <w:rFonts w:ascii="Book Antiqua" w:hAnsi="Book Antiqua"/>
          <w:sz w:val="24"/>
          <w:szCs w:val="24"/>
          <w:lang w:val="es-PR"/>
        </w:rPr>
        <w:t>.</w:t>
      </w:r>
      <w:r w:rsidR="00F547C9">
        <w:rPr>
          <w:rFonts w:ascii="Book Antiqua" w:hAnsi="Book Antiqua"/>
          <w:sz w:val="24"/>
          <w:szCs w:val="24"/>
          <w:lang w:val="es-PR"/>
        </w:rPr>
        <w:t xml:space="preserve"> </w:t>
      </w:r>
      <w:r w:rsidR="00F547C9" w:rsidRPr="00F547C9">
        <w:rPr>
          <w:rFonts w:ascii="Book Antiqua" w:hAnsi="Book Antiqua"/>
          <w:sz w:val="24"/>
          <w:szCs w:val="24"/>
          <w:lang w:val="es-ES_tradnl"/>
        </w:rPr>
        <w:t>El DACO reitera que la protección del medioambiente es un objetivo legítimo y necesario, pero debe ser abordado desde una óptica de responsabilidad, proporcionalidad y coherencia jurídica.</w:t>
      </w:r>
    </w:p>
    <w:p w14:paraId="69C09F78" w14:textId="19120D51" w:rsidR="004A7E4A" w:rsidRDefault="00CC0711" w:rsidP="004A7E4A">
      <w:pPr>
        <w:spacing w:after="0" w:line="360" w:lineRule="auto"/>
        <w:ind w:firstLine="720"/>
        <w:jc w:val="both"/>
        <w:rPr>
          <w:rFonts w:ascii="Book Antiqua" w:hAnsi="Book Antiqua"/>
          <w:sz w:val="24"/>
          <w:szCs w:val="24"/>
          <w:lang w:val="es-PR"/>
        </w:rPr>
      </w:pPr>
      <w:r>
        <w:rPr>
          <w:rFonts w:ascii="Book Antiqua" w:hAnsi="Book Antiqua"/>
          <w:sz w:val="24"/>
          <w:szCs w:val="24"/>
          <w:lang w:val="es-PR"/>
        </w:rPr>
        <w:t>Finalmente,</w:t>
      </w:r>
      <w:r w:rsidR="00F547C9">
        <w:rPr>
          <w:rFonts w:ascii="Book Antiqua" w:hAnsi="Book Antiqua"/>
          <w:sz w:val="24"/>
          <w:szCs w:val="24"/>
          <w:lang w:val="es-PR"/>
        </w:rPr>
        <w:t xml:space="preserve"> </w:t>
      </w:r>
      <w:r w:rsidR="004A7E4A" w:rsidRPr="004A7E4A">
        <w:rPr>
          <w:rFonts w:ascii="Book Antiqua" w:hAnsi="Book Antiqua"/>
          <w:sz w:val="24"/>
          <w:szCs w:val="24"/>
          <w:lang w:val="es-PR"/>
        </w:rPr>
        <w:t xml:space="preserve">DACO recomienda que el proyecto sea evaluado con mayor detenimiento y que se limite su alcance a casos donde haya un vínculo claro entre la persona promovente y el daño alegado. Además, sugiere que se consulte formalmente a agencias con jurisdicción directa en materia ambiental y de permisos, como el Departamento de Justicia, la Junta de Planificación y el Departamento de Recursos Naturales. </w:t>
      </w:r>
    </w:p>
    <w:p w14:paraId="296E99BD" w14:textId="673ACD47" w:rsidR="00CC0711" w:rsidRDefault="00CC0711" w:rsidP="00CC0711">
      <w:pPr>
        <w:spacing w:line="360" w:lineRule="auto"/>
        <w:ind w:firstLine="720"/>
        <w:jc w:val="center"/>
        <w:rPr>
          <w:rFonts w:ascii="Book Antiqua" w:hAnsi="Book Antiqua"/>
          <w:b/>
          <w:bCs/>
          <w:sz w:val="24"/>
          <w:szCs w:val="24"/>
          <w:u w:val="single"/>
          <w:lang w:val="es-PR"/>
        </w:rPr>
      </w:pPr>
      <w:r w:rsidRPr="00CC0711">
        <w:rPr>
          <w:rFonts w:ascii="Book Antiqua" w:hAnsi="Book Antiqua"/>
          <w:b/>
          <w:bCs/>
          <w:sz w:val="24"/>
          <w:szCs w:val="24"/>
          <w:u w:val="single"/>
          <w:lang w:val="es-PR"/>
        </w:rPr>
        <w:t xml:space="preserve">COLEGIO DE </w:t>
      </w:r>
      <w:proofErr w:type="gramStart"/>
      <w:r w:rsidRPr="00CC0711">
        <w:rPr>
          <w:rFonts w:ascii="Book Antiqua" w:hAnsi="Book Antiqua"/>
          <w:b/>
          <w:bCs/>
          <w:sz w:val="24"/>
          <w:szCs w:val="24"/>
          <w:u w:val="single"/>
          <w:lang w:val="es-PR"/>
        </w:rPr>
        <w:t>ABOGADOS Y ABOGADAS</w:t>
      </w:r>
      <w:proofErr w:type="gramEnd"/>
      <w:r w:rsidRPr="00CC0711">
        <w:rPr>
          <w:rFonts w:ascii="Book Antiqua" w:hAnsi="Book Antiqua"/>
          <w:b/>
          <w:bCs/>
          <w:sz w:val="24"/>
          <w:szCs w:val="24"/>
          <w:u w:val="single"/>
          <w:lang w:val="es-PR"/>
        </w:rPr>
        <w:t xml:space="preserve"> DE PUERTO RICO (CAAPR)</w:t>
      </w:r>
    </w:p>
    <w:p w14:paraId="3FD58B6B" w14:textId="7AF1CDBC" w:rsidR="00CC0711" w:rsidRPr="00CC0711" w:rsidRDefault="00CC0711" w:rsidP="00CC0711">
      <w:pPr>
        <w:spacing w:after="0" w:line="360" w:lineRule="auto"/>
        <w:ind w:firstLine="720"/>
        <w:jc w:val="both"/>
        <w:rPr>
          <w:rFonts w:ascii="Book Antiqua" w:hAnsi="Book Antiqua"/>
          <w:sz w:val="24"/>
          <w:szCs w:val="24"/>
          <w:lang w:val="es-PR"/>
        </w:rPr>
      </w:pPr>
      <w:r w:rsidRPr="00CC0711">
        <w:rPr>
          <w:rFonts w:ascii="Book Antiqua" w:hAnsi="Book Antiqua"/>
          <w:sz w:val="24"/>
          <w:szCs w:val="24"/>
          <w:lang w:val="es-PR"/>
        </w:rPr>
        <w:t xml:space="preserve">El </w:t>
      </w:r>
      <w:bookmarkStart w:id="0" w:name="_Hlk201330644"/>
      <w:r w:rsidRPr="00CC0711">
        <w:rPr>
          <w:rFonts w:ascii="Book Antiqua" w:hAnsi="Book Antiqua"/>
          <w:sz w:val="24"/>
          <w:szCs w:val="24"/>
          <w:lang w:val="es-PR"/>
        </w:rPr>
        <w:t xml:space="preserve">Colegio de </w:t>
      </w:r>
      <w:proofErr w:type="gramStart"/>
      <w:r w:rsidRPr="00CC0711">
        <w:rPr>
          <w:rFonts w:ascii="Book Antiqua" w:hAnsi="Book Antiqua"/>
          <w:sz w:val="24"/>
          <w:szCs w:val="24"/>
          <w:lang w:val="es-PR"/>
        </w:rPr>
        <w:t>Abogados y Abogadas</w:t>
      </w:r>
      <w:proofErr w:type="gramEnd"/>
      <w:r w:rsidRPr="00CC0711">
        <w:rPr>
          <w:rFonts w:ascii="Book Antiqua" w:hAnsi="Book Antiqua"/>
          <w:sz w:val="24"/>
          <w:szCs w:val="24"/>
          <w:lang w:val="es-PR"/>
        </w:rPr>
        <w:t xml:space="preserve"> de Puerto Rico (CAAPR)</w:t>
      </w:r>
      <w:bookmarkEnd w:id="0"/>
      <w:r w:rsidRPr="00CC0711">
        <w:rPr>
          <w:rFonts w:ascii="Book Antiqua" w:hAnsi="Book Antiqua"/>
          <w:sz w:val="24"/>
          <w:szCs w:val="24"/>
          <w:lang w:val="es-PR"/>
        </w:rPr>
        <w:t>, mediante su Comisión de Derecho Ambiental y Recursos Naturales, presentó un memorial en apoyo al Proyecto del Senado 284, que propone la creación de la “Ley de Legitimación Activa Ambiental”. Este proyecto busca conceder legitimación estatutaria plena a cualquier persona interesada en hacer valer la política pública ambiental en procesos administrativos o judiciales, aun sin demostrar un daño personal o directo.</w:t>
      </w:r>
    </w:p>
    <w:p w14:paraId="7E5264DB" w14:textId="77777777" w:rsidR="00CC0711" w:rsidRDefault="00CC0711" w:rsidP="00CC0711">
      <w:pPr>
        <w:spacing w:after="0" w:line="360" w:lineRule="auto"/>
        <w:ind w:firstLine="720"/>
        <w:jc w:val="both"/>
        <w:rPr>
          <w:rFonts w:ascii="Book Antiqua" w:hAnsi="Book Antiqua"/>
          <w:sz w:val="24"/>
          <w:szCs w:val="24"/>
          <w:lang w:val="es-PR"/>
        </w:rPr>
      </w:pPr>
      <w:r w:rsidRPr="00CC0711">
        <w:rPr>
          <w:rFonts w:ascii="Book Antiqua" w:hAnsi="Book Antiqua"/>
          <w:sz w:val="24"/>
          <w:szCs w:val="24"/>
          <w:lang w:val="es-PR"/>
        </w:rPr>
        <w:lastRenderedPageBreak/>
        <w:t xml:space="preserve">El CAAPR fundamenta su respaldo en consideraciones jurídicas, constitucionales y de derechos humanos, argumentando que el sistema actual de permisos y fiscalización ambiental es deficiente y favorece desproporcionadamente a los proponentes de proyectos de desarrollo. Denuncian la falta de supervisión por parte de agencias como la </w:t>
      </w:r>
      <w:proofErr w:type="spellStart"/>
      <w:r w:rsidRPr="00CC0711">
        <w:rPr>
          <w:rFonts w:ascii="Book Antiqua" w:hAnsi="Book Antiqua"/>
          <w:sz w:val="24"/>
          <w:szCs w:val="24"/>
          <w:lang w:val="es-PR"/>
        </w:rPr>
        <w:t>OGPe</w:t>
      </w:r>
      <w:proofErr w:type="spellEnd"/>
      <w:r w:rsidRPr="00CC0711">
        <w:rPr>
          <w:rFonts w:ascii="Book Antiqua" w:hAnsi="Book Antiqua"/>
          <w:sz w:val="24"/>
          <w:szCs w:val="24"/>
          <w:lang w:val="es-PR"/>
        </w:rPr>
        <w:t xml:space="preserve"> y el DRNA, y señalan que las comunidades afectadas frecuentemente son excluidas de los procesos decisionales bajo el pretexto de falta de legitimación activa, lo cual constituye una violación al debido proceso de ley.</w:t>
      </w:r>
    </w:p>
    <w:p w14:paraId="33499651" w14:textId="626377D3" w:rsidR="002842EF" w:rsidRDefault="002842EF" w:rsidP="002842EF">
      <w:pPr>
        <w:spacing w:after="0" w:line="360" w:lineRule="auto"/>
        <w:ind w:firstLine="720"/>
        <w:jc w:val="both"/>
        <w:rPr>
          <w:rFonts w:ascii="Book Antiqua" w:hAnsi="Book Antiqua"/>
          <w:sz w:val="24"/>
          <w:szCs w:val="24"/>
          <w:lang w:val="es-PR"/>
        </w:rPr>
      </w:pPr>
      <w:r w:rsidRPr="00CC0711">
        <w:rPr>
          <w:rFonts w:ascii="Book Antiqua" w:hAnsi="Book Antiqua"/>
          <w:sz w:val="24"/>
          <w:szCs w:val="24"/>
          <w:lang w:val="es-PR"/>
        </w:rPr>
        <w:t>Finalmente, el Colegio subraya</w:t>
      </w:r>
      <w:r w:rsidR="00F15CDC">
        <w:rPr>
          <w:rFonts w:ascii="Book Antiqua" w:hAnsi="Book Antiqua"/>
          <w:sz w:val="24"/>
          <w:szCs w:val="24"/>
          <w:lang w:val="es-PR"/>
        </w:rPr>
        <w:t xml:space="preserve">, </w:t>
      </w:r>
      <w:r>
        <w:rPr>
          <w:rFonts w:ascii="Book Antiqua" w:hAnsi="Book Antiqua"/>
          <w:sz w:val="24"/>
          <w:szCs w:val="24"/>
          <w:lang w:val="es-PR"/>
        </w:rPr>
        <w:t xml:space="preserve">que </w:t>
      </w:r>
      <w:r w:rsidR="00F15CDC">
        <w:rPr>
          <w:rFonts w:ascii="Book Antiqua" w:hAnsi="Book Antiqua"/>
          <w:sz w:val="24"/>
          <w:szCs w:val="24"/>
          <w:lang w:val="es-PR"/>
        </w:rPr>
        <w:t xml:space="preserve">la medida propuesta </w:t>
      </w:r>
      <w:r w:rsidR="00F15CDC" w:rsidRPr="00CC0711">
        <w:rPr>
          <w:rFonts w:ascii="Book Antiqua" w:hAnsi="Book Antiqua"/>
          <w:sz w:val="24"/>
          <w:szCs w:val="24"/>
          <w:lang w:val="es-PR"/>
        </w:rPr>
        <w:t>atiende los obstáculos</w:t>
      </w:r>
      <w:r w:rsidR="00F15CDC">
        <w:rPr>
          <w:rFonts w:ascii="Book Antiqua" w:hAnsi="Book Antiqua"/>
          <w:sz w:val="24"/>
          <w:szCs w:val="24"/>
          <w:lang w:val="es-PR"/>
        </w:rPr>
        <w:t xml:space="preserve"> </w:t>
      </w:r>
      <w:r w:rsidR="00F15CDC" w:rsidRPr="00F15CDC">
        <w:rPr>
          <w:rFonts w:ascii="Book Antiqua" w:hAnsi="Book Antiqua"/>
          <w:sz w:val="24"/>
          <w:szCs w:val="24"/>
          <w:lang w:val="es-PR"/>
        </w:rPr>
        <w:t>que enfrentan actualmente los ciudadanos y organizaciones ambientales o</w:t>
      </w:r>
      <w:r w:rsidR="00F15CDC">
        <w:rPr>
          <w:rFonts w:ascii="Book Antiqua" w:hAnsi="Book Antiqua"/>
          <w:sz w:val="24"/>
          <w:szCs w:val="24"/>
          <w:lang w:val="es-PR"/>
        </w:rPr>
        <w:t xml:space="preserve"> </w:t>
      </w:r>
      <w:r w:rsidR="00F15CDC" w:rsidRPr="00F15CDC">
        <w:rPr>
          <w:rFonts w:ascii="Book Antiqua" w:hAnsi="Book Antiqua"/>
          <w:sz w:val="24"/>
          <w:szCs w:val="24"/>
          <w:lang w:val="es-PR"/>
        </w:rPr>
        <w:t>comunitarias para satisfacer los requisitos de legitimación activa según han sido</w:t>
      </w:r>
      <w:r w:rsidR="00F15CDC">
        <w:rPr>
          <w:rFonts w:ascii="Book Antiqua" w:hAnsi="Book Antiqua"/>
          <w:sz w:val="24"/>
          <w:szCs w:val="24"/>
          <w:lang w:val="es-PR"/>
        </w:rPr>
        <w:t xml:space="preserve"> </w:t>
      </w:r>
      <w:r w:rsidR="00F15CDC" w:rsidRPr="00CC0711">
        <w:rPr>
          <w:rFonts w:ascii="Book Antiqua" w:hAnsi="Book Antiqua"/>
          <w:sz w:val="24"/>
          <w:szCs w:val="24"/>
          <w:lang w:val="es-PR"/>
        </w:rPr>
        <w:t>resignificados por el Tribunal Supremo.</w:t>
      </w:r>
      <w:r>
        <w:rPr>
          <w:rFonts w:ascii="Book Antiqua" w:hAnsi="Book Antiqua"/>
          <w:sz w:val="24"/>
          <w:szCs w:val="24"/>
          <w:lang w:val="es-PR"/>
        </w:rPr>
        <w:t xml:space="preserve"> Po lo tanto, s</w:t>
      </w:r>
      <w:r w:rsidR="00CC0711" w:rsidRPr="00CC0711">
        <w:rPr>
          <w:rFonts w:ascii="Book Antiqua" w:hAnsi="Book Antiqua"/>
          <w:sz w:val="24"/>
          <w:szCs w:val="24"/>
          <w:lang w:val="es-PR"/>
        </w:rPr>
        <w:t xml:space="preserve">olicitan la aprobación del proyecto sin enmiendas, </w:t>
      </w:r>
      <w:r w:rsidRPr="00CC0711">
        <w:rPr>
          <w:rFonts w:ascii="Book Antiqua" w:hAnsi="Book Antiqua"/>
          <w:sz w:val="24"/>
          <w:szCs w:val="24"/>
          <w:lang w:val="es-PR"/>
        </w:rPr>
        <w:t>de manera que se</w:t>
      </w:r>
      <w:r>
        <w:rPr>
          <w:rFonts w:ascii="Book Antiqua" w:hAnsi="Book Antiqua"/>
          <w:sz w:val="24"/>
          <w:szCs w:val="24"/>
          <w:lang w:val="es-PR"/>
        </w:rPr>
        <w:t xml:space="preserve"> </w:t>
      </w:r>
      <w:r w:rsidRPr="002842EF">
        <w:rPr>
          <w:rFonts w:ascii="Book Antiqua" w:hAnsi="Book Antiqua"/>
          <w:sz w:val="24"/>
          <w:szCs w:val="24"/>
          <w:lang w:val="es-PR"/>
        </w:rPr>
        <w:t>garantice la implementación plena de la misma a tenor con los propósitos que</w:t>
      </w:r>
      <w:r>
        <w:rPr>
          <w:rFonts w:ascii="Book Antiqua" w:hAnsi="Book Antiqua"/>
          <w:sz w:val="24"/>
          <w:szCs w:val="24"/>
          <w:lang w:val="es-PR"/>
        </w:rPr>
        <w:t xml:space="preserve"> </w:t>
      </w:r>
      <w:r w:rsidRPr="002842EF">
        <w:rPr>
          <w:rFonts w:ascii="Book Antiqua" w:hAnsi="Book Antiqua"/>
          <w:sz w:val="24"/>
          <w:szCs w:val="24"/>
          <w:lang w:val="es-PR"/>
        </w:rPr>
        <w:t>persigue.</w:t>
      </w:r>
    </w:p>
    <w:p w14:paraId="33791EF8" w14:textId="2037658F" w:rsidR="00BD145A" w:rsidRPr="00BD145A" w:rsidRDefault="00BD145A" w:rsidP="00255C80">
      <w:pPr>
        <w:spacing w:line="360" w:lineRule="auto"/>
        <w:ind w:firstLine="720"/>
        <w:jc w:val="center"/>
        <w:rPr>
          <w:rFonts w:ascii="Book Antiqua" w:hAnsi="Book Antiqua"/>
          <w:b/>
          <w:bCs/>
          <w:sz w:val="24"/>
          <w:szCs w:val="24"/>
          <w:u w:val="single"/>
          <w:lang w:val="es-PR"/>
        </w:rPr>
      </w:pPr>
      <w:r w:rsidRPr="00BD145A">
        <w:rPr>
          <w:rFonts w:ascii="Book Antiqua" w:hAnsi="Book Antiqua"/>
          <w:b/>
          <w:bCs/>
          <w:sz w:val="24"/>
          <w:szCs w:val="24"/>
          <w:u w:val="single"/>
          <w:lang w:val="es-PR"/>
        </w:rPr>
        <w:t>DEPARTAMENTO DE RECURSOS NATURALES Y AMBIENTALES (DRNA)</w:t>
      </w:r>
    </w:p>
    <w:p w14:paraId="031AF84F" w14:textId="1A216653" w:rsidR="00BD145A" w:rsidRPr="00BD145A" w:rsidRDefault="00BD145A" w:rsidP="00BD145A">
      <w:pPr>
        <w:spacing w:after="0" w:line="360" w:lineRule="auto"/>
        <w:ind w:firstLine="720"/>
        <w:jc w:val="both"/>
        <w:rPr>
          <w:rFonts w:ascii="Book Antiqua" w:hAnsi="Book Antiqua"/>
          <w:sz w:val="24"/>
          <w:szCs w:val="24"/>
          <w:lang w:val="es-PR"/>
        </w:rPr>
      </w:pPr>
      <w:r w:rsidRPr="00BD145A">
        <w:rPr>
          <w:rFonts w:ascii="Book Antiqua" w:hAnsi="Book Antiqua"/>
          <w:sz w:val="24"/>
          <w:szCs w:val="24"/>
          <w:lang w:val="es-PR"/>
        </w:rPr>
        <w:t>E</w:t>
      </w:r>
      <w:r w:rsidR="00255C80">
        <w:rPr>
          <w:rFonts w:ascii="Book Antiqua" w:hAnsi="Book Antiqua"/>
          <w:sz w:val="24"/>
          <w:szCs w:val="24"/>
          <w:lang w:val="es-PR"/>
        </w:rPr>
        <w:t xml:space="preserve">n su Memorial Explicativo el </w:t>
      </w:r>
      <w:r w:rsidR="00255C80" w:rsidRPr="00BD145A">
        <w:rPr>
          <w:rFonts w:ascii="Book Antiqua" w:hAnsi="Book Antiqua"/>
          <w:sz w:val="24"/>
          <w:szCs w:val="24"/>
          <w:lang w:val="es-PR"/>
        </w:rPr>
        <w:t>Departamento</w:t>
      </w:r>
      <w:r w:rsidRPr="00BD145A">
        <w:rPr>
          <w:rFonts w:ascii="Book Antiqua" w:hAnsi="Book Antiqua"/>
          <w:sz w:val="24"/>
          <w:szCs w:val="24"/>
          <w:lang w:val="es-PR"/>
        </w:rPr>
        <w:t xml:space="preserve"> de Recursos Naturales y Ambientales (DRNA) expresó su posición </w:t>
      </w:r>
      <w:r w:rsidR="00255C80">
        <w:rPr>
          <w:rFonts w:ascii="Book Antiqua" w:hAnsi="Book Antiqua"/>
          <w:sz w:val="24"/>
          <w:szCs w:val="24"/>
          <w:lang w:val="es-PR"/>
        </w:rPr>
        <w:t xml:space="preserve">en contra del </w:t>
      </w:r>
      <w:r w:rsidRPr="00BD145A">
        <w:rPr>
          <w:rFonts w:ascii="Book Antiqua" w:hAnsi="Book Antiqua"/>
          <w:sz w:val="24"/>
          <w:szCs w:val="24"/>
          <w:lang w:val="es-PR"/>
        </w:rPr>
        <w:t xml:space="preserve">P. del S. 284, que propone crear la “Ley de Legitimación Activa Ambiental”. Esta </w:t>
      </w:r>
      <w:r w:rsidR="00255C80">
        <w:rPr>
          <w:rFonts w:ascii="Book Antiqua" w:hAnsi="Book Antiqua"/>
          <w:sz w:val="24"/>
          <w:szCs w:val="24"/>
          <w:lang w:val="es-PR"/>
        </w:rPr>
        <w:t>media</w:t>
      </w:r>
      <w:r w:rsidRPr="00BD145A">
        <w:rPr>
          <w:rFonts w:ascii="Book Antiqua" w:hAnsi="Book Antiqua"/>
          <w:sz w:val="24"/>
          <w:szCs w:val="24"/>
          <w:lang w:val="es-PR"/>
        </w:rPr>
        <w:t xml:space="preserve"> busca otorgar legitimación activa estatutaria plena a cualquier persona en Puerto Rico que desee intervenir en procesos administrativos o judiciales relacionados con asuntos ambientales, ecológicos o de recursos naturales, sin requerir la demostración de un daño concreto.</w:t>
      </w:r>
    </w:p>
    <w:p w14:paraId="7AD23218" w14:textId="77777777" w:rsidR="00BD145A" w:rsidRPr="00BD145A" w:rsidRDefault="00BD145A" w:rsidP="00BD145A">
      <w:pPr>
        <w:spacing w:after="0" w:line="360" w:lineRule="auto"/>
        <w:ind w:firstLine="720"/>
        <w:jc w:val="both"/>
        <w:rPr>
          <w:rFonts w:ascii="Book Antiqua" w:hAnsi="Book Antiqua"/>
          <w:sz w:val="24"/>
          <w:szCs w:val="24"/>
          <w:lang w:val="es-PR"/>
        </w:rPr>
      </w:pPr>
      <w:r w:rsidRPr="00BD145A">
        <w:rPr>
          <w:rFonts w:ascii="Book Antiqua" w:hAnsi="Book Antiqua"/>
          <w:sz w:val="24"/>
          <w:szCs w:val="24"/>
          <w:lang w:val="es-PR"/>
        </w:rPr>
        <w:t xml:space="preserve">En su análisis, el DRNA enfatiza que el concepto de legitimación activa debe respetar los parámetros establecidos por el Tribunal Supremo de Puerto Rico. Según la jurisprudencia, para que una persona o entidad tenga legitimación activa debe demostrar un daño claro, real e inmediato, que esté relacionado causalmente con la acción impugnada y que surja bajo una norma jurídica aplicable. Este estándar también aplica a las asociaciones, que deben justificar que el daño es específico y no abstracto. Además, el </w:t>
      </w:r>
      <w:r w:rsidRPr="00BD145A">
        <w:rPr>
          <w:rFonts w:ascii="Book Antiqua" w:hAnsi="Book Antiqua"/>
          <w:sz w:val="24"/>
          <w:szCs w:val="24"/>
          <w:lang w:val="es-PR"/>
        </w:rPr>
        <w:lastRenderedPageBreak/>
        <w:t>Tribunal ha aclarado que no basta con que la actuación gubernamental afecte al litigante; ese efecto debe ser adverso y concreto.</w:t>
      </w:r>
    </w:p>
    <w:p w14:paraId="6CD8B7FB" w14:textId="77777777" w:rsidR="00BD145A" w:rsidRPr="00BD145A" w:rsidRDefault="00BD145A" w:rsidP="00BD145A">
      <w:pPr>
        <w:spacing w:after="0" w:line="360" w:lineRule="auto"/>
        <w:ind w:firstLine="720"/>
        <w:jc w:val="both"/>
        <w:rPr>
          <w:rFonts w:ascii="Book Antiqua" w:hAnsi="Book Antiqua"/>
          <w:sz w:val="24"/>
          <w:szCs w:val="24"/>
          <w:lang w:val="es-PR"/>
        </w:rPr>
      </w:pPr>
      <w:r w:rsidRPr="00BD145A">
        <w:rPr>
          <w:rFonts w:ascii="Book Antiqua" w:hAnsi="Book Antiqua"/>
          <w:sz w:val="24"/>
          <w:szCs w:val="24"/>
          <w:lang w:val="es-PR"/>
        </w:rPr>
        <w:t>El DRNA sostiene que la propuesta legislativa pretende liberalizar excesivamente el concepto de legitimación activa, permitiendo que cualquier persona, sin demostrar daño, pueda activar los mecanismos judiciales o administrativos. A su juicio, esta apertura podría distorsionar el balance adecuado entre el acceso a la justicia y los principios constitucionales vigentes.</w:t>
      </w:r>
    </w:p>
    <w:p w14:paraId="5116FC5D" w14:textId="24C8E33E" w:rsidR="00BD145A" w:rsidRPr="00BD145A" w:rsidRDefault="00255C80" w:rsidP="00BD145A">
      <w:pPr>
        <w:spacing w:after="0" w:line="360" w:lineRule="auto"/>
        <w:ind w:firstLine="720"/>
        <w:jc w:val="both"/>
        <w:rPr>
          <w:rFonts w:ascii="Book Antiqua" w:hAnsi="Book Antiqua"/>
          <w:sz w:val="24"/>
          <w:szCs w:val="24"/>
          <w:lang w:val="es-PR"/>
        </w:rPr>
      </w:pPr>
      <w:r w:rsidRPr="00BD145A">
        <w:rPr>
          <w:rFonts w:ascii="Book Antiqua" w:hAnsi="Book Antiqua"/>
          <w:sz w:val="24"/>
          <w:szCs w:val="24"/>
          <w:lang w:val="es-PR"/>
        </w:rPr>
        <w:t>C</w:t>
      </w:r>
      <w:r>
        <w:rPr>
          <w:rFonts w:ascii="Book Antiqua" w:hAnsi="Book Antiqua"/>
          <w:sz w:val="24"/>
          <w:szCs w:val="24"/>
          <w:lang w:val="es-PR"/>
        </w:rPr>
        <w:t xml:space="preserve">itando </w:t>
      </w:r>
      <w:r w:rsidRPr="00BD145A">
        <w:rPr>
          <w:rFonts w:ascii="Book Antiqua" w:hAnsi="Book Antiqua"/>
          <w:sz w:val="24"/>
          <w:szCs w:val="24"/>
          <w:lang w:val="es-PR"/>
        </w:rPr>
        <w:t>jurisprudencia</w:t>
      </w:r>
      <w:r w:rsidR="00BD145A" w:rsidRPr="00BD145A">
        <w:rPr>
          <w:rFonts w:ascii="Book Antiqua" w:hAnsi="Book Antiqua"/>
          <w:sz w:val="24"/>
          <w:szCs w:val="24"/>
          <w:lang w:val="es-PR"/>
        </w:rPr>
        <w:t xml:space="preserve"> reciente</w:t>
      </w:r>
      <w:r>
        <w:rPr>
          <w:rFonts w:ascii="Book Antiqua" w:hAnsi="Book Antiqua"/>
          <w:sz w:val="24"/>
          <w:szCs w:val="24"/>
          <w:lang w:val="es-PR"/>
        </w:rPr>
        <w:t xml:space="preserve">, </w:t>
      </w:r>
      <w:r w:rsidR="00BD145A" w:rsidRPr="00BD145A">
        <w:rPr>
          <w:rFonts w:ascii="Book Antiqua" w:hAnsi="Book Antiqua"/>
          <w:sz w:val="24"/>
          <w:szCs w:val="24"/>
          <w:lang w:val="es-PR"/>
        </w:rPr>
        <w:t xml:space="preserve">específicamente los casos </w:t>
      </w:r>
      <w:r w:rsidR="00BD145A" w:rsidRPr="00BD145A">
        <w:rPr>
          <w:rFonts w:ascii="Book Antiqua" w:hAnsi="Book Antiqua"/>
          <w:i/>
          <w:iCs/>
          <w:sz w:val="24"/>
          <w:szCs w:val="24"/>
          <w:lang w:val="es-PR"/>
        </w:rPr>
        <w:t xml:space="preserve">Fundación </w:t>
      </w:r>
      <w:proofErr w:type="spellStart"/>
      <w:r w:rsidR="00BD145A" w:rsidRPr="00BD145A">
        <w:rPr>
          <w:rFonts w:ascii="Book Antiqua" w:hAnsi="Book Antiqua"/>
          <w:i/>
          <w:iCs/>
          <w:sz w:val="24"/>
          <w:szCs w:val="24"/>
          <w:lang w:val="es-PR"/>
        </w:rPr>
        <w:t>Surfrider</w:t>
      </w:r>
      <w:proofErr w:type="spellEnd"/>
      <w:r w:rsidR="00BD145A" w:rsidRPr="00BD145A">
        <w:rPr>
          <w:rFonts w:ascii="Book Antiqua" w:hAnsi="Book Antiqua"/>
          <w:i/>
          <w:iCs/>
          <w:sz w:val="24"/>
          <w:szCs w:val="24"/>
          <w:lang w:val="es-PR"/>
        </w:rPr>
        <w:t xml:space="preserve"> v. </w:t>
      </w:r>
      <w:proofErr w:type="spellStart"/>
      <w:r w:rsidR="00BD145A" w:rsidRPr="00BD145A">
        <w:rPr>
          <w:rFonts w:ascii="Book Antiqua" w:hAnsi="Book Antiqua"/>
          <w:i/>
          <w:iCs/>
          <w:sz w:val="24"/>
          <w:szCs w:val="24"/>
          <w:lang w:val="es-PR"/>
        </w:rPr>
        <w:t>A.R.Pe</w:t>
      </w:r>
      <w:proofErr w:type="spellEnd"/>
      <w:r w:rsidR="00BD145A" w:rsidRPr="00BD145A">
        <w:rPr>
          <w:rFonts w:ascii="Book Antiqua" w:hAnsi="Book Antiqua"/>
          <w:i/>
          <w:iCs/>
          <w:sz w:val="24"/>
          <w:szCs w:val="24"/>
          <w:lang w:val="es-PR"/>
        </w:rPr>
        <w:t>., Lozada Sánchez v. JCA, y Municipio de Aguada v. Junta de Calidad Ambiental</w:t>
      </w:r>
      <w:r w:rsidRPr="00255C80">
        <w:rPr>
          <w:rFonts w:ascii="Book Antiqua" w:hAnsi="Book Antiqua"/>
          <w:i/>
          <w:iCs/>
          <w:sz w:val="24"/>
          <w:szCs w:val="24"/>
          <w:lang w:val="es-PR"/>
        </w:rPr>
        <w:t>,</w:t>
      </w:r>
      <w:r>
        <w:rPr>
          <w:rFonts w:ascii="Book Antiqua" w:hAnsi="Book Antiqua"/>
          <w:sz w:val="24"/>
          <w:szCs w:val="24"/>
          <w:lang w:val="es-PR"/>
        </w:rPr>
        <w:t xml:space="preserve"> </w:t>
      </w:r>
      <w:r w:rsidR="00BD145A" w:rsidRPr="00BD145A">
        <w:rPr>
          <w:rFonts w:ascii="Book Antiqua" w:hAnsi="Book Antiqua"/>
          <w:sz w:val="24"/>
          <w:szCs w:val="24"/>
          <w:lang w:val="es-PR"/>
        </w:rPr>
        <w:t>el DRNA concluye que el sistema legal actual ya garantiza los derechos de participación ciudadana en controversias ambientales. Por lo tanto, estima que el P. del S. 284 no es necesario, ya que los mecanismos jurídicos existentes permiten reclamar adecuadamente la protección del ambiente.</w:t>
      </w:r>
    </w:p>
    <w:p w14:paraId="71ACC73B" w14:textId="49C29A50" w:rsidR="00BD145A" w:rsidRPr="002842EF" w:rsidRDefault="00BD145A" w:rsidP="00255C80">
      <w:pPr>
        <w:spacing w:after="0" w:line="360" w:lineRule="auto"/>
        <w:ind w:firstLine="720"/>
        <w:jc w:val="both"/>
        <w:rPr>
          <w:rFonts w:ascii="Book Antiqua" w:hAnsi="Book Antiqua"/>
          <w:sz w:val="24"/>
          <w:szCs w:val="24"/>
          <w:lang w:val="es-PR"/>
        </w:rPr>
      </w:pPr>
      <w:r w:rsidRPr="00BD145A">
        <w:rPr>
          <w:rFonts w:ascii="Book Antiqua" w:hAnsi="Book Antiqua"/>
          <w:sz w:val="24"/>
          <w:szCs w:val="24"/>
          <w:lang w:val="es-PR"/>
        </w:rPr>
        <w:t xml:space="preserve">En consecuencia, el DRNA </w:t>
      </w:r>
      <w:r w:rsidRPr="006B3955">
        <w:rPr>
          <w:rFonts w:ascii="Book Antiqua" w:hAnsi="Book Antiqua"/>
          <w:b/>
          <w:bCs/>
          <w:sz w:val="24"/>
          <w:szCs w:val="24"/>
          <w:lang w:val="es-PR"/>
        </w:rPr>
        <w:t>no recomienda</w:t>
      </w:r>
      <w:r w:rsidRPr="00BD145A">
        <w:rPr>
          <w:rFonts w:ascii="Book Antiqua" w:hAnsi="Book Antiqua"/>
          <w:sz w:val="24"/>
          <w:szCs w:val="24"/>
          <w:lang w:val="es-PR"/>
        </w:rPr>
        <w:t xml:space="preserve"> la aprobación del Proyecto del Senado 284 y considera innecesaria la discusión de las enmiendas propuestas a las leyes vinculadas, reiterando que el ordenamiento jurídico vigente ya proporciona un marco efectivo para canalizar este tipo de reclamaciones.</w:t>
      </w:r>
    </w:p>
    <w:p w14:paraId="442BC6E2" w14:textId="77777777" w:rsidR="00CC0711" w:rsidRPr="004A7E4A" w:rsidRDefault="00CC0711" w:rsidP="002842EF">
      <w:pPr>
        <w:spacing w:after="0" w:line="360" w:lineRule="auto"/>
        <w:jc w:val="both"/>
        <w:rPr>
          <w:rFonts w:ascii="Book Antiqua" w:hAnsi="Book Antiqua"/>
          <w:b/>
          <w:bCs/>
          <w:sz w:val="24"/>
          <w:szCs w:val="24"/>
          <w:u w:val="single"/>
          <w:lang w:val="es-PR"/>
        </w:rPr>
      </w:pPr>
    </w:p>
    <w:p w14:paraId="15088707" w14:textId="77777777" w:rsidR="000D7BA4" w:rsidRPr="00B66E92" w:rsidRDefault="009F328D" w:rsidP="009967C7">
      <w:pPr>
        <w:spacing w:after="0" w:line="240" w:lineRule="auto"/>
        <w:jc w:val="center"/>
        <w:rPr>
          <w:rFonts w:ascii="Book Antiqua" w:eastAsia="Times New Roman" w:hAnsi="Book Antiqua"/>
          <w:sz w:val="24"/>
          <w:szCs w:val="24"/>
          <w:shd w:val="clear" w:color="auto" w:fill="FFFFFF"/>
          <w:lang w:val="es-PR"/>
        </w:rPr>
      </w:pPr>
      <w:r w:rsidRPr="00B66E92">
        <w:rPr>
          <w:rFonts w:ascii="Book Antiqua" w:eastAsia="Times New Roman" w:hAnsi="Book Antiqua" w:cs="Times New Roman"/>
          <w:b/>
          <w:sz w:val="24"/>
          <w:szCs w:val="24"/>
          <w:lang w:val="es-ES"/>
        </w:rPr>
        <w:t xml:space="preserve">IMPACTO FISCAL MUNICIPAL </w:t>
      </w:r>
      <w:r w:rsidRPr="00B66E92">
        <w:rPr>
          <w:rFonts w:ascii="Book Antiqua" w:eastAsia="Times New Roman" w:hAnsi="Book Antiqua" w:cs="Times New Roman"/>
          <w:b/>
          <w:sz w:val="24"/>
          <w:szCs w:val="24"/>
          <w:lang w:val="es-ES"/>
        </w:rPr>
        <w:br/>
      </w:r>
    </w:p>
    <w:p w14:paraId="0927FABC" w14:textId="5848E46F" w:rsidR="009F328D" w:rsidRDefault="000D7BA4" w:rsidP="007D6A59">
      <w:pPr>
        <w:spacing w:after="0" w:line="360" w:lineRule="auto"/>
        <w:ind w:firstLine="720"/>
        <w:jc w:val="both"/>
        <w:rPr>
          <w:rFonts w:ascii="Book Antiqua" w:eastAsia="Times New Roman" w:hAnsi="Book Antiqua"/>
          <w:sz w:val="24"/>
          <w:szCs w:val="24"/>
          <w:shd w:val="clear" w:color="auto" w:fill="FFFFFF"/>
          <w:lang w:val="es-PR"/>
        </w:rPr>
      </w:pPr>
      <w:r w:rsidRPr="00B66E92">
        <w:rPr>
          <w:rFonts w:ascii="Book Antiqua" w:eastAsia="Times New Roman" w:hAnsi="Book Antiqua"/>
          <w:sz w:val="24"/>
          <w:szCs w:val="24"/>
          <w:shd w:val="clear" w:color="auto" w:fill="FFFFFF"/>
          <w:lang w:val="es-PR"/>
        </w:rPr>
        <w:t xml:space="preserve">En cumplimiento con el Artículo 1.007 de la Ley 107-2020, según enmendada, conocida como “Código Municipal de Puerto Rico”, la Comisión de </w:t>
      </w:r>
      <w:r w:rsidR="00115BA5">
        <w:rPr>
          <w:rFonts w:ascii="Book Antiqua" w:eastAsia="Times New Roman" w:hAnsi="Book Antiqua"/>
          <w:sz w:val="24"/>
          <w:szCs w:val="24"/>
          <w:shd w:val="clear" w:color="auto" w:fill="FFFFFF"/>
          <w:lang w:val="es-PR"/>
        </w:rPr>
        <w:t xml:space="preserve">Innovación, Reforma y </w:t>
      </w:r>
      <w:r w:rsidR="007C1A4E">
        <w:rPr>
          <w:rFonts w:ascii="Book Antiqua" w:eastAsia="Times New Roman" w:hAnsi="Book Antiqua"/>
          <w:sz w:val="24"/>
          <w:szCs w:val="24"/>
          <w:shd w:val="clear" w:color="auto" w:fill="FFFFFF"/>
          <w:lang w:val="es-PR"/>
        </w:rPr>
        <w:t xml:space="preserve">Nombramientos </w:t>
      </w:r>
      <w:r w:rsidR="007C1A4E" w:rsidRPr="00B66E92">
        <w:rPr>
          <w:rFonts w:ascii="Book Antiqua" w:eastAsia="Times New Roman" w:hAnsi="Book Antiqua"/>
          <w:sz w:val="24"/>
          <w:szCs w:val="24"/>
          <w:shd w:val="clear" w:color="auto" w:fill="FFFFFF"/>
          <w:lang w:val="es-PR"/>
        </w:rPr>
        <w:t>certifica</w:t>
      </w:r>
      <w:r w:rsidRPr="00B66E92">
        <w:rPr>
          <w:rFonts w:ascii="Book Antiqua" w:eastAsia="Times New Roman" w:hAnsi="Book Antiqua"/>
          <w:sz w:val="24"/>
          <w:szCs w:val="24"/>
          <w:shd w:val="clear" w:color="auto" w:fill="FFFFFF"/>
          <w:lang w:val="es-PR"/>
        </w:rPr>
        <w:t xml:space="preserve"> que el P. del S. </w:t>
      </w:r>
      <w:r w:rsidR="00C50BF8">
        <w:rPr>
          <w:rFonts w:ascii="Book Antiqua" w:eastAsia="Times New Roman" w:hAnsi="Book Antiqua"/>
          <w:sz w:val="24"/>
          <w:szCs w:val="24"/>
          <w:shd w:val="clear" w:color="auto" w:fill="FFFFFF"/>
          <w:lang w:val="es-PR"/>
        </w:rPr>
        <w:t>284</w:t>
      </w:r>
      <w:r w:rsidRPr="00B66E92">
        <w:rPr>
          <w:rFonts w:ascii="Book Antiqua" w:eastAsia="Times New Roman" w:hAnsi="Book Antiqua"/>
          <w:sz w:val="24"/>
          <w:szCs w:val="24"/>
          <w:shd w:val="clear" w:color="auto" w:fill="FFFFFF"/>
          <w:lang w:val="es-PR"/>
        </w:rPr>
        <w:t xml:space="preserve"> no impone una obligación económica en los presupuestos de los gobiernos municipales.</w:t>
      </w:r>
      <w:r w:rsidR="007D4A54" w:rsidRPr="00B66E92">
        <w:rPr>
          <w:rFonts w:ascii="Book Antiqua" w:eastAsia="Times New Roman" w:hAnsi="Book Antiqua"/>
          <w:sz w:val="24"/>
          <w:szCs w:val="24"/>
          <w:shd w:val="clear" w:color="auto" w:fill="FFFFFF"/>
          <w:lang w:val="es-PR"/>
        </w:rPr>
        <w:t xml:space="preserve"> </w:t>
      </w:r>
    </w:p>
    <w:p w14:paraId="38CC25A3" w14:textId="77777777" w:rsidR="00E543D7" w:rsidRPr="00B66E92" w:rsidRDefault="00E543D7" w:rsidP="009967C7">
      <w:pPr>
        <w:spacing w:after="0" w:line="240" w:lineRule="auto"/>
        <w:jc w:val="both"/>
        <w:rPr>
          <w:rFonts w:ascii="Book Antiqua" w:eastAsia="Times New Roman" w:hAnsi="Book Antiqua"/>
          <w:sz w:val="24"/>
          <w:szCs w:val="24"/>
          <w:shd w:val="clear" w:color="auto" w:fill="FFFFFF"/>
          <w:lang w:val="es-PR"/>
        </w:rPr>
      </w:pPr>
    </w:p>
    <w:p w14:paraId="6996E751" w14:textId="0FECC400"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53485F2E" w14:textId="24B283EC" w:rsidR="00024A89" w:rsidRPr="00024A89" w:rsidRDefault="00E705BA" w:rsidP="00024A89">
      <w:pPr>
        <w:snapToGrid w:val="0"/>
        <w:spacing w:after="0" w:line="360" w:lineRule="auto"/>
        <w:jc w:val="both"/>
        <w:rPr>
          <w:rFonts w:ascii="Book Antiqua" w:hAnsi="Book Antiqua"/>
          <w:color w:val="000000"/>
          <w:sz w:val="24"/>
          <w:szCs w:val="24"/>
          <w:lang w:val="es-PR"/>
        </w:rPr>
      </w:pPr>
      <w:r>
        <w:rPr>
          <w:rFonts w:ascii="Book Antiqua" w:hAnsi="Book Antiqua"/>
          <w:color w:val="000000"/>
          <w:sz w:val="24"/>
          <w:szCs w:val="24"/>
          <w:lang w:val="es-PR"/>
        </w:rPr>
        <w:t>L</w:t>
      </w:r>
      <w:r w:rsidRPr="00024A89">
        <w:rPr>
          <w:rFonts w:ascii="Book Antiqua" w:hAnsi="Book Antiqua"/>
          <w:color w:val="000000"/>
          <w:sz w:val="24"/>
          <w:szCs w:val="24"/>
          <w:lang w:val="es-PR"/>
        </w:rPr>
        <w:t>a Comisión de Innovación, Reforma y Nombramientos</w:t>
      </w:r>
      <w:r w:rsidRPr="00E705BA">
        <w:rPr>
          <w:rFonts w:ascii="Book Antiqua" w:hAnsi="Book Antiqua"/>
          <w:color w:val="000000"/>
          <w:sz w:val="24"/>
          <w:szCs w:val="24"/>
          <w:lang w:val="es-PR"/>
        </w:rPr>
        <w:t xml:space="preserve"> </w:t>
      </w:r>
      <w:r>
        <w:rPr>
          <w:rFonts w:ascii="Book Antiqua" w:hAnsi="Book Antiqua"/>
          <w:color w:val="000000"/>
          <w:sz w:val="24"/>
          <w:szCs w:val="24"/>
          <w:lang w:val="es-PR"/>
        </w:rPr>
        <w:t xml:space="preserve">del Senado de Puerto Rico </w:t>
      </w:r>
      <w:r w:rsidR="0049327C">
        <w:rPr>
          <w:rFonts w:ascii="Book Antiqua" w:hAnsi="Book Antiqua"/>
          <w:color w:val="000000"/>
          <w:sz w:val="24"/>
          <w:szCs w:val="24"/>
          <w:lang w:val="es-PR"/>
        </w:rPr>
        <w:t>tuvo la oportunidad de evaluar y analizar el</w:t>
      </w:r>
      <w:r w:rsidR="00024A89" w:rsidRPr="00024A89">
        <w:rPr>
          <w:rFonts w:ascii="Book Antiqua" w:hAnsi="Book Antiqua"/>
          <w:color w:val="000000"/>
          <w:sz w:val="24"/>
          <w:szCs w:val="24"/>
          <w:lang w:val="es-PR"/>
        </w:rPr>
        <w:t xml:space="preserve"> </w:t>
      </w:r>
      <w:r w:rsidR="00024A89">
        <w:rPr>
          <w:rFonts w:ascii="Book Antiqua" w:hAnsi="Book Antiqua"/>
          <w:color w:val="000000"/>
          <w:sz w:val="24"/>
          <w:szCs w:val="24"/>
          <w:lang w:val="es-PR"/>
        </w:rPr>
        <w:t xml:space="preserve">P. del S. 284 y los comentarios contenidos </w:t>
      </w:r>
      <w:r>
        <w:rPr>
          <w:rFonts w:ascii="Book Antiqua" w:hAnsi="Book Antiqua"/>
          <w:color w:val="000000"/>
          <w:sz w:val="24"/>
          <w:szCs w:val="24"/>
          <w:lang w:val="es-PR"/>
        </w:rPr>
        <w:t xml:space="preserve">en los </w:t>
      </w:r>
      <w:r w:rsidR="00024A89">
        <w:rPr>
          <w:rFonts w:ascii="Book Antiqua" w:hAnsi="Book Antiqua"/>
          <w:color w:val="000000"/>
          <w:sz w:val="24"/>
          <w:szCs w:val="24"/>
          <w:lang w:val="es-PR"/>
        </w:rPr>
        <w:lastRenderedPageBreak/>
        <w:t>Memoriales Explicativos recibidos</w:t>
      </w:r>
      <w:r w:rsidR="0049327C">
        <w:rPr>
          <w:rFonts w:ascii="Book Antiqua" w:hAnsi="Book Antiqua"/>
          <w:color w:val="000000"/>
          <w:sz w:val="24"/>
          <w:szCs w:val="24"/>
          <w:lang w:val="es-PR"/>
        </w:rPr>
        <w:t xml:space="preserve"> a la luz del</w:t>
      </w:r>
      <w:r>
        <w:rPr>
          <w:rFonts w:ascii="Book Antiqua" w:hAnsi="Book Antiqua"/>
          <w:color w:val="000000"/>
          <w:sz w:val="24"/>
          <w:szCs w:val="24"/>
          <w:lang w:val="es-PR"/>
        </w:rPr>
        <w:t xml:space="preserve"> m</w:t>
      </w:r>
      <w:r w:rsidRPr="00024A89">
        <w:rPr>
          <w:rFonts w:ascii="Book Antiqua" w:hAnsi="Book Antiqua"/>
          <w:color w:val="000000"/>
          <w:sz w:val="24"/>
          <w:szCs w:val="24"/>
          <w:lang w:val="es-PR"/>
        </w:rPr>
        <w:t xml:space="preserve">arco legal y </w:t>
      </w:r>
      <w:r>
        <w:rPr>
          <w:rFonts w:ascii="Book Antiqua" w:hAnsi="Book Antiqua"/>
          <w:color w:val="000000"/>
          <w:sz w:val="24"/>
          <w:szCs w:val="24"/>
          <w:lang w:val="es-PR"/>
        </w:rPr>
        <w:t>jurídico</w:t>
      </w:r>
      <w:r w:rsidRPr="00024A89">
        <w:rPr>
          <w:rFonts w:ascii="Book Antiqua" w:hAnsi="Book Antiqua"/>
          <w:color w:val="000000"/>
          <w:sz w:val="24"/>
          <w:szCs w:val="24"/>
          <w:lang w:val="es-PR"/>
        </w:rPr>
        <w:t xml:space="preserve"> </w:t>
      </w:r>
      <w:r w:rsidR="00024A89">
        <w:rPr>
          <w:rFonts w:ascii="Book Antiqua" w:hAnsi="Book Antiqua"/>
          <w:color w:val="000000"/>
          <w:sz w:val="24"/>
          <w:szCs w:val="24"/>
          <w:lang w:val="es-PR"/>
        </w:rPr>
        <w:t>vigente</w:t>
      </w:r>
      <w:r w:rsidR="0049327C">
        <w:rPr>
          <w:rFonts w:ascii="Book Antiqua" w:hAnsi="Book Antiqua"/>
          <w:color w:val="000000"/>
          <w:sz w:val="24"/>
          <w:szCs w:val="24"/>
          <w:lang w:val="es-PR"/>
        </w:rPr>
        <w:t xml:space="preserve">. Como resultado de dicho análisis, la Comisión </w:t>
      </w:r>
      <w:r w:rsidR="00024A89" w:rsidRPr="00024A89">
        <w:rPr>
          <w:rFonts w:ascii="Book Antiqua" w:hAnsi="Book Antiqua"/>
          <w:color w:val="000000"/>
          <w:sz w:val="24"/>
          <w:szCs w:val="24"/>
          <w:lang w:val="es-PR"/>
        </w:rPr>
        <w:t>concluye que no se debe recomendar la aprobación de la medida. La legislación vigente ya permite que las personas y entidades afectadas participen activamente en los procesos administrativos y judiciales relacionados con la protección del medio ambiente, asegurando la revisión de decisiones de agencias gubernamentales y el acceso a la reparación de agravios.</w:t>
      </w:r>
    </w:p>
    <w:p w14:paraId="6CFA4981" w14:textId="4B6E30D6" w:rsidR="00993D84" w:rsidRPr="00F912F4" w:rsidRDefault="00024A89" w:rsidP="00A31CE8">
      <w:pPr>
        <w:snapToGrid w:val="0"/>
        <w:spacing w:after="0" w:line="360" w:lineRule="auto"/>
        <w:jc w:val="both"/>
        <w:rPr>
          <w:rFonts w:ascii="Book Antiqua" w:hAnsi="Book Antiqua"/>
          <w:color w:val="000000"/>
          <w:sz w:val="24"/>
          <w:szCs w:val="24"/>
          <w:lang w:val="es-PR"/>
        </w:rPr>
      </w:pPr>
      <w:r w:rsidRPr="00024A89">
        <w:rPr>
          <w:rFonts w:ascii="Book Antiqua" w:hAnsi="Book Antiqua"/>
          <w:color w:val="000000"/>
          <w:sz w:val="24"/>
          <w:szCs w:val="24"/>
          <w:lang w:val="es-PR"/>
        </w:rPr>
        <w:t>El otorgamiento indiscriminado de legitimación activa propuesto por la medida podría derivar en una saturación de litigios innecesarios, lo que afectaría negativamente el proceso de reconstrucción, la recuperación económica y la generación de empleos. Además, la medida no toma en cuenta el marco legal y la jurisprudencia existente, que ya ofrecen los mecanismos necesarios para garantizar la adecuada protección del medio ambiente sin alterar el equilibrio jurídico actual.</w:t>
      </w:r>
    </w:p>
    <w:p w14:paraId="517242F1" w14:textId="56B8470D" w:rsidR="00E543D7" w:rsidRPr="00E543D7" w:rsidRDefault="00E543D7" w:rsidP="0076395F">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de</w:t>
      </w:r>
      <w:r w:rsidR="00F55108">
        <w:rPr>
          <w:rFonts w:ascii="Book Antiqua" w:eastAsia="Aptos" w:hAnsi="Book Antiqua" w:cs="Times New Roman"/>
          <w:b/>
          <w:bCs/>
          <w:kern w:val="2"/>
          <w:sz w:val="24"/>
          <w:szCs w:val="24"/>
          <w:lang w:val="es-ES_tradnl"/>
          <w14:ligatures w14:val="standardContextual"/>
        </w:rPr>
        <w:t>l S</w:t>
      </w:r>
      <w:r w:rsidRPr="00E543D7">
        <w:rPr>
          <w:rFonts w:ascii="Book Antiqua" w:eastAsia="Aptos" w:hAnsi="Book Antiqua" w:cs="Times New Roman"/>
          <w:b/>
          <w:bCs/>
          <w:kern w:val="2"/>
          <w:sz w:val="24"/>
          <w:szCs w:val="24"/>
          <w:lang w:val="es-ES_tradnl"/>
          <w14:ligatures w14:val="standardContextual"/>
        </w:rPr>
        <w:t xml:space="preserve">. </w:t>
      </w:r>
      <w:r w:rsidR="00C50BF8">
        <w:rPr>
          <w:rFonts w:ascii="Book Antiqua" w:eastAsia="Aptos" w:hAnsi="Book Antiqua" w:cs="Times New Roman"/>
          <w:b/>
          <w:bCs/>
          <w:kern w:val="2"/>
          <w:sz w:val="24"/>
          <w:szCs w:val="24"/>
          <w:lang w:val="es-ES_tradnl"/>
          <w14:ligatures w14:val="standardContextual"/>
        </w:rPr>
        <w:t>284</w:t>
      </w:r>
      <w:r>
        <w:rPr>
          <w:rFonts w:ascii="Book Antiqua" w:eastAsia="Aptos" w:hAnsi="Book Antiqua" w:cs="Times New Roman"/>
          <w:kern w:val="2"/>
          <w:sz w:val="24"/>
          <w:szCs w:val="24"/>
          <w:lang w:val="es-ES_tradnl"/>
          <w14:ligatures w14:val="standardContextual"/>
        </w:rPr>
        <w:t>.</w:t>
      </w:r>
    </w:p>
    <w:p w14:paraId="277EE999" w14:textId="77777777" w:rsidR="00E543D7" w:rsidRPr="00E543D7" w:rsidRDefault="00E543D7" w:rsidP="0076395F">
      <w:pPr>
        <w:spacing w:before="240"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51B7E3C2" w14:textId="77777777"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297BE82C" w14:textId="77777777" w:rsidR="0076395F"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 xml:space="preserve">Presidente </w:t>
      </w:r>
    </w:p>
    <w:p w14:paraId="7F3F1EF6" w14:textId="280B306A"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Comisión de Innovación,</w:t>
      </w:r>
      <w:r w:rsidR="0076395F">
        <w:rPr>
          <w:rFonts w:ascii="Book Antiqua" w:eastAsia="Calibri" w:hAnsi="Book Antiqua" w:cs="Times New Roman"/>
          <w:sz w:val="24"/>
          <w:szCs w:val="24"/>
          <w:lang w:val="es-PR"/>
        </w:rPr>
        <w:t xml:space="preserve"> </w:t>
      </w:r>
      <w:r w:rsidRPr="00E543D7">
        <w:rPr>
          <w:rFonts w:ascii="Book Antiqua" w:eastAsia="Calibri" w:hAnsi="Book Antiqua" w:cs="Times New Roman"/>
          <w:sz w:val="24"/>
          <w:szCs w:val="24"/>
          <w:lang w:val="es-PR"/>
        </w:rPr>
        <w:t>Reforma y Nombramientos</w:t>
      </w:r>
    </w:p>
    <w:p w14:paraId="3393B050" w14:textId="584D498B"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6BB21" w14:textId="77777777" w:rsidR="00582EA8" w:rsidRDefault="00582EA8" w:rsidP="00426A07">
      <w:pPr>
        <w:spacing w:after="0" w:line="240" w:lineRule="auto"/>
      </w:pPr>
      <w:r>
        <w:separator/>
      </w:r>
    </w:p>
  </w:endnote>
  <w:endnote w:type="continuationSeparator" w:id="0">
    <w:p w14:paraId="5C2B8747" w14:textId="77777777" w:rsidR="00582EA8" w:rsidRDefault="00582EA8"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A9CBF" w14:textId="77777777" w:rsidR="00582EA8" w:rsidRDefault="00582EA8" w:rsidP="00426A07">
      <w:pPr>
        <w:spacing w:after="0" w:line="240" w:lineRule="auto"/>
      </w:pPr>
      <w:r>
        <w:separator/>
      </w:r>
    </w:p>
  </w:footnote>
  <w:footnote w:type="continuationSeparator" w:id="0">
    <w:p w14:paraId="31FE391E" w14:textId="77777777" w:rsidR="00582EA8" w:rsidRDefault="00582EA8" w:rsidP="00426A07">
      <w:pPr>
        <w:spacing w:after="0" w:line="240" w:lineRule="auto"/>
      </w:pPr>
      <w:r>
        <w:continuationSeparator/>
      </w:r>
    </w:p>
  </w:footnote>
  <w:footnote w:id="1">
    <w:p w14:paraId="21D8D4D2" w14:textId="6456C6F9" w:rsidR="00A5249B" w:rsidRPr="00A5249B" w:rsidRDefault="00A5249B">
      <w:pPr>
        <w:pStyle w:val="FootnoteText"/>
        <w:rPr>
          <w:lang w:val="es-PR"/>
        </w:rPr>
      </w:pPr>
      <w:r>
        <w:rPr>
          <w:rStyle w:val="FootnoteReference"/>
        </w:rPr>
        <w:footnoteRef/>
      </w:r>
      <w:r w:rsidRPr="00A5249B">
        <w:rPr>
          <w:lang w:val="es-PR"/>
        </w:rPr>
        <w:t xml:space="preserve"> </w:t>
      </w:r>
      <w:r>
        <w:rPr>
          <w:lang w:val="es-PR"/>
        </w:rPr>
        <w:t xml:space="preserve">Véase Titulo del P. del S. </w:t>
      </w:r>
      <w:r w:rsidR="002F410F">
        <w:rPr>
          <w:lang w:val="es-PR"/>
        </w:rPr>
        <w:t>284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eastAsia="Aptos" w:hAnsi="Book Antiqua" w:cs="Times New Roman"/>
        <w:i/>
        <w:iCs/>
        <w:color w:val="C00000"/>
        <w:kern w:val="2"/>
        <w:sz w:val="20"/>
        <w:szCs w:val="20"/>
        <w:lang w:val="es-ES_tradnl"/>
        <w14:ligatures w14:val="standardContextual"/>
      </w:rPr>
      <w:id w:val="-1031403848"/>
      <w:docPartObj>
        <w:docPartGallery w:val="Page Numbers (Top of Page)"/>
        <w:docPartUnique/>
      </w:docPartObj>
    </w:sdtPr>
    <w:sdtEndPr>
      <w:rPr>
        <w:noProof/>
      </w:rPr>
    </w:sdtEndPr>
    <w:sdtContent>
      <w:p w14:paraId="7E1BB75F" w14:textId="1C8B3FAC"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7D6A59">
          <w:rPr>
            <w:rFonts w:ascii="Book Antiqua" w:eastAsia="Aptos" w:hAnsi="Book Antiqua" w:cs="Times New Roman"/>
            <w:i/>
            <w:iCs/>
            <w:color w:val="000000"/>
            <w:kern w:val="2"/>
            <w:sz w:val="20"/>
            <w:szCs w:val="20"/>
            <w:lang w:val="es-ES_tradnl"/>
            <w14:ligatures w14:val="standardContextual"/>
          </w:rPr>
          <w:t xml:space="preserve"> sobre el P. del S. </w:t>
        </w:r>
        <w:r w:rsidR="00C50BF8">
          <w:rPr>
            <w:rFonts w:ascii="Book Antiqua" w:eastAsia="Aptos" w:hAnsi="Book Antiqua" w:cs="Times New Roman"/>
            <w:i/>
            <w:iCs/>
            <w:color w:val="000000"/>
            <w:kern w:val="2"/>
            <w:sz w:val="20"/>
            <w:szCs w:val="20"/>
            <w:lang w:val="es-ES_tradnl"/>
            <w14:ligatures w14:val="standardContextual"/>
          </w:rPr>
          <w:t>284</w:t>
        </w:r>
      </w:p>
      <w:p w14:paraId="0856C43B" w14:textId="77777777" w:rsidR="007D6A59" w:rsidRPr="007D6A59" w:rsidRDefault="007D6A59" w:rsidP="007D6A59">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ab/>
        </w:r>
        <w:r w:rsidRPr="007D6A59">
          <w:rPr>
            <w:rFonts w:ascii="Book Antiqua" w:eastAsia="Aptos" w:hAnsi="Book Antiqua" w:cs="Times New Roman"/>
            <w:i/>
            <w:iCs/>
            <w:color w:val="000000"/>
            <w:kern w:val="2"/>
            <w:sz w:val="20"/>
            <w:szCs w:val="20"/>
            <w:lang w:val="es-ES_tradnl"/>
            <w14:ligatures w14:val="standardContextual"/>
          </w:rPr>
          <w:tab/>
        </w:r>
        <w:bookmarkStart w:id="1" w:name="_Hlk194777241"/>
        <w:r w:rsidRPr="007D6A59">
          <w:rPr>
            <w:rFonts w:ascii="Book Antiqua" w:eastAsia="Aptos" w:hAnsi="Book Antiqua" w:cs="Times New Roman"/>
            <w:i/>
            <w:iCs/>
            <w:color w:val="000000"/>
            <w:kern w:val="2"/>
            <w:sz w:val="20"/>
            <w:szCs w:val="20"/>
            <w:lang w:val="es-ES_tradnl"/>
            <w14:ligatures w14:val="standardContextual"/>
          </w:rPr>
          <w:t>Comisión de Innovación,</w:t>
        </w:r>
      </w:p>
      <w:p w14:paraId="03B2C3B5" w14:textId="77777777" w:rsidR="007D6A59" w:rsidRPr="007D6A59" w:rsidRDefault="007D6A59" w:rsidP="007D6A59">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Reforma y Nombramientos </w:t>
        </w:r>
      </w:p>
      <w:bookmarkEnd w:id="1"/>
      <w:p w14:paraId="505518A4" w14:textId="77777777" w:rsidR="007D6A59" w:rsidRDefault="007D6A59" w:rsidP="007D6A59">
        <w:pPr>
          <w:tabs>
            <w:tab w:val="center" w:pos="4680"/>
            <w:tab w:val="right" w:pos="9360"/>
          </w:tabs>
          <w:spacing w:after="0" w:line="240" w:lineRule="auto"/>
          <w:jc w:val="right"/>
          <w:rPr>
            <w:rFonts w:ascii="Book Antiqua" w:eastAsia="Aptos" w:hAnsi="Book Antiqua" w:cs="Times New Roman"/>
            <w:i/>
            <w:iCs/>
            <w:noProof/>
            <w:color w:val="000000"/>
            <w:kern w:val="2"/>
            <w:sz w:val="20"/>
            <w:szCs w:val="20"/>
            <w:lang w:val="es-ES_tradnl"/>
            <w14:ligatures w14:val="standardContextual"/>
          </w:rPr>
        </w:pPr>
        <w:r w:rsidRPr="007D6A59">
          <w:rPr>
            <w:rFonts w:ascii="Book Antiqua" w:eastAsia="Aptos" w:hAnsi="Book Antiqua" w:cs="Times New Roman"/>
            <w:i/>
            <w:iCs/>
            <w:color w:val="000000"/>
            <w:kern w:val="2"/>
            <w:sz w:val="20"/>
            <w:szCs w:val="20"/>
            <w:lang w:val="es-ES_tradnl"/>
            <w14:ligatures w14:val="standardContextual"/>
          </w:rPr>
          <w:t xml:space="preserve">Página </w:t>
        </w:r>
        <w:r w:rsidRPr="007D6A59">
          <w:rPr>
            <w:rFonts w:ascii="Book Antiqua" w:eastAsia="Aptos" w:hAnsi="Book Antiqua" w:cs="Times New Roman"/>
            <w:i/>
            <w:iCs/>
            <w:color w:val="000000"/>
            <w:kern w:val="2"/>
            <w:sz w:val="20"/>
            <w:szCs w:val="20"/>
            <w:lang w:val="es-ES_tradnl"/>
            <w14:ligatures w14:val="standardContextual"/>
          </w:rPr>
          <w:fldChar w:fldCharType="begin"/>
        </w:r>
        <w:r w:rsidRPr="007D6A59">
          <w:rPr>
            <w:rFonts w:ascii="Book Antiqua" w:eastAsia="Aptos" w:hAnsi="Book Antiqua" w:cs="Times New Roman"/>
            <w:i/>
            <w:iCs/>
            <w:color w:val="000000"/>
            <w:kern w:val="2"/>
            <w:sz w:val="20"/>
            <w:szCs w:val="20"/>
            <w:lang w:val="es-ES_tradnl"/>
            <w14:ligatures w14:val="standardContextual"/>
          </w:rPr>
          <w:instrText xml:space="preserve"> PAGE   \* MERGEFORMAT </w:instrText>
        </w:r>
        <w:r w:rsidRPr="007D6A59">
          <w:rPr>
            <w:rFonts w:ascii="Book Antiqua" w:eastAsia="Aptos" w:hAnsi="Book Antiqua" w:cs="Times New Roman"/>
            <w:i/>
            <w:iCs/>
            <w:color w:val="000000"/>
            <w:kern w:val="2"/>
            <w:sz w:val="20"/>
            <w:szCs w:val="20"/>
            <w:lang w:val="es-ES_tradnl"/>
            <w14:ligatures w14:val="standardContextual"/>
          </w:rPr>
          <w:fldChar w:fldCharType="separate"/>
        </w:r>
        <w:r w:rsidRPr="007D6A59">
          <w:rPr>
            <w:rFonts w:ascii="Book Antiqua" w:eastAsia="Aptos" w:hAnsi="Book Antiqua" w:cs="Times New Roman"/>
            <w:i/>
            <w:iCs/>
            <w:color w:val="000000"/>
            <w:kern w:val="2"/>
            <w:sz w:val="20"/>
            <w:szCs w:val="20"/>
            <w:lang w:val="es-ES_tradnl"/>
            <w14:ligatures w14:val="standardContextual"/>
          </w:rPr>
          <w:t>4</w:t>
        </w:r>
        <w:r w:rsidRPr="007D6A59">
          <w:rPr>
            <w:rFonts w:ascii="Book Antiqua" w:eastAsia="Aptos" w:hAnsi="Book Antiqua" w:cs="Times New Roman"/>
            <w:i/>
            <w:iCs/>
            <w:noProof/>
            <w:color w:val="000000"/>
            <w:kern w:val="2"/>
            <w:sz w:val="20"/>
            <w:szCs w:val="20"/>
            <w:lang w:val="es-ES_tradnl"/>
            <w14:ligatures w14:val="standardContextual"/>
          </w:rPr>
          <w:fldChar w:fldCharType="end"/>
        </w:r>
      </w:p>
      <w:p w14:paraId="236588BC" w14:textId="5728B92F" w:rsidR="00EE5266" w:rsidRPr="007D6A59" w:rsidRDefault="005C5BDF" w:rsidP="007D6A59">
        <w:pPr>
          <w:tabs>
            <w:tab w:val="center" w:pos="4680"/>
            <w:tab w:val="right" w:pos="9360"/>
          </w:tabs>
          <w:spacing w:after="0" w:line="240" w:lineRule="auto"/>
          <w:jc w:val="right"/>
          <w:rPr>
            <w:rFonts w:ascii="Book Antiqua" w:eastAsia="Aptos" w:hAnsi="Book Antiqua" w:cs="Times New Roman"/>
            <w:i/>
            <w:iCs/>
            <w:noProof/>
            <w:color w:val="C00000"/>
            <w:kern w:val="2"/>
            <w:sz w:val="20"/>
            <w:szCs w:val="20"/>
            <w:lang w:val="es-ES_tradnl"/>
            <w14:ligatures w14:val="standardContextual"/>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4A89"/>
    <w:rsid w:val="0002692C"/>
    <w:rsid w:val="000273A0"/>
    <w:rsid w:val="0003162F"/>
    <w:rsid w:val="00035C88"/>
    <w:rsid w:val="00043761"/>
    <w:rsid w:val="000447D6"/>
    <w:rsid w:val="0004764E"/>
    <w:rsid w:val="000553E2"/>
    <w:rsid w:val="00056ADD"/>
    <w:rsid w:val="000608A1"/>
    <w:rsid w:val="000713DF"/>
    <w:rsid w:val="000753AC"/>
    <w:rsid w:val="0008359E"/>
    <w:rsid w:val="0008420D"/>
    <w:rsid w:val="00090BA6"/>
    <w:rsid w:val="00096FB7"/>
    <w:rsid w:val="000A0BF5"/>
    <w:rsid w:val="000A5BC3"/>
    <w:rsid w:val="000B0CC0"/>
    <w:rsid w:val="000B2F35"/>
    <w:rsid w:val="000C0A29"/>
    <w:rsid w:val="000D15E6"/>
    <w:rsid w:val="000D28D5"/>
    <w:rsid w:val="000D7BA4"/>
    <w:rsid w:val="000F3953"/>
    <w:rsid w:val="000F4828"/>
    <w:rsid w:val="000F6919"/>
    <w:rsid w:val="00102103"/>
    <w:rsid w:val="00107E83"/>
    <w:rsid w:val="00114466"/>
    <w:rsid w:val="00115431"/>
    <w:rsid w:val="00115BA5"/>
    <w:rsid w:val="00121C66"/>
    <w:rsid w:val="00130B19"/>
    <w:rsid w:val="00131CEE"/>
    <w:rsid w:val="001361D8"/>
    <w:rsid w:val="00137D0D"/>
    <w:rsid w:val="00146465"/>
    <w:rsid w:val="0016187F"/>
    <w:rsid w:val="001649EF"/>
    <w:rsid w:val="00171190"/>
    <w:rsid w:val="00173F32"/>
    <w:rsid w:val="00177813"/>
    <w:rsid w:val="001931B2"/>
    <w:rsid w:val="001946BA"/>
    <w:rsid w:val="001A2329"/>
    <w:rsid w:val="001C09CB"/>
    <w:rsid w:val="001C3557"/>
    <w:rsid w:val="001E1A2C"/>
    <w:rsid w:val="001E1B9E"/>
    <w:rsid w:val="001E276C"/>
    <w:rsid w:val="001F3C60"/>
    <w:rsid w:val="001F4559"/>
    <w:rsid w:val="002129CF"/>
    <w:rsid w:val="0021388E"/>
    <w:rsid w:val="0022003F"/>
    <w:rsid w:val="00240781"/>
    <w:rsid w:val="0024559D"/>
    <w:rsid w:val="00245CF4"/>
    <w:rsid w:val="00251FB9"/>
    <w:rsid w:val="00255C80"/>
    <w:rsid w:val="00271566"/>
    <w:rsid w:val="00280801"/>
    <w:rsid w:val="002842EF"/>
    <w:rsid w:val="00293BCA"/>
    <w:rsid w:val="00294802"/>
    <w:rsid w:val="002B4353"/>
    <w:rsid w:val="002B637C"/>
    <w:rsid w:val="002B7C37"/>
    <w:rsid w:val="002D2EE2"/>
    <w:rsid w:val="002E1FCF"/>
    <w:rsid w:val="002E3D30"/>
    <w:rsid w:val="002F410F"/>
    <w:rsid w:val="002F7C6A"/>
    <w:rsid w:val="0030144D"/>
    <w:rsid w:val="00305FAE"/>
    <w:rsid w:val="00311229"/>
    <w:rsid w:val="00322720"/>
    <w:rsid w:val="003271E5"/>
    <w:rsid w:val="003459EC"/>
    <w:rsid w:val="00354DC8"/>
    <w:rsid w:val="0035525D"/>
    <w:rsid w:val="00361AE6"/>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14B8C"/>
    <w:rsid w:val="0042325E"/>
    <w:rsid w:val="00426A07"/>
    <w:rsid w:val="00467A9B"/>
    <w:rsid w:val="00471079"/>
    <w:rsid w:val="004734F4"/>
    <w:rsid w:val="00482209"/>
    <w:rsid w:val="0049327C"/>
    <w:rsid w:val="004A7E4A"/>
    <w:rsid w:val="004B331F"/>
    <w:rsid w:val="004B7E97"/>
    <w:rsid w:val="004C1C8A"/>
    <w:rsid w:val="004C32B1"/>
    <w:rsid w:val="004C5C9A"/>
    <w:rsid w:val="004C619E"/>
    <w:rsid w:val="004D4E89"/>
    <w:rsid w:val="004E72AB"/>
    <w:rsid w:val="004F08A2"/>
    <w:rsid w:val="004F6C4C"/>
    <w:rsid w:val="00505699"/>
    <w:rsid w:val="005331C5"/>
    <w:rsid w:val="00560C4D"/>
    <w:rsid w:val="005709BF"/>
    <w:rsid w:val="00576B06"/>
    <w:rsid w:val="00582EA8"/>
    <w:rsid w:val="00582F00"/>
    <w:rsid w:val="005A0D34"/>
    <w:rsid w:val="005A362B"/>
    <w:rsid w:val="005A4D50"/>
    <w:rsid w:val="005C335E"/>
    <w:rsid w:val="005C5BDF"/>
    <w:rsid w:val="005C6E85"/>
    <w:rsid w:val="005D139A"/>
    <w:rsid w:val="005D307F"/>
    <w:rsid w:val="005E0B21"/>
    <w:rsid w:val="005E5101"/>
    <w:rsid w:val="00605423"/>
    <w:rsid w:val="00607F19"/>
    <w:rsid w:val="00616AE0"/>
    <w:rsid w:val="006511CA"/>
    <w:rsid w:val="00664B89"/>
    <w:rsid w:val="006706C1"/>
    <w:rsid w:val="0067548C"/>
    <w:rsid w:val="00681792"/>
    <w:rsid w:val="006900B4"/>
    <w:rsid w:val="00696626"/>
    <w:rsid w:val="006A013F"/>
    <w:rsid w:val="006A1736"/>
    <w:rsid w:val="006B1A89"/>
    <w:rsid w:val="006B1D8B"/>
    <w:rsid w:val="006B3955"/>
    <w:rsid w:val="006C6298"/>
    <w:rsid w:val="006D00EA"/>
    <w:rsid w:val="006F1D7A"/>
    <w:rsid w:val="00705D48"/>
    <w:rsid w:val="00715E89"/>
    <w:rsid w:val="00716295"/>
    <w:rsid w:val="007242F6"/>
    <w:rsid w:val="0072709D"/>
    <w:rsid w:val="0073017B"/>
    <w:rsid w:val="007344A2"/>
    <w:rsid w:val="00737B58"/>
    <w:rsid w:val="00745B5D"/>
    <w:rsid w:val="00746003"/>
    <w:rsid w:val="0075038A"/>
    <w:rsid w:val="00752C26"/>
    <w:rsid w:val="00754CB9"/>
    <w:rsid w:val="007616C4"/>
    <w:rsid w:val="0076193A"/>
    <w:rsid w:val="0076395F"/>
    <w:rsid w:val="007833FE"/>
    <w:rsid w:val="0078552C"/>
    <w:rsid w:val="0079116A"/>
    <w:rsid w:val="00796031"/>
    <w:rsid w:val="0079725F"/>
    <w:rsid w:val="007A420A"/>
    <w:rsid w:val="007B2B0E"/>
    <w:rsid w:val="007C1A4E"/>
    <w:rsid w:val="007C26DD"/>
    <w:rsid w:val="007D4A54"/>
    <w:rsid w:val="007D5AD3"/>
    <w:rsid w:val="007D6A59"/>
    <w:rsid w:val="007D7327"/>
    <w:rsid w:val="007E0653"/>
    <w:rsid w:val="007E5521"/>
    <w:rsid w:val="007E656E"/>
    <w:rsid w:val="007F67FB"/>
    <w:rsid w:val="00824806"/>
    <w:rsid w:val="00834A69"/>
    <w:rsid w:val="00834C22"/>
    <w:rsid w:val="00843DCB"/>
    <w:rsid w:val="008440E8"/>
    <w:rsid w:val="008451BB"/>
    <w:rsid w:val="00845363"/>
    <w:rsid w:val="00853461"/>
    <w:rsid w:val="00857E10"/>
    <w:rsid w:val="00864F28"/>
    <w:rsid w:val="00880331"/>
    <w:rsid w:val="00894984"/>
    <w:rsid w:val="00896CA1"/>
    <w:rsid w:val="008A0F91"/>
    <w:rsid w:val="008A7C89"/>
    <w:rsid w:val="008B2E33"/>
    <w:rsid w:val="008B3A66"/>
    <w:rsid w:val="008C1C33"/>
    <w:rsid w:val="008C4012"/>
    <w:rsid w:val="008C4CF4"/>
    <w:rsid w:val="008C63DB"/>
    <w:rsid w:val="008D4720"/>
    <w:rsid w:val="008D7E93"/>
    <w:rsid w:val="008E619D"/>
    <w:rsid w:val="008F677A"/>
    <w:rsid w:val="00903BC2"/>
    <w:rsid w:val="0090642F"/>
    <w:rsid w:val="00906520"/>
    <w:rsid w:val="009070B9"/>
    <w:rsid w:val="00913FAA"/>
    <w:rsid w:val="00916BB6"/>
    <w:rsid w:val="00921E2C"/>
    <w:rsid w:val="00926629"/>
    <w:rsid w:val="00926A35"/>
    <w:rsid w:val="009313D6"/>
    <w:rsid w:val="00943A5A"/>
    <w:rsid w:val="00945AE9"/>
    <w:rsid w:val="0094762A"/>
    <w:rsid w:val="00951909"/>
    <w:rsid w:val="00953A26"/>
    <w:rsid w:val="00954C08"/>
    <w:rsid w:val="00960C5A"/>
    <w:rsid w:val="009709AF"/>
    <w:rsid w:val="00970C8D"/>
    <w:rsid w:val="00981C83"/>
    <w:rsid w:val="00981D6F"/>
    <w:rsid w:val="00982738"/>
    <w:rsid w:val="00993D84"/>
    <w:rsid w:val="009967C7"/>
    <w:rsid w:val="009A362D"/>
    <w:rsid w:val="009B02C6"/>
    <w:rsid w:val="009B12D6"/>
    <w:rsid w:val="009C4659"/>
    <w:rsid w:val="009C7756"/>
    <w:rsid w:val="009F027B"/>
    <w:rsid w:val="009F1CA2"/>
    <w:rsid w:val="009F328D"/>
    <w:rsid w:val="009F46A2"/>
    <w:rsid w:val="00A14818"/>
    <w:rsid w:val="00A20431"/>
    <w:rsid w:val="00A2416A"/>
    <w:rsid w:val="00A31CE8"/>
    <w:rsid w:val="00A50CF5"/>
    <w:rsid w:val="00A5249B"/>
    <w:rsid w:val="00A64B8D"/>
    <w:rsid w:val="00A6731A"/>
    <w:rsid w:val="00A70089"/>
    <w:rsid w:val="00A72CAB"/>
    <w:rsid w:val="00A73D5D"/>
    <w:rsid w:val="00A73EAA"/>
    <w:rsid w:val="00A7513C"/>
    <w:rsid w:val="00A82BBD"/>
    <w:rsid w:val="00A87A70"/>
    <w:rsid w:val="00A92BB8"/>
    <w:rsid w:val="00A92E0D"/>
    <w:rsid w:val="00AD4C54"/>
    <w:rsid w:val="00AF1148"/>
    <w:rsid w:val="00AF550C"/>
    <w:rsid w:val="00B1528E"/>
    <w:rsid w:val="00B20D80"/>
    <w:rsid w:val="00B21EC5"/>
    <w:rsid w:val="00B41848"/>
    <w:rsid w:val="00B42DE5"/>
    <w:rsid w:val="00B47932"/>
    <w:rsid w:val="00B5121C"/>
    <w:rsid w:val="00B66A0D"/>
    <w:rsid w:val="00B66E92"/>
    <w:rsid w:val="00B73770"/>
    <w:rsid w:val="00B829FB"/>
    <w:rsid w:val="00B93A79"/>
    <w:rsid w:val="00B9492A"/>
    <w:rsid w:val="00B97A04"/>
    <w:rsid w:val="00BB1912"/>
    <w:rsid w:val="00BB39AC"/>
    <w:rsid w:val="00BB4341"/>
    <w:rsid w:val="00BC5E86"/>
    <w:rsid w:val="00BC74A8"/>
    <w:rsid w:val="00BD145A"/>
    <w:rsid w:val="00BE4758"/>
    <w:rsid w:val="00BE5211"/>
    <w:rsid w:val="00BE5EA7"/>
    <w:rsid w:val="00BF407C"/>
    <w:rsid w:val="00C0212B"/>
    <w:rsid w:val="00C12DB2"/>
    <w:rsid w:val="00C3020F"/>
    <w:rsid w:val="00C31E7A"/>
    <w:rsid w:val="00C33768"/>
    <w:rsid w:val="00C34095"/>
    <w:rsid w:val="00C41B7E"/>
    <w:rsid w:val="00C50AF5"/>
    <w:rsid w:val="00C50BF8"/>
    <w:rsid w:val="00C52DB0"/>
    <w:rsid w:val="00C54852"/>
    <w:rsid w:val="00C54EE1"/>
    <w:rsid w:val="00C56581"/>
    <w:rsid w:val="00C56A6D"/>
    <w:rsid w:val="00C63EA8"/>
    <w:rsid w:val="00C671E3"/>
    <w:rsid w:val="00C8284E"/>
    <w:rsid w:val="00C866A1"/>
    <w:rsid w:val="00CA09D4"/>
    <w:rsid w:val="00CA352E"/>
    <w:rsid w:val="00CA63C6"/>
    <w:rsid w:val="00CB1613"/>
    <w:rsid w:val="00CC0711"/>
    <w:rsid w:val="00CC6161"/>
    <w:rsid w:val="00CD45E9"/>
    <w:rsid w:val="00CF5CBB"/>
    <w:rsid w:val="00D042CB"/>
    <w:rsid w:val="00D06918"/>
    <w:rsid w:val="00D12D7A"/>
    <w:rsid w:val="00D173EE"/>
    <w:rsid w:val="00D23D1A"/>
    <w:rsid w:val="00D360F4"/>
    <w:rsid w:val="00D379A4"/>
    <w:rsid w:val="00D45D3F"/>
    <w:rsid w:val="00D566A9"/>
    <w:rsid w:val="00D80200"/>
    <w:rsid w:val="00D92E85"/>
    <w:rsid w:val="00D9432E"/>
    <w:rsid w:val="00D95434"/>
    <w:rsid w:val="00DA0691"/>
    <w:rsid w:val="00DA58D6"/>
    <w:rsid w:val="00DA5D04"/>
    <w:rsid w:val="00DA70A3"/>
    <w:rsid w:val="00DB1880"/>
    <w:rsid w:val="00DB1C80"/>
    <w:rsid w:val="00DB7A96"/>
    <w:rsid w:val="00DC1E06"/>
    <w:rsid w:val="00DC2372"/>
    <w:rsid w:val="00DC4633"/>
    <w:rsid w:val="00DD161A"/>
    <w:rsid w:val="00DD6C34"/>
    <w:rsid w:val="00DF209A"/>
    <w:rsid w:val="00DF3712"/>
    <w:rsid w:val="00DF49EF"/>
    <w:rsid w:val="00DF4A9B"/>
    <w:rsid w:val="00E0584A"/>
    <w:rsid w:val="00E1104E"/>
    <w:rsid w:val="00E206E7"/>
    <w:rsid w:val="00E22516"/>
    <w:rsid w:val="00E30EB0"/>
    <w:rsid w:val="00E375B4"/>
    <w:rsid w:val="00E41C05"/>
    <w:rsid w:val="00E543D7"/>
    <w:rsid w:val="00E55262"/>
    <w:rsid w:val="00E6073C"/>
    <w:rsid w:val="00E705BA"/>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15CDC"/>
    <w:rsid w:val="00F1648E"/>
    <w:rsid w:val="00F23B9B"/>
    <w:rsid w:val="00F24262"/>
    <w:rsid w:val="00F50386"/>
    <w:rsid w:val="00F547C9"/>
    <w:rsid w:val="00F55108"/>
    <w:rsid w:val="00F6728B"/>
    <w:rsid w:val="00F73AC3"/>
    <w:rsid w:val="00F7790D"/>
    <w:rsid w:val="00F912F4"/>
    <w:rsid w:val="00F945E6"/>
    <w:rsid w:val="00FA0381"/>
    <w:rsid w:val="00FA5181"/>
    <w:rsid w:val="00FB1365"/>
    <w:rsid w:val="00FB2671"/>
    <w:rsid w:val="00FB2BB6"/>
    <w:rsid w:val="00FB75CC"/>
    <w:rsid w:val="00FC0170"/>
    <w:rsid w:val="00FD5DB3"/>
    <w:rsid w:val="00FE04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 w:type="paragraph" w:styleId="NoSpacing">
    <w:name w:val="No Spacing"/>
    <w:uiPriority w:val="1"/>
    <w:qFormat/>
    <w:rsid w:val="00605423"/>
    <w:pPr>
      <w:spacing w:after="0" w:line="240" w:lineRule="auto"/>
    </w:pPr>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554085">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44925018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9799768">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85910106">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778401583">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187861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4SQX5P7U7WPY-958212181-816068</_dlc_DocId>
    <_dlc_DocIdUrl xmlns="c890fddd-4e87-4e08-8b51-545f2a3f7b06">
      <Url>https://senpr.sharepoint.com/sites/obralegislativa/_layouts/15/DocIdRedir.aspx?ID=4SQX5P7U7WPY-958212181-816068</Url>
      <Description>4SQX5P7U7WPY-958212181-816068</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5.xml><?xml version="1.0" encoding="utf-8"?>
<ds:datastoreItem xmlns:ds="http://schemas.openxmlformats.org/officeDocument/2006/customXml" ds:itemID="{5DEC8EC9-B1C0-44B2-8914-717B9AE06C8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dcterms:created xsi:type="dcterms:W3CDTF">2025-06-23T20:56:00Z</dcterms:created>
  <dcterms:modified xsi:type="dcterms:W3CDTF">2025-06-23T20:56:00Z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0458569f-61fb-446e-bb4f-21c75b573b1c</vt:lpwstr>
  </property>
  <property fmtid="{D5CDD505-2E9C-101B-9397-08002B2CF9AE}" pid="4" name="MediaServiceImageTags">
    <vt:lpwstr/>
  </property>
</Properties>
</file>