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11226" w14:textId="77777777" w:rsidR="00FF6BD2" w:rsidRDefault="00CC343B" w:rsidP="00A453E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4211227" w14:textId="77777777" w:rsidR="00CC343B" w:rsidRPr="003406FE" w:rsidRDefault="00CC343B" w:rsidP="00A453E3">
      <w:pPr>
        <w:jc w:val="center"/>
        <w:rPr>
          <w:rFonts w:ascii="Book Antiqua" w:hAnsi="Book Antiqua"/>
          <w:szCs w:val="18"/>
          <w:lang w:val="es-ES_tradnl"/>
        </w:rPr>
      </w:pPr>
    </w:p>
    <w:p w14:paraId="24211228" w14:textId="04B62907" w:rsidR="00CC343B" w:rsidRDefault="00D0306E" w:rsidP="00A453E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CC343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CC343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CC343B">
        <w:rPr>
          <w:rFonts w:ascii="Book Antiqua" w:hAnsi="Book Antiqua"/>
          <w:lang w:val="es-ES_tradnl"/>
        </w:rPr>
        <w:tab/>
        <w:t>Asamblea</w:t>
      </w:r>
      <w:r w:rsidR="00CC343B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CC343B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CC343B">
        <w:rPr>
          <w:rFonts w:ascii="Book Antiqua" w:hAnsi="Book Antiqua"/>
          <w:lang w:val="es-ES_tradnl"/>
        </w:rPr>
        <w:tab/>
        <w:t>Sesión</w:t>
      </w:r>
    </w:p>
    <w:p w14:paraId="24211229" w14:textId="77777777" w:rsidR="00CC343B" w:rsidRDefault="00CC343B" w:rsidP="00A453E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421122A" w14:textId="77777777" w:rsidR="00CC343B" w:rsidRDefault="00CC343B" w:rsidP="00A453E3">
      <w:pPr>
        <w:rPr>
          <w:lang w:val="es-ES_tradnl"/>
        </w:rPr>
      </w:pPr>
    </w:p>
    <w:p w14:paraId="2421122B" w14:textId="77777777" w:rsidR="00CC343B" w:rsidRDefault="00CC343B" w:rsidP="00A453E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421122C" w14:textId="77777777" w:rsidR="00CC343B" w:rsidRPr="003406FE" w:rsidRDefault="00CC343B" w:rsidP="00A453E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21122D" w14:textId="30C49D3F" w:rsidR="00CC343B" w:rsidRDefault="00CC343B" w:rsidP="00A453E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F10C13">
        <w:rPr>
          <w:rFonts w:ascii="Book Antiqua" w:hAnsi="Book Antiqua"/>
          <w:b/>
          <w:sz w:val="52"/>
          <w:lang w:val="es-ES_tradnl"/>
        </w:rPr>
        <w:t>285</w:t>
      </w:r>
    </w:p>
    <w:p w14:paraId="1762DF61" w14:textId="77777777" w:rsidR="003406FE" w:rsidRPr="000F303A" w:rsidRDefault="003406FE" w:rsidP="00A453E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21122E" w14:textId="7BBF0BAE" w:rsidR="00CC343B" w:rsidRDefault="00847050" w:rsidP="00A453E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30 </w:t>
      </w:r>
      <w:r w:rsidR="00CC343B">
        <w:rPr>
          <w:rFonts w:ascii="Book Antiqua" w:hAnsi="Book Antiqua"/>
          <w:lang w:val="es-ES_tradnl"/>
        </w:rPr>
        <w:t>DE ENERO DE 202</w:t>
      </w:r>
      <w:r w:rsidR="00D0306E">
        <w:rPr>
          <w:rFonts w:ascii="Book Antiqua" w:hAnsi="Book Antiqua"/>
          <w:lang w:val="es-ES_tradnl"/>
        </w:rPr>
        <w:t>5</w:t>
      </w:r>
    </w:p>
    <w:p w14:paraId="3A224DB3" w14:textId="77777777" w:rsidR="003406FE" w:rsidRDefault="003406FE" w:rsidP="00A453E3">
      <w:pPr>
        <w:jc w:val="center"/>
        <w:rPr>
          <w:rFonts w:ascii="Book Antiqua" w:hAnsi="Book Antiqua"/>
          <w:lang w:val="es-ES_tradnl"/>
        </w:rPr>
      </w:pPr>
    </w:p>
    <w:p w14:paraId="1044ECA4" w14:textId="77777777" w:rsidR="003406FE" w:rsidRDefault="008B3D69" w:rsidP="003406FE">
      <w:pPr>
        <w:ind w:left="720" w:hanging="720"/>
        <w:jc w:val="center"/>
        <w:rPr>
          <w:rFonts w:ascii="Book Antiqua" w:eastAsia="Aptos" w:hAnsi="Book Antiqua"/>
          <w:kern w:val="2"/>
          <w:szCs w:val="24"/>
          <w:lang w:val="es-ES"/>
          <w14:ligatures w14:val="standardContextual"/>
        </w:rPr>
      </w:pPr>
      <w:r w:rsidRPr="008B3D69">
        <w:rPr>
          <w:rFonts w:ascii="Book Antiqua" w:hAnsi="Book Antiqua"/>
          <w:lang w:val="es-ES_tradnl"/>
        </w:rPr>
        <w:t xml:space="preserve">Presentado </w:t>
      </w:r>
      <w:r w:rsidR="003406FE" w:rsidRPr="003406FE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por el representante </w:t>
      </w:r>
      <w:r w:rsidR="003406FE" w:rsidRPr="003406FE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Márquez Lebrón</w:t>
      </w:r>
      <w:r w:rsidR="003406FE" w:rsidRPr="003406FE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; </w:t>
      </w:r>
    </w:p>
    <w:p w14:paraId="68F72DB1" w14:textId="34FAB029" w:rsidR="003406FE" w:rsidRPr="003406FE" w:rsidRDefault="003406FE" w:rsidP="003406FE">
      <w:pPr>
        <w:ind w:left="720" w:hanging="720"/>
        <w:jc w:val="center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 w:rsidRPr="003406FE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las representantes </w:t>
      </w:r>
      <w:r w:rsidRPr="003406FE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Gutiérrez Colón y Lebrón Robles</w:t>
      </w:r>
    </w:p>
    <w:p w14:paraId="2421122F" w14:textId="6DA0C234" w:rsidR="00CC343B" w:rsidRPr="003406FE" w:rsidRDefault="00CC343B" w:rsidP="00A453E3">
      <w:pPr>
        <w:jc w:val="center"/>
        <w:rPr>
          <w:rFonts w:ascii="Book Antiqua" w:hAnsi="Book Antiqua"/>
          <w:lang w:val="es-ES"/>
        </w:rPr>
      </w:pPr>
    </w:p>
    <w:p w14:paraId="24211230" w14:textId="15DD6BDE" w:rsidR="00CC343B" w:rsidRDefault="00CC343B" w:rsidP="00A453E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E40976">
        <w:rPr>
          <w:rFonts w:ascii="Book Antiqua" w:hAnsi="Book Antiqua"/>
          <w:lang w:val="es-ES_tradnl"/>
        </w:rPr>
        <w:t xml:space="preserve">la Comisión de </w:t>
      </w:r>
      <w:r w:rsidR="00ED6D8A">
        <w:rPr>
          <w:rFonts w:ascii="Book Antiqua" w:hAnsi="Book Antiqua"/>
          <w:lang w:val="es-ES_tradnl"/>
        </w:rPr>
        <w:t>Turismo</w:t>
      </w:r>
    </w:p>
    <w:p w14:paraId="24211231" w14:textId="77777777" w:rsidR="00CC343B" w:rsidRDefault="00CC343B" w:rsidP="00A453E3">
      <w:pPr>
        <w:jc w:val="both"/>
        <w:rPr>
          <w:rFonts w:ascii="Book Antiqua" w:hAnsi="Book Antiqua"/>
          <w:lang w:val="es-ES_tradnl"/>
        </w:rPr>
      </w:pPr>
    </w:p>
    <w:p w14:paraId="24211232" w14:textId="77777777" w:rsidR="00CC343B" w:rsidRDefault="00CC343B" w:rsidP="00A453E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24211233" w14:textId="77777777" w:rsidR="00CC343B" w:rsidRDefault="00CC343B" w:rsidP="00A453E3">
      <w:pPr>
        <w:jc w:val="both"/>
        <w:rPr>
          <w:rFonts w:ascii="Book Antiqua" w:hAnsi="Book Antiqua"/>
          <w:lang w:val="es-ES_tradnl"/>
        </w:rPr>
      </w:pPr>
    </w:p>
    <w:p w14:paraId="24211234" w14:textId="75B42472" w:rsidR="00CC343B" w:rsidRDefault="0051104B" w:rsidP="00A453E3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A35807">
        <w:rPr>
          <w:rFonts w:ascii="Book Antiqua" w:hAnsi="Book Antiqua"/>
          <w:lang w:val="es-ES_tradnl"/>
        </w:rPr>
        <w:t xml:space="preserve">crear la “Ley de Prohibición de Enajenación del Patrimonio Cultural propiedad del Pueblo de Puerto Rico”, con el fin de proteger el patrimonio cultural del País; </w:t>
      </w:r>
      <w:r w:rsidR="00A35807" w:rsidRPr="009671BB">
        <w:rPr>
          <w:rFonts w:ascii="Book Antiqua" w:hAnsi="Book Antiqua"/>
          <w:lang w:val="es-ES_tradnl"/>
        </w:rPr>
        <w:t>enmendar</w:t>
      </w:r>
      <w:r w:rsidR="00A35807">
        <w:rPr>
          <w:rFonts w:ascii="Book Antiqua" w:hAnsi="Book Antiqua"/>
          <w:lang w:val="es-ES_tradnl"/>
        </w:rPr>
        <w:t xml:space="preserve"> el inciso (b) de</w:t>
      </w:r>
      <w:r w:rsidR="00A35807" w:rsidRPr="009671BB">
        <w:rPr>
          <w:rFonts w:ascii="Book Antiqua" w:hAnsi="Book Antiqua"/>
          <w:lang w:val="es-ES_tradnl"/>
        </w:rPr>
        <w:t xml:space="preserve"> la Sección 4 de la Ley Número 89 del 21 de junio de 1955, según enmendada, mejor conocida como “Ley del Instituto de Cultura Puertorriqueña”</w:t>
      </w:r>
      <w:r w:rsidR="00A35807">
        <w:rPr>
          <w:rFonts w:ascii="Book Antiqua" w:hAnsi="Book Antiqua"/>
          <w:lang w:val="es-ES_tradnl"/>
        </w:rPr>
        <w:t>, para adaptarla a esta Ley; y para otros fines</w:t>
      </w:r>
      <w:r w:rsidR="00A35807" w:rsidRPr="009671BB">
        <w:rPr>
          <w:rFonts w:ascii="Book Antiqua" w:hAnsi="Book Antiqua"/>
          <w:lang w:val="es-ES_tradnl"/>
        </w:rPr>
        <w:t>.</w:t>
      </w:r>
    </w:p>
    <w:p w14:paraId="13C4DEB7" w14:textId="77777777" w:rsidR="0051104B" w:rsidRDefault="0051104B" w:rsidP="00A453E3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4211235" w14:textId="77777777" w:rsidR="00CC343B" w:rsidRDefault="00CC343B" w:rsidP="000F303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AC5358C" w14:textId="77777777" w:rsidR="003406FE" w:rsidRDefault="003406FE" w:rsidP="00A453E3">
      <w:pPr>
        <w:ind w:firstLine="360"/>
        <w:jc w:val="center"/>
        <w:rPr>
          <w:rFonts w:ascii="Book Antiqua" w:hAnsi="Book Antiqua"/>
          <w:lang w:val="es-ES_tradnl"/>
        </w:rPr>
      </w:pPr>
    </w:p>
    <w:p w14:paraId="59C454D1" w14:textId="77777777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  <w:r w:rsidRPr="009671BB">
        <w:rPr>
          <w:rFonts w:ascii="Book Antiqua" w:hAnsi="Book Antiqua"/>
          <w:lang w:val="es-ES_tradnl"/>
        </w:rPr>
        <w:t xml:space="preserve">Los derechos culturales han sido reconocidos, a nivel internacional, como derechos humanos fundamentales. </w:t>
      </w:r>
      <w:r>
        <w:rPr>
          <w:rFonts w:ascii="Book Antiqua" w:hAnsi="Book Antiqua"/>
          <w:lang w:val="es-ES_tradnl"/>
        </w:rPr>
        <w:t xml:space="preserve"> </w:t>
      </w:r>
      <w:r w:rsidRPr="009671BB">
        <w:rPr>
          <w:rFonts w:ascii="Book Antiqua" w:hAnsi="Book Antiqua"/>
          <w:lang w:val="es-ES_tradnl"/>
        </w:rPr>
        <w:t>La Declaración Universal de Derechos Humanos dispone en el artículo 27 que: “(1) Toda persona tiene derecho a tomar parte libremente en la vida cultural de la comunidad, a gozar de las artes y a participar en el progreso científico y en los beneficios que de él resulten.”.</w:t>
      </w:r>
      <w:r>
        <w:rPr>
          <w:rFonts w:ascii="Book Antiqua" w:hAnsi="Book Antiqua"/>
          <w:lang w:val="es-ES_tradnl"/>
        </w:rPr>
        <w:t xml:space="preserve"> </w:t>
      </w:r>
      <w:r w:rsidRPr="009671BB">
        <w:rPr>
          <w:rFonts w:ascii="Book Antiqua" w:hAnsi="Book Antiqua"/>
          <w:lang w:val="es-ES_tradnl"/>
        </w:rPr>
        <w:t xml:space="preserve"> Debido a que los derechos humanos son indivisibles e interdependientes y se relacionan entre sí, no se pueden discutir los derechos culturales sin relacionarlos con el derecho a la educación, a la libertad de expresión, a la información, a la asociación, a la participación política, al trabajo, a la salud y, por supuesto, con el derecho a la igualdad.</w:t>
      </w:r>
    </w:p>
    <w:p w14:paraId="5BF6BBE7" w14:textId="77777777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</w:p>
    <w:p w14:paraId="23936EED" w14:textId="77777777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El Gobierno de Puerto Rico, sus agencias, instrumentalidades, municipios y corporaciones públicas poseen </w:t>
      </w:r>
      <w:r w:rsidRPr="0070511D">
        <w:rPr>
          <w:rFonts w:ascii="Book Antiqua" w:hAnsi="Book Antiqua"/>
          <w:lang w:val="es-ES_tradnl"/>
        </w:rPr>
        <w:t>obra</w:t>
      </w:r>
      <w:r>
        <w:rPr>
          <w:rFonts w:ascii="Book Antiqua" w:hAnsi="Book Antiqua"/>
          <w:lang w:val="es-ES_tradnl"/>
        </w:rPr>
        <w:t>s</w:t>
      </w:r>
      <w:r w:rsidRPr="0070511D">
        <w:rPr>
          <w:rFonts w:ascii="Book Antiqua" w:hAnsi="Book Antiqua"/>
          <w:lang w:val="es-ES_tradnl"/>
        </w:rPr>
        <w:t xml:space="preserve"> de arte, objeto</w:t>
      </w:r>
      <w:r>
        <w:rPr>
          <w:rFonts w:ascii="Book Antiqua" w:hAnsi="Book Antiqua"/>
          <w:lang w:val="es-ES_tradnl"/>
        </w:rPr>
        <w:t>s</w:t>
      </w:r>
      <w:r w:rsidRPr="0070511D">
        <w:rPr>
          <w:rFonts w:ascii="Book Antiqua" w:hAnsi="Book Antiqua"/>
          <w:lang w:val="es-ES_tradnl"/>
        </w:rPr>
        <w:t>, colecci</w:t>
      </w:r>
      <w:r>
        <w:rPr>
          <w:rFonts w:ascii="Book Antiqua" w:hAnsi="Book Antiqua"/>
          <w:lang w:val="es-ES_tradnl"/>
        </w:rPr>
        <w:t>o</w:t>
      </w:r>
      <w:r w:rsidRPr="0070511D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es</w:t>
      </w:r>
      <w:r w:rsidRPr="0070511D">
        <w:rPr>
          <w:rFonts w:ascii="Book Antiqua" w:hAnsi="Book Antiqua"/>
          <w:lang w:val="es-ES_tradnl"/>
        </w:rPr>
        <w:t xml:space="preserve"> o edificaci</w:t>
      </w:r>
      <w:r>
        <w:rPr>
          <w:rFonts w:ascii="Book Antiqua" w:hAnsi="Book Antiqua"/>
          <w:lang w:val="es-ES_tradnl"/>
        </w:rPr>
        <w:t>o</w:t>
      </w:r>
      <w:r w:rsidRPr="0070511D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es</w:t>
      </w:r>
      <w:r w:rsidRPr="0070511D">
        <w:rPr>
          <w:rFonts w:ascii="Book Antiqua" w:hAnsi="Book Antiqua"/>
          <w:lang w:val="es-ES_tradnl"/>
        </w:rPr>
        <w:t xml:space="preserve"> perteneciente</w:t>
      </w:r>
      <w:r>
        <w:rPr>
          <w:rFonts w:ascii="Book Antiqua" w:hAnsi="Book Antiqua"/>
          <w:lang w:val="es-ES_tradnl"/>
        </w:rPr>
        <w:t>s</w:t>
      </w:r>
      <w:r w:rsidRPr="0070511D">
        <w:rPr>
          <w:rFonts w:ascii="Book Antiqua" w:hAnsi="Book Antiqua"/>
          <w:lang w:val="es-ES_tradnl"/>
        </w:rPr>
        <w:t xml:space="preserve"> al patrimonio cultural</w:t>
      </w:r>
      <w:r>
        <w:rPr>
          <w:rFonts w:ascii="Book Antiqua" w:hAnsi="Book Antiqua"/>
          <w:lang w:val="es-ES_tradnl"/>
        </w:rPr>
        <w:t xml:space="preserve"> de valor importante para el Pueblo de Puerto Rico.  Entre estas podemos mencionar, la Compañía de Turismo, la Universidad de Puerto Rico </w:t>
      </w:r>
      <w:r>
        <w:rPr>
          <w:rFonts w:ascii="Book Antiqua" w:hAnsi="Book Antiqua"/>
          <w:lang w:val="es-ES_tradnl"/>
        </w:rPr>
        <w:lastRenderedPageBreak/>
        <w:t>y muchos municipios que son dueños o custodios de obras de arte y piezas arqueológicas,</w:t>
      </w:r>
      <w:r w:rsidRPr="009671B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que a su vez son parte importante de nuestro patrimonio. </w:t>
      </w:r>
    </w:p>
    <w:p w14:paraId="018701A4" w14:textId="77777777" w:rsidR="003406FE" w:rsidRPr="009671BB" w:rsidRDefault="003406FE" w:rsidP="00A453E3">
      <w:pPr>
        <w:ind w:firstLine="360"/>
        <w:jc w:val="both"/>
        <w:rPr>
          <w:rFonts w:ascii="Book Antiqua" w:hAnsi="Book Antiqua"/>
          <w:lang w:val="es-ES_tradnl"/>
        </w:rPr>
      </w:pPr>
    </w:p>
    <w:p w14:paraId="6A13440D" w14:textId="77777777" w:rsidR="00EB2BA7" w:rsidRPr="009671BB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P</w:t>
      </w:r>
      <w:r>
        <w:rPr>
          <w:rFonts w:ascii="Book Antiqua" w:hAnsi="Book Antiqua"/>
          <w:lang w:val="es-ES_tradnl"/>
        </w:rPr>
        <w:t>or otro lado</w:t>
      </w:r>
      <w:r w:rsidRPr="009671BB">
        <w:rPr>
          <w:rFonts w:ascii="Book Antiqua" w:hAnsi="Book Antiqua"/>
          <w:lang w:val="es-ES_tradnl"/>
        </w:rPr>
        <w:t xml:space="preserve">, el Instituto de Cultura Puertorriqueña es el </w:t>
      </w:r>
      <w:r>
        <w:rPr>
          <w:rFonts w:ascii="Book Antiqua" w:hAnsi="Book Antiqua"/>
          <w:lang w:val="es-ES_tradnl"/>
        </w:rPr>
        <w:t xml:space="preserve">principal </w:t>
      </w:r>
      <w:r w:rsidRPr="009671BB">
        <w:rPr>
          <w:rFonts w:ascii="Book Antiqua" w:hAnsi="Book Antiqua"/>
          <w:lang w:val="es-ES_tradnl"/>
        </w:rPr>
        <w:t>organismo gubernamental responsable de promover, enriquecer y divulgar los valores culturales puertorriqueños y lograr el más amplio y profundo conocimiento y aprecio de los mismos. También, es la agencia que vela por la conservación de nuestro patrimonio histórico documental y artístico, siendo uno de sus deberes ministeriales dar pública divulgación de todas las manifestaciones sobresalientes de la cultura puertorriqueña a través de libros y otras publicaciones.</w:t>
      </w:r>
    </w:p>
    <w:p w14:paraId="00268B48" w14:textId="77777777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</w:p>
    <w:p w14:paraId="61B9F37D" w14:textId="315FCC62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La Colección de Arte del Instituto de Cultura Puertorriqueña es la más abarcadora que tiene Puerto Rico y está compuesta por: la Colección de Pintura Puertorriqueña, Escultura Puertorriqueña, Grabado Puertorriqueño e Internacional, Carteles, Artesanía y Arte Popular, Objetos Históricos, Sellos y Monedas, Objetos Decorativos, Mobiliario, Armaduras y Arma y Objetos Arqueológicos.</w:t>
      </w:r>
      <w:r w:rsidR="00714523">
        <w:rPr>
          <w:rFonts w:ascii="Book Antiqua" w:hAnsi="Book Antiqua"/>
          <w:lang w:val="es-ES_tradnl"/>
        </w:rPr>
        <w:t xml:space="preserve">  Además, incluye los documentos, grabaciones y fotografías originales depositados en el Archivo General y la Biblioteca Nacional de Puerto Rico.</w:t>
      </w:r>
      <w:r w:rsidRPr="009671BB">
        <w:rPr>
          <w:rFonts w:ascii="Book Antiqua" w:hAnsi="Book Antiqua"/>
          <w:lang w:val="es-ES_tradnl"/>
        </w:rPr>
        <w:t xml:space="preserve"> </w:t>
      </w:r>
      <w:r w:rsidR="00714523">
        <w:rPr>
          <w:rFonts w:ascii="Book Antiqua" w:hAnsi="Book Antiqua"/>
          <w:lang w:val="es-ES_tradnl"/>
        </w:rPr>
        <w:t xml:space="preserve"> </w:t>
      </w:r>
      <w:r w:rsidRPr="009671BB">
        <w:rPr>
          <w:rFonts w:ascii="Book Antiqua" w:hAnsi="Book Antiqua"/>
          <w:lang w:val="es-ES_tradnl"/>
        </w:rPr>
        <w:t>La vasta colección que obra en poder del Instituto de Cultura Puertorriqueña es una herramienta invaluable para la preservación y promoción de nuestra cultura e identidad. Por tal razón, debe protegerse para el disfrute de esta generación y las futuras.</w:t>
      </w:r>
    </w:p>
    <w:p w14:paraId="35BEF44E" w14:textId="77777777" w:rsidR="00EB2BA7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</w:p>
    <w:p w14:paraId="2421123D" w14:textId="42C0633B" w:rsidR="00CC343B" w:rsidRDefault="00EB2BA7" w:rsidP="00A453E3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La crisis fiscal y económica por la que atraviesa el </w:t>
      </w:r>
      <w:r w:rsidR="00177FBF">
        <w:rPr>
          <w:rFonts w:ascii="Book Antiqua" w:hAnsi="Book Antiqua"/>
          <w:lang w:val="es-ES_tradnl"/>
        </w:rPr>
        <w:t>País</w:t>
      </w:r>
      <w:r>
        <w:rPr>
          <w:rFonts w:ascii="Book Antiqua" w:hAnsi="Book Antiqua"/>
          <w:lang w:val="es-ES_tradnl"/>
        </w:rPr>
        <w:t xml:space="preserve"> no puede ser motivo para enajenar el patrimonio artístico y cultural de nuestro pueblo.  Por ello, esta Asamblea Legislativa entiende que es imperativo la protección de estos bienes de incalculable valor y significado, mediante la prohibición total y estricta de la </w:t>
      </w:r>
      <w:r w:rsidRPr="00D922BC">
        <w:rPr>
          <w:rFonts w:ascii="Book Antiqua" w:hAnsi="Book Antiqua"/>
          <w:lang w:val="es-ES_tradnl"/>
        </w:rPr>
        <w:t xml:space="preserve">venta, alquiler, permuta, dación en pago, donación, </w:t>
      </w:r>
      <w:r>
        <w:rPr>
          <w:rFonts w:ascii="Book Antiqua" w:hAnsi="Book Antiqua"/>
          <w:lang w:val="es-ES_tradnl"/>
        </w:rPr>
        <w:t>c</w:t>
      </w:r>
      <w:r w:rsidRPr="00D922BC">
        <w:rPr>
          <w:rFonts w:ascii="Book Antiqua" w:hAnsi="Book Antiqua"/>
          <w:lang w:val="es-ES_tradnl"/>
        </w:rPr>
        <w:t>esión, pago en finiquito y cualquier otra forma de enajenación</w:t>
      </w:r>
      <w:r>
        <w:rPr>
          <w:rFonts w:ascii="Book Antiqua" w:hAnsi="Book Antiqua"/>
          <w:lang w:val="es-ES_tradnl"/>
        </w:rPr>
        <w:t xml:space="preserve"> de </w:t>
      </w:r>
      <w:r w:rsidR="00F06032">
        <w:rPr>
          <w:rFonts w:ascii="Book Antiqua" w:hAnsi="Book Antiqua"/>
          <w:lang w:val="es-ES_tradnl"/>
        </w:rPr>
        <w:t>estos</w:t>
      </w:r>
      <w:r>
        <w:rPr>
          <w:rFonts w:ascii="Book Antiqua" w:hAnsi="Book Antiqua"/>
          <w:lang w:val="es-ES_tradnl"/>
        </w:rPr>
        <w:t>.</w:t>
      </w:r>
    </w:p>
    <w:p w14:paraId="04E7F98A" w14:textId="77777777" w:rsidR="003406FE" w:rsidRDefault="003406FE" w:rsidP="00A453E3">
      <w:pPr>
        <w:ind w:firstLine="360"/>
        <w:jc w:val="both"/>
        <w:rPr>
          <w:rFonts w:ascii="Book Antiqua" w:hAnsi="Book Antiqua"/>
          <w:lang w:val="es-ES_tradnl"/>
        </w:rPr>
      </w:pPr>
    </w:p>
    <w:p w14:paraId="2421123E" w14:textId="77777777" w:rsidR="00CC343B" w:rsidRDefault="00CC343B" w:rsidP="003406FE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421123F" w14:textId="77777777" w:rsidR="00CC343B" w:rsidRDefault="00CC343B" w:rsidP="00CC343B">
      <w:pPr>
        <w:spacing w:line="480" w:lineRule="auto"/>
        <w:jc w:val="both"/>
        <w:rPr>
          <w:rFonts w:ascii="Book Antiqua" w:hAnsi="Book Antiqua"/>
          <w:lang w:val="es-ES_tradnl"/>
        </w:rPr>
        <w:sectPr w:rsidR="00CC343B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648545" w14:textId="05017FC0" w:rsidR="007A5DF4" w:rsidRDefault="007A5DF4" w:rsidP="007A5DF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671BB">
        <w:rPr>
          <w:rFonts w:ascii="Book Antiqua" w:hAnsi="Book Antiqua"/>
          <w:lang w:val="es-ES_tradnl"/>
        </w:rPr>
        <w:t>Artículo 1.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-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Título</w:t>
      </w:r>
    </w:p>
    <w:p w14:paraId="4359A74B" w14:textId="77777777" w:rsidR="007A5DF4" w:rsidRDefault="007A5DF4" w:rsidP="007A5DF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Esta Ley se conocerá como la “Ley de Prohibición de Enajenación del Patrimonio Cultural propiedad del Pueblo de Puerto Rico.”</w:t>
      </w:r>
    </w:p>
    <w:p w14:paraId="235FE8AD" w14:textId="400DE33E" w:rsidR="00714523" w:rsidRDefault="00714523" w:rsidP="0071452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2. - Definici</w:t>
      </w:r>
      <w:r w:rsidR="00D90C34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>n</w:t>
      </w:r>
      <w:r w:rsidR="00D90C34">
        <w:rPr>
          <w:rFonts w:ascii="Book Antiqua" w:hAnsi="Book Antiqua"/>
          <w:lang w:val="es-ES_tradnl"/>
        </w:rPr>
        <w:t>es</w:t>
      </w:r>
      <w:r>
        <w:rPr>
          <w:rFonts w:ascii="Book Antiqua" w:hAnsi="Book Antiqua"/>
          <w:lang w:val="es-ES_tradnl"/>
        </w:rPr>
        <w:t xml:space="preserve"> </w:t>
      </w:r>
    </w:p>
    <w:p w14:paraId="7E3ACD2D" w14:textId="36C87CC4" w:rsidR="00D90C34" w:rsidRDefault="00D90C34" w:rsidP="00D90C3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Bien Integrante del Patrimonio Cultural del Pueblo de Puerto Rico – </w:t>
      </w:r>
      <w:r w:rsidRPr="00D90C34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ignifica </w:t>
      </w:r>
      <w:r w:rsidRPr="00D90C34">
        <w:rPr>
          <w:rFonts w:ascii="Book Antiqua" w:hAnsi="Book Antiqua"/>
          <w:lang w:val="es-ES_tradnl"/>
        </w:rPr>
        <w:t xml:space="preserve">toda manifestación del quehacer humano –material o inmaterial- que, por su </w:t>
      </w:r>
      <w:r w:rsidRPr="00D90C34">
        <w:rPr>
          <w:rFonts w:ascii="Book Antiqua" w:hAnsi="Book Antiqua"/>
          <w:lang w:val="es-ES_tradnl"/>
        </w:rPr>
        <w:lastRenderedPageBreak/>
        <w:t>importancia, valor y significado paleontológico, arqueológico, arquitectónico, histórico, artístico, social, antropológico, tradicional, religioso, etnográfico, científico, tecnológico e intelectual, que contribuya al fortalecimiento de la identidad nacional y estén bajo la protección o custodia del Gobierno.  También forman parte de este, los sitios naturales, jardines y parques, que tengan valor artístico, histórico o antropológico y estén bajo la protección o custodia del Gobierno.</w:t>
      </w:r>
    </w:p>
    <w:p w14:paraId="60A631A7" w14:textId="5D92CF6A" w:rsidR="00714523" w:rsidRPr="00D90C34" w:rsidRDefault="00D90C34" w:rsidP="00D90C3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Gobierno de Puerto Rico – Incluye todo</w:t>
      </w:r>
      <w:r w:rsidRPr="00D90C34">
        <w:rPr>
          <w:rFonts w:ascii="Book Antiqua" w:hAnsi="Book Antiqua"/>
          <w:lang w:val="es-ES_tradnl"/>
        </w:rPr>
        <w:t>s sus departamentos, agencias, instrumentalidades, oficinas, comisiones, dependencias y corporaciones públicas</w:t>
      </w:r>
      <w:r>
        <w:rPr>
          <w:rFonts w:ascii="Book Antiqua" w:hAnsi="Book Antiqua"/>
          <w:lang w:val="es-ES_tradnl"/>
        </w:rPr>
        <w:t>.  Además, t</w:t>
      </w:r>
      <w:r w:rsidRPr="00D90C34">
        <w:rPr>
          <w:rFonts w:ascii="Book Antiqua" w:hAnsi="Book Antiqua"/>
          <w:lang w:val="es-ES_tradnl"/>
        </w:rPr>
        <w:t>odo negociado, administración, comisión de ciudadanos, tribunal examinador, cuerpo, autoridad, entidad, subsidiaria o institución de la Rama Ejecutiva del Gobierno del Estado Libre Asociado de Puerto Rico, incluyendo la oficina propia del Gobernador o la Gobernadora.</w:t>
      </w:r>
      <w:r>
        <w:rPr>
          <w:rFonts w:ascii="Book Antiqua" w:hAnsi="Book Antiqua"/>
          <w:lang w:val="es-ES_tradnl"/>
        </w:rPr>
        <w:t xml:space="preserve">  Así como cualquier </w:t>
      </w:r>
      <w:r w:rsidRPr="00D90C34">
        <w:rPr>
          <w:rFonts w:ascii="Book Antiqua" w:hAnsi="Book Antiqua"/>
          <w:lang w:val="es-ES_tradnl"/>
        </w:rPr>
        <w:t xml:space="preserve">entidad que tenga un Contrato de Alianza, para la delegación de las operaciones, Funciones, Servicios o responsabilidades de cualquier Entidad Gubernamental, de conformidad con la Ley 29-2009, según enmendada, conocida como “Ley de Alianzas </w:t>
      </w:r>
      <w:r w:rsidR="002D103F" w:rsidRPr="00D90C34">
        <w:rPr>
          <w:rFonts w:ascii="Book Antiqua" w:hAnsi="Book Antiqua"/>
          <w:lang w:val="es-ES_tradnl"/>
        </w:rPr>
        <w:t>Público-Privadas</w:t>
      </w:r>
      <w:r w:rsidRPr="00D90C34">
        <w:rPr>
          <w:rFonts w:ascii="Book Antiqua" w:hAnsi="Book Antiqua"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. </w:t>
      </w:r>
    </w:p>
    <w:p w14:paraId="6173D291" w14:textId="2C2569CD" w:rsidR="007A5DF4" w:rsidRDefault="007A5DF4" w:rsidP="007A5DF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714523">
        <w:rPr>
          <w:rFonts w:ascii="Book Antiqua" w:hAnsi="Book Antiqua"/>
          <w:lang w:val="es-ES_tradnl"/>
        </w:rPr>
        <w:t>3</w:t>
      </w:r>
      <w:r>
        <w:rPr>
          <w:rFonts w:ascii="Book Antiqua" w:hAnsi="Book Antiqua"/>
          <w:lang w:val="es-ES_tradnl"/>
        </w:rPr>
        <w:t>.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-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Prohibición</w:t>
      </w:r>
    </w:p>
    <w:p w14:paraId="3361FB37" w14:textId="2AD9A3C4" w:rsidR="007A5DF4" w:rsidRDefault="007A5DF4" w:rsidP="007A5DF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Mediante esta Ley se prohíbe la venta, alquiler, permuta, dación en pago, donación, cesión, pago en finiquito y cualquier otra forma de enajenación de cualquier </w:t>
      </w:r>
      <w:r w:rsidR="002D103F">
        <w:rPr>
          <w:rFonts w:ascii="Book Antiqua" w:hAnsi="Book Antiqua"/>
          <w:lang w:val="es-ES_tradnl"/>
        </w:rPr>
        <w:t xml:space="preserve">bien integrante del Patrimonio Cultural del Pueblo de Puerto Rico, tales como: </w:t>
      </w:r>
      <w:r>
        <w:rPr>
          <w:rFonts w:ascii="Book Antiqua" w:hAnsi="Book Antiqua"/>
          <w:lang w:val="es-ES_tradnl"/>
        </w:rPr>
        <w:t xml:space="preserve">obra de arte, objeto, colección o edificación perteneciente al patrimonio cultural, propiedad del </w:t>
      </w:r>
      <w:r>
        <w:rPr>
          <w:rFonts w:ascii="Book Antiqua" w:hAnsi="Book Antiqua"/>
          <w:lang w:val="es-ES_tradnl"/>
        </w:rPr>
        <w:lastRenderedPageBreak/>
        <w:t>Gobierno de Puerto Rico, incluyendo cualquiera de sus agencias, instrumentalidades, municipios, corporaciones públicas o alianzas público-privadas, estén o no en posesión del Gobierno de Puerto Rico, al momento de aprobarse esta Ley.</w:t>
      </w:r>
    </w:p>
    <w:p w14:paraId="50EF2E18" w14:textId="5D65EA3B" w:rsidR="007A5DF4" w:rsidRPr="009671B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Artículo </w:t>
      </w:r>
      <w:r w:rsidR="00714523">
        <w:rPr>
          <w:rFonts w:ascii="Book Antiqua" w:hAnsi="Book Antiqua"/>
          <w:lang w:val="es-ES_tradnl"/>
        </w:rPr>
        <w:t>4</w:t>
      </w:r>
      <w:r>
        <w:rPr>
          <w:rFonts w:ascii="Book Antiqua" w:hAnsi="Book Antiqua"/>
          <w:lang w:val="es-ES_tradnl"/>
        </w:rPr>
        <w:t>.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-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S</w:t>
      </w:r>
      <w:r w:rsidRPr="009671BB">
        <w:rPr>
          <w:rFonts w:ascii="Book Antiqua" w:hAnsi="Book Antiqua"/>
          <w:lang w:val="es-ES_tradnl"/>
        </w:rPr>
        <w:t>e enmienda el inciso (b) de la Sección 4 de la Ley Núm. 89 de 21 de junio de 1955, según enmendada, mejor conocida como “Ley del Instituto de Cultura Puertorriqueña”, para que lea como sigue:</w:t>
      </w:r>
    </w:p>
    <w:p w14:paraId="02C822A4" w14:textId="77777777" w:rsidR="007A5DF4" w:rsidRPr="009671B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"Sección 4.</w:t>
      </w:r>
      <w:r>
        <w:rPr>
          <w:rFonts w:ascii="Book Antiqua" w:hAnsi="Book Antiqua"/>
          <w:lang w:val="es-ES_tradnl"/>
        </w:rPr>
        <w:t>-</w:t>
      </w:r>
      <w:r w:rsidRPr="009671BB">
        <w:rPr>
          <w:rFonts w:ascii="Book Antiqua" w:hAnsi="Book Antiqua"/>
          <w:lang w:val="es-ES_tradnl"/>
        </w:rPr>
        <w:t>Propósitos, funciones y poderes del Instituto.</w:t>
      </w:r>
    </w:p>
    <w:p w14:paraId="52E5B1D6" w14:textId="77777777" w:rsidR="007A5DF4" w:rsidRPr="009671BB" w:rsidRDefault="007A5DF4" w:rsidP="007A5DF4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 xml:space="preserve">El Instituto de Cultura Puertorriqueña será el organismo gubernamental responsable de ejecutar la política pública en relación con el desarrollo de las artes, las humanidades y la cultura en Puerto Rico. </w:t>
      </w:r>
    </w:p>
    <w:p w14:paraId="50E44ACA" w14:textId="77777777" w:rsidR="007A5DF4" w:rsidRPr="009671B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(a)</w:t>
      </w: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 xml:space="preserve">… </w:t>
      </w:r>
    </w:p>
    <w:p w14:paraId="61161560" w14:textId="77777777" w:rsidR="007A5DF4" w:rsidRPr="009671B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…</w:t>
      </w:r>
    </w:p>
    <w:p w14:paraId="273EF698" w14:textId="77777777" w:rsidR="007A5DF4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(b)</w:t>
      </w: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…</w:t>
      </w:r>
    </w:p>
    <w:p w14:paraId="3586DC38" w14:textId="77777777" w:rsidR="007A5DF4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(1)</w:t>
      </w:r>
      <w:r>
        <w:rPr>
          <w:rFonts w:ascii="Book Antiqua" w:hAnsi="Book Antiqua"/>
          <w:lang w:val="es-ES_tradnl"/>
        </w:rPr>
        <w:tab/>
        <w:t>…</w:t>
      </w:r>
    </w:p>
    <w:p w14:paraId="11BB1043" w14:textId="77777777" w:rsidR="007A5DF4" w:rsidRPr="009671B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…</w:t>
      </w:r>
    </w:p>
    <w:p w14:paraId="506B8B7E" w14:textId="545625B8" w:rsidR="007A5DF4" w:rsidRPr="00877CC3" w:rsidRDefault="007A5DF4" w:rsidP="007A5DF4">
      <w:pPr>
        <w:tabs>
          <w:tab w:val="left" w:pos="1440"/>
        </w:tabs>
        <w:spacing w:line="480" w:lineRule="auto"/>
        <w:ind w:left="2160" w:hanging="144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ab/>
      </w:r>
      <w:r w:rsidRPr="00877CC3">
        <w:rPr>
          <w:rFonts w:ascii="Book Antiqua" w:hAnsi="Book Antiqua"/>
          <w:i/>
          <w:lang w:val="es-ES_tradnl"/>
        </w:rPr>
        <w:t xml:space="preserve">(7) </w:t>
      </w:r>
      <w:r>
        <w:rPr>
          <w:rFonts w:ascii="Book Antiqua" w:hAnsi="Book Antiqua"/>
          <w:i/>
          <w:lang w:val="es-ES_tradnl"/>
        </w:rPr>
        <w:tab/>
        <w:t xml:space="preserve">El Instituto no podrá </w:t>
      </w:r>
      <w:r w:rsidRPr="00877CC3">
        <w:rPr>
          <w:rFonts w:ascii="Book Antiqua" w:hAnsi="Book Antiqua"/>
          <w:i/>
          <w:lang w:val="es-ES_tradnl"/>
        </w:rPr>
        <w:t>ven</w:t>
      </w:r>
      <w:r>
        <w:rPr>
          <w:rFonts w:ascii="Book Antiqua" w:hAnsi="Book Antiqua"/>
          <w:i/>
          <w:lang w:val="es-ES_tradnl"/>
        </w:rPr>
        <w:t>der</w:t>
      </w:r>
      <w:r w:rsidRPr="00877CC3">
        <w:rPr>
          <w:rFonts w:ascii="Book Antiqua" w:hAnsi="Book Antiqua"/>
          <w:i/>
          <w:lang w:val="es-ES_tradnl"/>
        </w:rPr>
        <w:t>, alquil</w:t>
      </w:r>
      <w:r>
        <w:rPr>
          <w:rFonts w:ascii="Book Antiqua" w:hAnsi="Book Antiqua"/>
          <w:i/>
          <w:lang w:val="es-ES_tradnl"/>
        </w:rPr>
        <w:t>a</w:t>
      </w:r>
      <w:r w:rsidRPr="00877CC3">
        <w:rPr>
          <w:rFonts w:ascii="Book Antiqua" w:hAnsi="Book Antiqua"/>
          <w:i/>
          <w:lang w:val="es-ES_tradnl"/>
        </w:rPr>
        <w:t>r, permuta</w:t>
      </w:r>
      <w:r>
        <w:rPr>
          <w:rFonts w:ascii="Book Antiqua" w:hAnsi="Book Antiqua"/>
          <w:i/>
          <w:lang w:val="es-ES_tradnl"/>
        </w:rPr>
        <w:t>r</w:t>
      </w:r>
      <w:r w:rsidRPr="00877CC3">
        <w:rPr>
          <w:rFonts w:ascii="Book Antiqua" w:hAnsi="Book Antiqua"/>
          <w:i/>
          <w:lang w:val="es-ES_tradnl"/>
        </w:rPr>
        <w:t>, da</w:t>
      </w:r>
      <w:r>
        <w:rPr>
          <w:rFonts w:ascii="Book Antiqua" w:hAnsi="Book Antiqua"/>
          <w:i/>
          <w:lang w:val="es-ES_tradnl"/>
        </w:rPr>
        <w:t>r</w:t>
      </w:r>
      <w:r w:rsidRPr="00877CC3">
        <w:rPr>
          <w:rFonts w:ascii="Book Antiqua" w:hAnsi="Book Antiqua"/>
          <w:i/>
          <w:lang w:val="es-ES_tradnl"/>
        </w:rPr>
        <w:t xml:space="preserve"> en pago, dona</w:t>
      </w:r>
      <w:r>
        <w:rPr>
          <w:rFonts w:ascii="Book Antiqua" w:hAnsi="Book Antiqua"/>
          <w:i/>
          <w:lang w:val="es-ES_tradnl"/>
        </w:rPr>
        <w:t>r</w:t>
      </w:r>
      <w:r w:rsidRPr="00877CC3">
        <w:rPr>
          <w:rFonts w:ascii="Book Antiqua" w:hAnsi="Book Antiqua"/>
          <w:i/>
          <w:lang w:val="es-ES_tradnl"/>
        </w:rPr>
        <w:t xml:space="preserve">, </w:t>
      </w:r>
      <w:r>
        <w:rPr>
          <w:rFonts w:ascii="Book Antiqua" w:hAnsi="Book Antiqua"/>
          <w:i/>
          <w:lang w:val="es-ES_tradnl"/>
        </w:rPr>
        <w:t>c</w:t>
      </w:r>
      <w:r w:rsidRPr="00877CC3">
        <w:rPr>
          <w:rFonts w:ascii="Book Antiqua" w:hAnsi="Book Antiqua"/>
          <w:i/>
          <w:lang w:val="es-ES_tradnl"/>
        </w:rPr>
        <w:t>e</w:t>
      </w:r>
      <w:r>
        <w:rPr>
          <w:rFonts w:ascii="Book Antiqua" w:hAnsi="Book Antiqua"/>
          <w:i/>
          <w:lang w:val="es-ES_tradnl"/>
        </w:rPr>
        <w:t>der</w:t>
      </w:r>
      <w:r w:rsidRPr="00877CC3">
        <w:rPr>
          <w:rFonts w:ascii="Book Antiqua" w:hAnsi="Book Antiqua"/>
          <w:i/>
          <w:lang w:val="es-ES_tradnl"/>
        </w:rPr>
        <w:t>, pag</w:t>
      </w:r>
      <w:r>
        <w:rPr>
          <w:rFonts w:ascii="Book Antiqua" w:hAnsi="Book Antiqua"/>
          <w:i/>
          <w:lang w:val="es-ES_tradnl"/>
        </w:rPr>
        <w:t>ar</w:t>
      </w:r>
      <w:r w:rsidRPr="00877CC3">
        <w:rPr>
          <w:rFonts w:ascii="Book Antiqua" w:hAnsi="Book Antiqua"/>
          <w:i/>
          <w:lang w:val="es-ES_tradnl"/>
        </w:rPr>
        <w:t xml:space="preserve"> en finiquito </w:t>
      </w:r>
      <w:r>
        <w:rPr>
          <w:rFonts w:ascii="Book Antiqua" w:hAnsi="Book Antiqua"/>
          <w:i/>
          <w:lang w:val="es-ES_tradnl"/>
        </w:rPr>
        <w:t>o efectuar</w:t>
      </w:r>
      <w:r w:rsidRPr="00877CC3">
        <w:rPr>
          <w:rFonts w:ascii="Book Antiqua" w:hAnsi="Book Antiqua"/>
          <w:i/>
          <w:lang w:val="es-ES_tradnl"/>
        </w:rPr>
        <w:t xml:space="preserve"> cualquier otra forma de enajenación de cualquier</w:t>
      </w:r>
      <w:r w:rsidR="002D103F">
        <w:rPr>
          <w:rFonts w:ascii="Book Antiqua" w:hAnsi="Book Antiqua"/>
          <w:i/>
          <w:lang w:val="es-ES_tradnl"/>
        </w:rPr>
        <w:t xml:space="preserve"> </w:t>
      </w:r>
      <w:r w:rsidR="002D103F" w:rsidRPr="002D103F">
        <w:rPr>
          <w:rFonts w:ascii="Book Antiqua" w:hAnsi="Book Antiqua"/>
          <w:i/>
          <w:lang w:val="es-ES_tradnl"/>
        </w:rPr>
        <w:t>bien integrante del Patrimonio Cultural del Pueblo de Puerto Rico</w:t>
      </w:r>
      <w:r w:rsidR="002D103F">
        <w:rPr>
          <w:rFonts w:ascii="Book Antiqua" w:hAnsi="Book Antiqua"/>
          <w:i/>
          <w:lang w:val="es-ES_tradnl"/>
        </w:rPr>
        <w:t>,</w:t>
      </w:r>
      <w:r w:rsidR="002D103F" w:rsidRPr="002D103F">
        <w:rPr>
          <w:rFonts w:ascii="Book Antiqua" w:hAnsi="Book Antiqua"/>
          <w:i/>
          <w:lang w:val="es-ES_tradnl"/>
        </w:rPr>
        <w:t xml:space="preserve"> tales como: </w:t>
      </w:r>
      <w:r w:rsidRPr="00877CC3">
        <w:rPr>
          <w:rFonts w:ascii="Book Antiqua" w:hAnsi="Book Antiqua"/>
          <w:i/>
          <w:lang w:val="es-ES_tradnl"/>
        </w:rPr>
        <w:t xml:space="preserve"> </w:t>
      </w:r>
      <w:r w:rsidRPr="0070511D">
        <w:rPr>
          <w:rFonts w:ascii="Book Antiqua" w:hAnsi="Book Antiqua"/>
          <w:i/>
          <w:lang w:val="es-ES_tradnl"/>
        </w:rPr>
        <w:t>obra de arte, objeto, colección o edificación perteneciente al patrimonio cultural</w:t>
      </w:r>
      <w:r>
        <w:rPr>
          <w:rFonts w:ascii="Book Antiqua" w:hAnsi="Book Antiqua"/>
          <w:i/>
          <w:lang w:val="es-ES_tradnl"/>
        </w:rPr>
        <w:t xml:space="preserve"> en su posesión,</w:t>
      </w:r>
      <w:r w:rsidRPr="0070511D">
        <w:rPr>
          <w:rFonts w:ascii="Book Antiqua" w:hAnsi="Book Antiqua"/>
          <w:i/>
          <w:lang w:val="es-ES_tradnl"/>
        </w:rPr>
        <w:t xml:space="preserve"> </w:t>
      </w:r>
      <w:r w:rsidRPr="00877CC3">
        <w:rPr>
          <w:rFonts w:ascii="Book Antiqua" w:hAnsi="Book Antiqua"/>
          <w:i/>
          <w:lang w:val="es-ES_tradnl"/>
        </w:rPr>
        <w:t xml:space="preserve">propiedad del Gobierno de Puerto Rico, incluyendo cualquiera de sus agencias, instrumentalidades, </w:t>
      </w:r>
      <w:r w:rsidRPr="00877CC3">
        <w:rPr>
          <w:rFonts w:ascii="Book Antiqua" w:hAnsi="Book Antiqua"/>
          <w:i/>
          <w:lang w:val="es-ES_tradnl"/>
        </w:rPr>
        <w:lastRenderedPageBreak/>
        <w:t>municipios, corporaciones públicas o alianzas público-privadas,</w:t>
      </w:r>
      <w:r>
        <w:rPr>
          <w:rFonts w:ascii="Book Antiqua" w:hAnsi="Book Antiqua"/>
          <w:i/>
          <w:lang w:val="es-ES_tradnl"/>
        </w:rPr>
        <w:t xml:space="preserve"> que estén bajo su custodia.”</w:t>
      </w:r>
    </w:p>
    <w:p w14:paraId="48D3409B" w14:textId="108BC3BC" w:rsidR="007A5DF4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 xml:space="preserve">Artículo </w:t>
      </w:r>
      <w:r w:rsidR="00714523">
        <w:rPr>
          <w:rFonts w:ascii="Book Antiqua" w:hAnsi="Book Antiqua"/>
          <w:lang w:val="es-ES_tradnl"/>
        </w:rPr>
        <w:t>5</w:t>
      </w:r>
      <w:r w:rsidRPr="009671BB">
        <w:rPr>
          <w:rFonts w:ascii="Book Antiqua" w:hAnsi="Book Antiqua"/>
          <w:lang w:val="es-ES_tradnl"/>
        </w:rPr>
        <w:t>.</w:t>
      </w:r>
      <w:r w:rsidR="00E93EA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-</w:t>
      </w:r>
      <w:r w:rsidR="00E93EAD">
        <w:rPr>
          <w:rFonts w:ascii="Book Antiqua" w:hAnsi="Book Antiqua"/>
          <w:lang w:val="es-ES_tradnl"/>
        </w:rPr>
        <w:t xml:space="preserve"> S</w:t>
      </w:r>
      <w:r w:rsidR="00E93EAD" w:rsidRPr="009671BB">
        <w:rPr>
          <w:rFonts w:ascii="Book Antiqua" w:hAnsi="Book Antiqua"/>
          <w:lang w:val="es-ES_tradnl"/>
        </w:rPr>
        <w:t>e enmienda el</w:t>
      </w:r>
      <w:r w:rsidR="00AF14DD">
        <w:rPr>
          <w:rFonts w:ascii="Book Antiqua" w:hAnsi="Book Antiqua"/>
          <w:lang w:val="es-ES_tradnl"/>
        </w:rPr>
        <w:t xml:space="preserve"> Artículo 2.021 de la Ley 107-2020, </w:t>
      </w:r>
      <w:r w:rsidR="00AF14DD" w:rsidRPr="009671BB">
        <w:rPr>
          <w:rFonts w:ascii="Book Antiqua" w:hAnsi="Book Antiqua"/>
          <w:lang w:val="es-ES_tradnl"/>
        </w:rPr>
        <w:t>según enmendada, mejor conocida como “</w:t>
      </w:r>
      <w:r w:rsidR="00AF14DD">
        <w:rPr>
          <w:rFonts w:ascii="Book Antiqua" w:hAnsi="Book Antiqua"/>
          <w:lang w:val="es-ES_tradnl"/>
        </w:rPr>
        <w:t>Código Municipal de Puerto Rico</w:t>
      </w:r>
      <w:r w:rsidR="00AF14DD" w:rsidRPr="009671BB">
        <w:rPr>
          <w:rFonts w:ascii="Book Antiqua" w:hAnsi="Book Antiqua"/>
          <w:lang w:val="es-ES_tradnl"/>
        </w:rPr>
        <w:t>”, para que lea como sigue:</w:t>
      </w:r>
    </w:p>
    <w:p w14:paraId="74A615FF" w14:textId="53C1850C" w:rsidR="00AF14DD" w:rsidRPr="00AF14DD" w:rsidRDefault="00AF14DD" w:rsidP="00AF14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“</w:t>
      </w:r>
      <w:r w:rsidRPr="00AF14DD">
        <w:rPr>
          <w:rFonts w:ascii="Book Antiqua" w:hAnsi="Book Antiqua"/>
          <w:lang w:val="es-ES_tradnl"/>
        </w:rPr>
        <w:t xml:space="preserve">Artículo 2.021 — Enajenación de Bienes  </w:t>
      </w:r>
    </w:p>
    <w:p w14:paraId="22A6D046" w14:textId="77777777" w:rsidR="00AF14DD" w:rsidRPr="00AF14DD" w:rsidRDefault="00AF14DD" w:rsidP="00AF14DD">
      <w:pPr>
        <w:spacing w:line="480" w:lineRule="auto"/>
        <w:ind w:left="1080" w:firstLine="360"/>
        <w:jc w:val="both"/>
        <w:rPr>
          <w:rFonts w:ascii="Book Antiqua" w:hAnsi="Book Antiqua"/>
          <w:lang w:val="es-ES_tradnl"/>
        </w:rPr>
      </w:pPr>
      <w:r w:rsidRPr="00AF14DD">
        <w:rPr>
          <w:rFonts w:ascii="Book Antiqua" w:hAnsi="Book Antiqua"/>
          <w:lang w:val="es-ES_tradnl"/>
        </w:rPr>
        <w:t>Toda permuta, gravamen, arrendamiento, venta, donación o cesión de propiedad municipal deberá ser aprobada por la Legislatura Municipal, mediante ordenanza o resolución al efecto.</w:t>
      </w:r>
    </w:p>
    <w:p w14:paraId="7490D1FC" w14:textId="77777777" w:rsidR="00AF14DD" w:rsidRPr="00AF14DD" w:rsidRDefault="00AF14DD" w:rsidP="00AF14DD">
      <w:pPr>
        <w:spacing w:line="480" w:lineRule="auto"/>
        <w:ind w:left="1080" w:firstLine="360"/>
        <w:jc w:val="both"/>
        <w:rPr>
          <w:rFonts w:ascii="Book Antiqua" w:hAnsi="Book Antiqua"/>
          <w:lang w:val="es-ES_tradnl"/>
        </w:rPr>
      </w:pPr>
      <w:r w:rsidRPr="00AF14DD">
        <w:rPr>
          <w:rFonts w:ascii="Book Antiqua" w:hAnsi="Book Antiqua"/>
          <w:lang w:val="es-ES_tradnl"/>
        </w:rPr>
        <w:t xml:space="preserve">Toda donación o cesión de propiedad municipal será autorizada siempre que se realice entre gobiernos municipales, Gobierno estatal y/o federal, así como entre corporaciones municipales, compañías de </w:t>
      </w:r>
      <w:proofErr w:type="gramStart"/>
      <w:r w:rsidRPr="00AF14DD">
        <w:rPr>
          <w:rFonts w:ascii="Book Antiqua" w:hAnsi="Book Antiqua"/>
          <w:lang w:val="es-ES_tradnl"/>
        </w:rPr>
        <w:t>desarrollo municipal y consorcios municipales</w:t>
      </w:r>
      <w:proofErr w:type="gramEnd"/>
      <w:r w:rsidRPr="00AF14DD">
        <w:rPr>
          <w:rFonts w:ascii="Book Antiqua" w:hAnsi="Book Antiqua"/>
          <w:lang w:val="es-ES_tradnl"/>
        </w:rPr>
        <w:t>, salvo aquellas donaciones permitidas en virtud de este Código, a favor de países extranjeros, de corporaciones sin fines de lucro y de personas indigentes.</w:t>
      </w:r>
    </w:p>
    <w:p w14:paraId="72D4B877" w14:textId="77777777" w:rsidR="00AF14DD" w:rsidRPr="00AF14DD" w:rsidRDefault="00AF14DD" w:rsidP="00AF14DD">
      <w:pPr>
        <w:spacing w:line="480" w:lineRule="auto"/>
        <w:ind w:left="1080" w:firstLine="360"/>
        <w:jc w:val="both"/>
        <w:rPr>
          <w:rFonts w:ascii="Book Antiqua" w:hAnsi="Book Antiqua"/>
          <w:lang w:val="es-ES_tradnl"/>
        </w:rPr>
      </w:pPr>
      <w:r w:rsidRPr="00AF14DD">
        <w:rPr>
          <w:rFonts w:ascii="Book Antiqua" w:hAnsi="Book Antiqua"/>
          <w:lang w:val="es-ES_tradnl"/>
        </w:rPr>
        <w:t>La venta y arrendamiento de cualquier propiedad municipal deberá hacerse mediante el proceso de subasta pública.</w:t>
      </w:r>
    </w:p>
    <w:p w14:paraId="65B59A40" w14:textId="77777777" w:rsidR="00AF14DD" w:rsidRPr="00AF14DD" w:rsidRDefault="00AF14DD" w:rsidP="00AF14DD">
      <w:pPr>
        <w:spacing w:line="480" w:lineRule="auto"/>
        <w:ind w:left="1080" w:firstLine="360"/>
        <w:jc w:val="both"/>
        <w:rPr>
          <w:rFonts w:ascii="Book Antiqua" w:hAnsi="Book Antiqua"/>
          <w:lang w:val="es-ES_tradnl"/>
        </w:rPr>
      </w:pPr>
      <w:r w:rsidRPr="00AF14DD">
        <w:rPr>
          <w:rFonts w:ascii="Book Antiqua" w:hAnsi="Book Antiqua"/>
          <w:lang w:val="es-ES_tradnl"/>
        </w:rPr>
        <w:t>Estarán exceptuados de los procesos de subasta pública los siguientes:</w:t>
      </w:r>
    </w:p>
    <w:p w14:paraId="02EB6E2F" w14:textId="50C78CFE" w:rsidR="00AF14DD" w:rsidRPr="00697087" w:rsidRDefault="00697087" w:rsidP="0084378B">
      <w:pPr>
        <w:pStyle w:val="ListParagraph"/>
        <w:numPr>
          <w:ilvl w:val="0"/>
          <w:numId w:val="1"/>
        </w:numPr>
        <w:spacing w:line="480" w:lineRule="auto"/>
        <w:ind w:left="1980" w:hanging="180"/>
        <w:jc w:val="both"/>
        <w:rPr>
          <w:rFonts w:ascii="Book Antiqua" w:hAnsi="Book Antiqua"/>
          <w:lang w:val="es-ES_tradnl"/>
        </w:rPr>
      </w:pPr>
      <w:r w:rsidRPr="00697087">
        <w:rPr>
          <w:rFonts w:ascii="Book Antiqua" w:hAnsi="Book Antiqua"/>
          <w:lang w:val="es-ES_tradnl"/>
        </w:rPr>
        <w:t>…</w:t>
      </w:r>
    </w:p>
    <w:p w14:paraId="1CEEA7E4" w14:textId="01166D76" w:rsidR="00697087" w:rsidRPr="00AF14DD" w:rsidRDefault="00697087" w:rsidP="0084378B">
      <w:pPr>
        <w:spacing w:line="480" w:lineRule="auto"/>
        <w:ind w:left="2070" w:hanging="9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79D7DB27" w14:textId="07DBACAA" w:rsidR="00AF14DD" w:rsidRDefault="00AF14DD" w:rsidP="0084378B">
      <w:pPr>
        <w:spacing w:line="480" w:lineRule="auto"/>
        <w:ind w:left="1710" w:firstLine="90"/>
        <w:jc w:val="both"/>
        <w:rPr>
          <w:rFonts w:ascii="Book Antiqua" w:hAnsi="Book Antiqua"/>
          <w:lang w:val="es-ES_tradnl"/>
        </w:rPr>
      </w:pPr>
      <w:r w:rsidRPr="00AF14DD">
        <w:rPr>
          <w:rFonts w:ascii="Book Antiqua" w:hAnsi="Book Antiqua"/>
          <w:lang w:val="es-ES_tradnl"/>
        </w:rPr>
        <w:t>(i)</w:t>
      </w:r>
      <w:r w:rsidR="00697087">
        <w:rPr>
          <w:rFonts w:ascii="Book Antiqua" w:hAnsi="Book Antiqua"/>
          <w:lang w:val="es-ES_tradnl"/>
        </w:rPr>
        <w:t xml:space="preserve"> …</w:t>
      </w:r>
    </w:p>
    <w:p w14:paraId="0D97F5A5" w14:textId="795662D2" w:rsidR="00697087" w:rsidRDefault="00697087" w:rsidP="00AF14DD">
      <w:pPr>
        <w:spacing w:line="480" w:lineRule="auto"/>
        <w:ind w:left="1080" w:firstLine="360"/>
        <w:jc w:val="both"/>
        <w:rPr>
          <w:rFonts w:ascii="Book Antiqua" w:hAnsi="Book Antiqua"/>
          <w:lang w:val="es-ES_tradnl"/>
        </w:rPr>
      </w:pPr>
      <w:r w:rsidRPr="00697087">
        <w:rPr>
          <w:rFonts w:ascii="Book Antiqua" w:hAnsi="Book Antiqua"/>
          <w:i/>
          <w:iCs/>
          <w:lang w:val="es-ES_tradnl"/>
        </w:rPr>
        <w:t>Los municipios no podrán vender, alquilar, permutar, dar en pago, donar, ceder, pagar en finiquito o efectuar cualquier otra forma de enajenación de cualquier</w:t>
      </w:r>
      <w:r w:rsidR="002D103F">
        <w:rPr>
          <w:rFonts w:ascii="Book Antiqua" w:hAnsi="Book Antiqua"/>
          <w:i/>
          <w:iCs/>
          <w:lang w:val="es-ES_tradnl"/>
        </w:rPr>
        <w:t xml:space="preserve"> </w:t>
      </w:r>
      <w:r w:rsidR="002D103F" w:rsidRPr="002D103F">
        <w:rPr>
          <w:rFonts w:ascii="Book Antiqua" w:hAnsi="Book Antiqua"/>
          <w:i/>
          <w:iCs/>
          <w:lang w:val="es-ES_tradnl"/>
        </w:rPr>
        <w:t xml:space="preserve">bien </w:t>
      </w:r>
      <w:r w:rsidR="002D103F" w:rsidRPr="002D103F">
        <w:rPr>
          <w:rFonts w:ascii="Book Antiqua" w:hAnsi="Book Antiqua"/>
          <w:i/>
          <w:iCs/>
          <w:lang w:val="es-ES_tradnl"/>
        </w:rPr>
        <w:lastRenderedPageBreak/>
        <w:t>integrante del Patrimonio Cultural del Pueblo de Puerto Rico</w:t>
      </w:r>
      <w:r w:rsidR="002D103F">
        <w:rPr>
          <w:rFonts w:ascii="Book Antiqua" w:hAnsi="Book Antiqua"/>
          <w:i/>
          <w:iCs/>
          <w:lang w:val="es-ES_tradnl"/>
        </w:rPr>
        <w:t>,</w:t>
      </w:r>
      <w:r w:rsidR="002D103F" w:rsidRPr="002D103F">
        <w:rPr>
          <w:rFonts w:ascii="Book Antiqua" w:hAnsi="Book Antiqua"/>
          <w:i/>
          <w:iCs/>
          <w:lang w:val="es-ES_tradnl"/>
        </w:rPr>
        <w:t xml:space="preserve"> tales como: </w:t>
      </w:r>
      <w:r w:rsidRPr="00697087">
        <w:rPr>
          <w:rFonts w:ascii="Book Antiqua" w:hAnsi="Book Antiqua"/>
          <w:i/>
          <w:iCs/>
          <w:lang w:val="es-ES_tradnl"/>
        </w:rPr>
        <w:t xml:space="preserve"> obra de arte, objeto, colección o edificación perteneciente al patrimonio cultural en su posesión, propiedad del municipio o del Gobierno de Puerto Rico, incluyendo cualquiera de sus agencias, instrumentalidades, corporaciones públicas o alianzas público-privadas, que estén bajo su custodia.</w:t>
      </w:r>
      <w:r w:rsidRPr="00697087">
        <w:rPr>
          <w:rFonts w:ascii="Book Antiqua" w:hAnsi="Book Antiqua"/>
          <w:lang w:val="es-ES_tradnl"/>
        </w:rPr>
        <w:t>”</w:t>
      </w:r>
    </w:p>
    <w:p w14:paraId="4DDD04DD" w14:textId="31C80F98" w:rsidR="00E93EAD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Artículo </w:t>
      </w:r>
      <w:r w:rsidR="00714523">
        <w:rPr>
          <w:rFonts w:ascii="Book Antiqua" w:hAnsi="Book Antiqua"/>
          <w:lang w:val="es-ES_tradnl"/>
        </w:rPr>
        <w:t>6</w:t>
      </w:r>
      <w:r>
        <w:rPr>
          <w:rFonts w:ascii="Book Antiqua" w:hAnsi="Book Antiqua"/>
          <w:lang w:val="es-ES_tradnl"/>
        </w:rPr>
        <w:t>.</w:t>
      </w:r>
      <w:r w:rsidR="00E93EAD">
        <w:rPr>
          <w:rFonts w:ascii="Book Antiqua" w:hAnsi="Book Antiqua"/>
          <w:lang w:val="es-ES_tradnl"/>
        </w:rPr>
        <w:t xml:space="preserve"> – Nada de lo establecido en esta Ley interferirá con las concesiones permitidas en las </w:t>
      </w:r>
      <w:r w:rsidR="002D64F5">
        <w:rPr>
          <w:rFonts w:ascii="Book Antiqua" w:hAnsi="Book Antiqua"/>
          <w:lang w:val="es-ES_tradnl"/>
        </w:rPr>
        <w:t>l</w:t>
      </w:r>
      <w:r w:rsidR="00E93EAD">
        <w:rPr>
          <w:rFonts w:ascii="Book Antiqua" w:hAnsi="Book Antiqua"/>
          <w:lang w:val="es-ES_tradnl"/>
        </w:rPr>
        <w:t xml:space="preserve">eyes de Puerto Rico y sus reglamentos, para conceder préstamos por tiempo limitado a instituciones culturales, siempre y cuando no se enajene la </w:t>
      </w:r>
      <w:r w:rsidR="00E93EAD" w:rsidRPr="0070511D">
        <w:rPr>
          <w:rFonts w:ascii="Book Antiqua" w:hAnsi="Book Antiqua"/>
          <w:lang w:val="es-ES_tradnl"/>
        </w:rPr>
        <w:t>obra de arte, objeto, colección o edificación perteneciente al patrimonio cultural</w:t>
      </w:r>
      <w:r w:rsidR="00E93EAD">
        <w:rPr>
          <w:rFonts w:ascii="Book Antiqua" w:hAnsi="Book Antiqua"/>
          <w:lang w:val="es-ES_tradnl"/>
        </w:rPr>
        <w:t>.</w:t>
      </w:r>
    </w:p>
    <w:p w14:paraId="6B62605C" w14:textId="45FDDCE6" w:rsidR="007A5DF4" w:rsidRPr="009671BB" w:rsidRDefault="00E93EAD" w:rsidP="00E93EAD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714523">
        <w:rPr>
          <w:rFonts w:ascii="Book Antiqua" w:hAnsi="Book Antiqua"/>
          <w:lang w:val="es-ES_tradnl"/>
        </w:rPr>
        <w:t>7</w:t>
      </w:r>
      <w:r>
        <w:rPr>
          <w:rFonts w:ascii="Book Antiqua" w:hAnsi="Book Antiqua"/>
          <w:lang w:val="es-ES_tradnl"/>
        </w:rPr>
        <w:t xml:space="preserve">. – </w:t>
      </w:r>
      <w:r w:rsidR="007A5DF4" w:rsidRPr="009671BB">
        <w:rPr>
          <w:rFonts w:ascii="Book Antiqua" w:hAnsi="Book Antiqua"/>
          <w:lang w:val="es-ES_tradnl"/>
        </w:rPr>
        <w:t>Vigencia</w:t>
      </w:r>
    </w:p>
    <w:p w14:paraId="24211250" w14:textId="38179266" w:rsidR="00CC343B" w:rsidRPr="00CC343B" w:rsidRDefault="007A5DF4" w:rsidP="007A5DF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9671BB">
        <w:rPr>
          <w:rFonts w:ascii="Book Antiqua" w:hAnsi="Book Antiqua"/>
          <w:lang w:val="es-ES_tradnl"/>
        </w:rPr>
        <w:t>Esta Ley entrará en vigor inmediatamente después de su aprobación.</w:t>
      </w:r>
    </w:p>
    <w:sectPr w:rsidR="00CC343B" w:rsidRPr="00CC343B" w:rsidSect="00CC34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24980" w14:textId="77777777" w:rsidR="002E322E" w:rsidRDefault="002E322E">
      <w:r>
        <w:separator/>
      </w:r>
    </w:p>
  </w:endnote>
  <w:endnote w:type="continuationSeparator" w:id="0">
    <w:p w14:paraId="4476110F" w14:textId="77777777" w:rsidR="002E322E" w:rsidRDefault="002E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E858B" w14:textId="77777777" w:rsidR="002E322E" w:rsidRDefault="002E322E">
      <w:r>
        <w:separator/>
      </w:r>
    </w:p>
  </w:footnote>
  <w:footnote w:type="continuationSeparator" w:id="0">
    <w:p w14:paraId="0F629724" w14:textId="77777777" w:rsidR="002E322E" w:rsidRDefault="002E3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125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4ACD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20413"/>
    <w:multiLevelType w:val="hybridMultilevel"/>
    <w:tmpl w:val="68E6C5BE"/>
    <w:lvl w:ilvl="0" w:tplc="7684201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FA0289F"/>
    <w:multiLevelType w:val="hybridMultilevel"/>
    <w:tmpl w:val="D6BA3F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076990">
    <w:abstractNumId w:val="0"/>
  </w:num>
  <w:num w:numId="2" w16cid:durableId="1474634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C343B"/>
    <w:rsid w:val="00020BBB"/>
    <w:rsid w:val="00056024"/>
    <w:rsid w:val="00095AE1"/>
    <w:rsid w:val="000A6B6C"/>
    <w:rsid w:val="000B0DBB"/>
    <w:rsid w:val="000C2A24"/>
    <w:rsid w:val="000F303A"/>
    <w:rsid w:val="00111E71"/>
    <w:rsid w:val="00114395"/>
    <w:rsid w:val="00127C6A"/>
    <w:rsid w:val="001363FE"/>
    <w:rsid w:val="0017132B"/>
    <w:rsid w:val="00177FBF"/>
    <w:rsid w:val="001F4CA3"/>
    <w:rsid w:val="001F612A"/>
    <w:rsid w:val="00211396"/>
    <w:rsid w:val="00215FA8"/>
    <w:rsid w:val="00226AE6"/>
    <w:rsid w:val="00245B34"/>
    <w:rsid w:val="00263355"/>
    <w:rsid w:val="00273792"/>
    <w:rsid w:val="002D103F"/>
    <w:rsid w:val="002D4AC8"/>
    <w:rsid w:val="002D64F5"/>
    <w:rsid w:val="002E322E"/>
    <w:rsid w:val="00320D78"/>
    <w:rsid w:val="003406FE"/>
    <w:rsid w:val="00344D05"/>
    <w:rsid w:val="00380FE5"/>
    <w:rsid w:val="003924DD"/>
    <w:rsid w:val="00394FCB"/>
    <w:rsid w:val="003963F4"/>
    <w:rsid w:val="003B5254"/>
    <w:rsid w:val="003B75A6"/>
    <w:rsid w:val="003E58DE"/>
    <w:rsid w:val="004061CA"/>
    <w:rsid w:val="00415689"/>
    <w:rsid w:val="004440CB"/>
    <w:rsid w:val="00460BED"/>
    <w:rsid w:val="004713D2"/>
    <w:rsid w:val="00472251"/>
    <w:rsid w:val="004B734B"/>
    <w:rsid w:val="0051104B"/>
    <w:rsid w:val="00521639"/>
    <w:rsid w:val="00532BB7"/>
    <w:rsid w:val="005332E4"/>
    <w:rsid w:val="0053550C"/>
    <w:rsid w:val="00555018"/>
    <w:rsid w:val="005723DC"/>
    <w:rsid w:val="005A151B"/>
    <w:rsid w:val="006210DC"/>
    <w:rsid w:val="0064349D"/>
    <w:rsid w:val="00685549"/>
    <w:rsid w:val="00697087"/>
    <w:rsid w:val="006B7365"/>
    <w:rsid w:val="006C2D81"/>
    <w:rsid w:val="006C7DF8"/>
    <w:rsid w:val="006D4ACD"/>
    <w:rsid w:val="00706D36"/>
    <w:rsid w:val="00714523"/>
    <w:rsid w:val="007367CE"/>
    <w:rsid w:val="00750FC8"/>
    <w:rsid w:val="007533D0"/>
    <w:rsid w:val="00755069"/>
    <w:rsid w:val="007A5DF4"/>
    <w:rsid w:val="007B0660"/>
    <w:rsid w:val="007D0A4E"/>
    <w:rsid w:val="007E3868"/>
    <w:rsid w:val="00820C41"/>
    <w:rsid w:val="0084378B"/>
    <w:rsid w:val="00847050"/>
    <w:rsid w:val="00850256"/>
    <w:rsid w:val="008A10B1"/>
    <w:rsid w:val="008B3D69"/>
    <w:rsid w:val="008D6599"/>
    <w:rsid w:val="0093686F"/>
    <w:rsid w:val="00942FD4"/>
    <w:rsid w:val="00951997"/>
    <w:rsid w:val="00990352"/>
    <w:rsid w:val="009F0D96"/>
    <w:rsid w:val="00A03405"/>
    <w:rsid w:val="00A1528A"/>
    <w:rsid w:val="00A33918"/>
    <w:rsid w:val="00A35807"/>
    <w:rsid w:val="00A453E3"/>
    <w:rsid w:val="00A7629F"/>
    <w:rsid w:val="00AF0CEE"/>
    <w:rsid w:val="00AF14DD"/>
    <w:rsid w:val="00B667AD"/>
    <w:rsid w:val="00B84C38"/>
    <w:rsid w:val="00B86C00"/>
    <w:rsid w:val="00B947F6"/>
    <w:rsid w:val="00BF16AA"/>
    <w:rsid w:val="00C068BA"/>
    <w:rsid w:val="00C259D0"/>
    <w:rsid w:val="00C354B8"/>
    <w:rsid w:val="00C52517"/>
    <w:rsid w:val="00C60921"/>
    <w:rsid w:val="00C62936"/>
    <w:rsid w:val="00C653F2"/>
    <w:rsid w:val="00C679E6"/>
    <w:rsid w:val="00C834F9"/>
    <w:rsid w:val="00C908F9"/>
    <w:rsid w:val="00C93EE1"/>
    <w:rsid w:val="00CA0917"/>
    <w:rsid w:val="00CA1099"/>
    <w:rsid w:val="00CC343B"/>
    <w:rsid w:val="00CF7138"/>
    <w:rsid w:val="00D0306E"/>
    <w:rsid w:val="00D417C2"/>
    <w:rsid w:val="00D60936"/>
    <w:rsid w:val="00D709EB"/>
    <w:rsid w:val="00D74714"/>
    <w:rsid w:val="00D82F3F"/>
    <w:rsid w:val="00D90C34"/>
    <w:rsid w:val="00D921C6"/>
    <w:rsid w:val="00D94FAB"/>
    <w:rsid w:val="00D958C2"/>
    <w:rsid w:val="00E04AB5"/>
    <w:rsid w:val="00E201A5"/>
    <w:rsid w:val="00E40976"/>
    <w:rsid w:val="00E50EEA"/>
    <w:rsid w:val="00E52F58"/>
    <w:rsid w:val="00E93EAD"/>
    <w:rsid w:val="00EB2BA7"/>
    <w:rsid w:val="00EC26AA"/>
    <w:rsid w:val="00EC5D3B"/>
    <w:rsid w:val="00ED6D8A"/>
    <w:rsid w:val="00ED7A53"/>
    <w:rsid w:val="00EE4273"/>
    <w:rsid w:val="00F02004"/>
    <w:rsid w:val="00F042CB"/>
    <w:rsid w:val="00F06032"/>
    <w:rsid w:val="00F10C13"/>
    <w:rsid w:val="00F2678E"/>
    <w:rsid w:val="00F60A20"/>
    <w:rsid w:val="00F94362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211226"/>
  <w15:chartTrackingRefBased/>
  <w15:docId w15:val="{BCE94FE1-D5F9-4404-9E14-5DF6228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697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2E91530-8C21-4226-9DD1-950ADE55DD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1303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Gladys J. Burgos Torres</cp:lastModifiedBy>
  <cp:revision>6</cp:revision>
  <cp:lastPrinted>2025-01-31T19:54:00Z</cp:lastPrinted>
  <dcterms:created xsi:type="dcterms:W3CDTF">2025-01-30T17:46:00Z</dcterms:created>
  <dcterms:modified xsi:type="dcterms:W3CDTF">2025-01-31T19:54:00Z</dcterms:modified>
</cp:coreProperties>
</file>