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6B06F" w14:textId="454D963D" w:rsidR="0038726D" w:rsidRPr="0038726D" w:rsidRDefault="0038726D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419"/>
        </w:rPr>
      </w:pPr>
      <w:r w:rsidRPr="0038726D">
        <w:rPr>
          <w:rFonts w:ascii="Book Antiqua" w:eastAsia="Times New Roman" w:hAnsi="Book Antiqua" w:cs="Times New Roman"/>
          <w:sz w:val="28"/>
          <w:szCs w:val="28"/>
          <w:lang w:val="es-419"/>
        </w:rPr>
        <w:t>(</w:t>
      </w:r>
      <w:r>
        <w:rPr>
          <w:rFonts w:ascii="Book Antiqua" w:eastAsia="Times New Roman" w:hAnsi="Book Antiqua" w:cs="Times New Roman"/>
          <w:sz w:val="28"/>
          <w:szCs w:val="28"/>
          <w:lang w:val="es-419"/>
        </w:rPr>
        <w:t>ENTIRILLADO ELECTRONICO)</w:t>
      </w:r>
    </w:p>
    <w:p w14:paraId="0E2B02CE" w14:textId="0DB48673" w:rsidR="008A4806" w:rsidRPr="008A4806" w:rsidRDefault="008A4806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PR"/>
        </w:rPr>
      </w:pPr>
      <w:r w:rsidRPr="008A4806">
        <w:rPr>
          <w:rFonts w:ascii="Book Antiqua" w:eastAsia="Times New Roman" w:hAnsi="Book Antiqua" w:cs="Times New Roman"/>
          <w:sz w:val="28"/>
          <w:szCs w:val="28"/>
          <w:lang w:val="es-PR"/>
        </w:rPr>
        <w:t xml:space="preserve">GOBIERNO DE PUERTO RICO </w:t>
      </w:r>
    </w:p>
    <w:p w14:paraId="231756CE" w14:textId="77777777" w:rsidR="008A4806" w:rsidRPr="008A4806" w:rsidRDefault="008A4806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5169D8A1" w14:textId="77777777" w:rsidR="008A4806" w:rsidRPr="008A4806" w:rsidRDefault="008A4806" w:rsidP="008A4806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>20ma. Asamblea</w:t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          1ra. Sesión</w:t>
      </w:r>
    </w:p>
    <w:p w14:paraId="64A87061" w14:textId="77777777" w:rsidR="008A4806" w:rsidRPr="008A4806" w:rsidRDefault="008A4806" w:rsidP="008A4806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       Legislativa</w:t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                 Ordinaria</w:t>
      </w:r>
    </w:p>
    <w:p w14:paraId="2CEC158D" w14:textId="77777777" w:rsidR="008A4806" w:rsidRPr="008A4806" w:rsidRDefault="008A4806" w:rsidP="008A4806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780393AB" w14:textId="77777777" w:rsidR="008A4806" w:rsidRPr="008A4806" w:rsidRDefault="008A4806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ES_tradnl"/>
        </w:rPr>
      </w:pPr>
      <w:r w:rsidRPr="008A4806">
        <w:rPr>
          <w:rFonts w:ascii="Book Antiqua" w:eastAsia="Times New Roman" w:hAnsi="Book Antiqua" w:cs="Times New Roman"/>
          <w:b/>
          <w:sz w:val="36"/>
          <w:szCs w:val="20"/>
          <w:lang w:val="es-ES_tradnl"/>
        </w:rPr>
        <w:t>CÁMARA DE REPRESENTANTES</w:t>
      </w:r>
    </w:p>
    <w:p w14:paraId="188B208B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2C6C2520" w14:textId="3F537AE9" w:rsidR="0050546E" w:rsidRPr="008041B0" w:rsidRDefault="00522C3D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_tradnl"/>
        </w:rPr>
      </w:pPr>
      <w:r w:rsidRPr="008041B0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P</w:t>
      </w:r>
      <w:r w:rsidR="0050546E" w:rsidRPr="008041B0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. de la C. </w:t>
      </w:r>
      <w:r w:rsidR="00363A5C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288</w:t>
      </w:r>
    </w:p>
    <w:p w14:paraId="4BD9120B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61960C88" w14:textId="58069525" w:rsidR="0050546E" w:rsidRPr="008041B0" w:rsidRDefault="00363A5C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31</w:t>
      </w:r>
      <w:r w:rsidR="0050546E"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</w:t>
      </w:r>
      <w:r w:rsidR="00B07E7A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ENERO</w:t>
      </w:r>
      <w:r w:rsidR="0050546E"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202</w:t>
      </w:r>
      <w:r w:rsidR="00B07E7A">
        <w:rPr>
          <w:rFonts w:ascii="Book Antiqua" w:eastAsia="Times New Roman" w:hAnsi="Book Antiqua" w:cs="Times New Roman"/>
          <w:sz w:val="24"/>
          <w:szCs w:val="20"/>
          <w:lang w:val="es-ES_tradnl"/>
        </w:rPr>
        <w:t>5</w:t>
      </w:r>
    </w:p>
    <w:p w14:paraId="546BA3C2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07627F6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  <w:r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Presentado por el representante </w:t>
      </w:r>
      <w:proofErr w:type="spellStart"/>
      <w:r w:rsidRPr="008041B0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Charbonier</w:t>
      </w:r>
      <w:proofErr w:type="spellEnd"/>
      <w:r w:rsidRPr="008041B0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 Chinea</w:t>
      </w:r>
    </w:p>
    <w:p w14:paraId="0FE7E415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E25B9B1" w14:textId="1CB6AB8B" w:rsidR="0050546E" w:rsidRPr="008041B0" w:rsidRDefault="00AC047A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>Referido a la Comisión</w:t>
      </w:r>
      <w:r w:rsidR="0050546E"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</w:t>
      </w:r>
      <w:r w:rsidR="003F1AE8">
        <w:rPr>
          <w:rFonts w:ascii="Book Antiqua" w:eastAsia="Times New Roman" w:hAnsi="Book Antiqua" w:cs="Times New Roman"/>
          <w:sz w:val="24"/>
          <w:szCs w:val="20"/>
          <w:lang w:val="es-ES_tradnl"/>
        </w:rPr>
        <w:t>Transportación e Infraestructura</w:t>
      </w:r>
    </w:p>
    <w:p w14:paraId="1851A0C2" w14:textId="77777777" w:rsidR="0050546E" w:rsidRPr="008041B0" w:rsidRDefault="0050546E" w:rsidP="00A6275B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0E90E3B5" w14:textId="77777777" w:rsidR="00F274CC" w:rsidRPr="008041B0" w:rsidRDefault="00F274CC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PR"/>
        </w:rPr>
      </w:pPr>
      <w:r w:rsidRPr="008041B0">
        <w:rPr>
          <w:rFonts w:ascii="Book Antiqua" w:eastAsia="Times New Roman" w:hAnsi="Book Antiqua" w:cs="Times New Roman"/>
          <w:b/>
          <w:sz w:val="28"/>
          <w:szCs w:val="28"/>
          <w:lang w:val="es-PR"/>
        </w:rPr>
        <w:t>LEY</w:t>
      </w:r>
    </w:p>
    <w:p w14:paraId="677C5731" w14:textId="77777777" w:rsidR="00F274CC" w:rsidRPr="008041B0" w:rsidRDefault="00F274CC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2829D4BC" w14:textId="01067B8F" w:rsidR="00F274CC" w:rsidRPr="008041B0" w:rsidRDefault="00F274CC" w:rsidP="00A6275B">
      <w:pPr>
        <w:suppressLineNumbers/>
        <w:spacing w:after="0" w:line="240" w:lineRule="auto"/>
        <w:ind w:left="720" w:hanging="720"/>
        <w:jc w:val="both"/>
        <w:rPr>
          <w:rFonts w:ascii="Book Antiqua" w:eastAsia="MS Mincho" w:hAnsi="Book Antiqua" w:cs="Times New Roman"/>
          <w:sz w:val="24"/>
          <w:szCs w:val="20"/>
          <w:lang w:val="es-ES_tradnl"/>
        </w:rPr>
      </w:pP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Para designar </w:t>
      </w:r>
      <w:r w:rsidR="00455C2E"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>la Ca</w:t>
      </w:r>
      <w:r w:rsidR="00563C85"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>rretera PR-39 conocida como la c</w:t>
      </w:r>
      <w:r w:rsidR="00455C2E"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alle Cerra en Santurce del Municipio de San Juan </w:t>
      </w: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como “Centro Gastronómico y Cultural Metropolitano”; autorizar a la Compañía de Turismo de Puerto Rico y al Instituto de Cultura Puertorriqueña </w:t>
      </w:r>
      <w:r w:rsidRPr="0038726D">
        <w:rPr>
          <w:rFonts w:ascii="Book Antiqua" w:eastAsia="MS Mincho" w:hAnsi="Book Antiqua" w:cs="Times New Roman"/>
          <w:strike/>
          <w:sz w:val="24"/>
          <w:szCs w:val="20"/>
          <w:lang w:val="es-ES_tradnl"/>
        </w:rPr>
        <w:t>al desarrollo conjunto de</w:t>
      </w: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 </w:t>
      </w:r>
      <w:r w:rsidR="0038726D" w:rsidRPr="0038726D">
        <w:rPr>
          <w:rFonts w:ascii="Book Antiqua" w:eastAsia="MS Mincho" w:hAnsi="Book Antiqua" w:cs="Times New Roman"/>
          <w:i/>
          <w:iCs/>
          <w:sz w:val="24"/>
          <w:szCs w:val="20"/>
          <w:u w:val="single"/>
          <w:lang w:val="es-ES_tradnl"/>
        </w:rPr>
        <w:t>a desarrollar conjuntamente</w:t>
      </w:r>
      <w:r w:rsidR="0038726D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 </w:t>
      </w: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planes de mercadeo, promoción y apoyo </w:t>
      </w:r>
      <w:r w:rsidRPr="0038726D">
        <w:rPr>
          <w:rFonts w:ascii="Book Antiqua" w:eastAsia="MS Mincho" w:hAnsi="Book Antiqua" w:cs="Times New Roman"/>
          <w:strike/>
          <w:sz w:val="24"/>
          <w:szCs w:val="20"/>
          <w:lang w:val="es-ES_tradnl"/>
        </w:rPr>
        <w:t>de</w:t>
      </w: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 </w:t>
      </w:r>
      <w:r w:rsidR="0038726D" w:rsidRPr="0038726D">
        <w:rPr>
          <w:rFonts w:ascii="Book Antiqua" w:eastAsia="MS Mincho" w:hAnsi="Book Antiqua" w:cs="Times New Roman"/>
          <w:i/>
          <w:iCs/>
          <w:sz w:val="24"/>
          <w:szCs w:val="20"/>
          <w:u w:val="single"/>
          <w:lang w:val="es-ES_tradnl"/>
        </w:rPr>
        <w:t>a</w:t>
      </w:r>
      <w:r w:rsidR="0038726D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 </w:t>
      </w: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>estos sectores</w:t>
      </w:r>
      <w:r w:rsidR="0038726D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 </w:t>
      </w:r>
      <w:r w:rsidR="0038726D" w:rsidRPr="0038726D">
        <w:rPr>
          <w:rFonts w:ascii="Book Antiqua" w:eastAsia="MS Mincho" w:hAnsi="Book Antiqua" w:cs="Times New Roman"/>
          <w:i/>
          <w:iCs/>
          <w:sz w:val="24"/>
          <w:szCs w:val="20"/>
          <w:u w:val="single"/>
          <w:lang w:val="es-ES_tradnl"/>
        </w:rPr>
        <w:t>gastronómicos y culturales</w:t>
      </w: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; y para otros fines relacionados. </w:t>
      </w:r>
    </w:p>
    <w:p w14:paraId="67D2F348" w14:textId="77777777" w:rsidR="0050546E" w:rsidRPr="008041B0" w:rsidRDefault="0050546E" w:rsidP="00A6275B">
      <w:pPr>
        <w:suppressLineNumbers/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22CBF9D5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8041B0">
        <w:rPr>
          <w:rFonts w:ascii="Book Antiqua" w:eastAsia="Times New Roman" w:hAnsi="Book Antiqua" w:cs="Times New Roman"/>
          <w:sz w:val="24"/>
          <w:szCs w:val="20"/>
          <w:lang w:val="es-PR"/>
        </w:rPr>
        <w:t>EXPOSICIÓN DE MOTIVOS</w:t>
      </w:r>
    </w:p>
    <w:p w14:paraId="063C30B5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4E253870" w14:textId="1F3E12D5" w:rsidR="00C13A7F" w:rsidRPr="008041B0" w:rsidRDefault="00563C85" w:rsidP="00A6275B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ES_tradnl"/>
        </w:rPr>
        <w:tab/>
      </w:r>
      <w:r w:rsidR="00077062" w:rsidRPr="00013337">
        <w:rPr>
          <w:rFonts w:ascii="Book Antiqua" w:eastAsia="Times New Roman" w:hAnsi="Book Antiqua" w:cs="Times New Roman"/>
          <w:sz w:val="24"/>
          <w:szCs w:val="24"/>
          <w:lang w:val="es-ES_tradnl"/>
        </w:rPr>
        <w:t>L</w:t>
      </w:r>
      <w:r w:rsidR="00077062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>a calle C</w:t>
      </w:r>
      <w:r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>erra</w:t>
      </w:r>
      <w:r w:rsidR="00077062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tiene una </w:t>
      </w:r>
      <w:r w:rsidR="00077062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larga</w:t>
      </w:r>
      <w:r w:rsidR="00077062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historia</w:t>
      </w:r>
      <w:r w:rsidR="00013337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13337" w:rsidRP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rica</w:t>
      </w:r>
      <w:r w:rsidR="00077062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77062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de</w:t>
      </w:r>
      <w:r w:rsidR="00077062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13337" w:rsidRP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en</w:t>
      </w:r>
      <w:r w:rsidR="00013337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77062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desarrollo, transformación y cultura. 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Esta legendaria calle de Santurce </w:t>
      </w:r>
      <w:r w:rsidR="00851CB6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>hace más de 3 décadas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albergó algunas de las discográficas y oficinas más importantes de la salsa, incluida la famosa </w:t>
      </w:r>
      <w:proofErr w:type="spellStart"/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>Fania</w:t>
      </w:r>
      <w:proofErr w:type="spellEnd"/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proofErr w:type="spellStart"/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>Records</w:t>
      </w:r>
      <w:proofErr w:type="spellEnd"/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  <w:proofErr w:type="gramStart"/>
      <w:r w:rsidR="00851CB6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Cuando</w:t>
      </w:r>
      <w:proofErr w:type="gramEnd"/>
      <w:r w:rsidR="00013337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13337" w:rsidRP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Sin embargo, cuando</w:t>
      </w:r>
      <w:r w:rsidR="00851CB6" w:rsidRP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 xml:space="preserve"> </w:t>
      </w:r>
      <w:r w:rsidR="00851CB6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>la tecnología y la internet transformaron la industria disquera fueron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cerraron</w:t>
      </w:r>
      <w:r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los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sellos discográficos 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>y las oficinas</w:t>
      </w:r>
      <w:r w:rsidR="00D76E1D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  <w:r w:rsidR="008A054C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Todo e</w:t>
      </w:r>
      <w:r w:rsidR="00D76E1D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sto causó</w:t>
      </w:r>
      <w:r w:rsidR="00D76E1D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13337" w:rsidRP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Esto contribuyó</w:t>
      </w:r>
      <w:r w:rsidR="00013337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D76E1D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que 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>la calle fue</w:t>
      </w:r>
      <w:r w:rsidR="00D76E1D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>ra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descuidada</w:t>
      </w:r>
      <w:r w:rsidR="008A054C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y se convirtió</w:t>
      </w:r>
      <w:r w:rsidR="00851CB6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en un área peligrosa y deprimida económicamente.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A054C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 xml:space="preserve">La misma </w:t>
      </w:r>
      <w:r w:rsidR="00EC2B3B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 xml:space="preserve">no fue rehabilitada hasta los últimos años cuando un </w:t>
      </w:r>
      <w:r w:rsidR="008A054C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grup</w:t>
      </w:r>
      <w:r w:rsidR="00EC2B3B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o de empresarios locales revivieron la calle</w:t>
      </w:r>
      <w:r w:rsidR="00013337" w:rsidRPr="00013337">
        <w:rPr>
          <w:strike/>
          <w:lang w:val="es-419"/>
        </w:rPr>
        <w:t xml:space="preserve"> </w:t>
      </w:r>
      <w:r w:rsidR="00EC2B3B" w:rsidRPr="00013337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con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013337" w:rsidRP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419"/>
        </w:rPr>
        <w:t>Afortunadamente, en los últimos años, un grupo de empresarios locales ha logrado revitalizar esta histórica calle</w:t>
      </w:r>
      <w:r w:rsid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419"/>
        </w:rPr>
        <w:t>,</w:t>
      </w:r>
      <w:r w:rsidR="00013337" w:rsidRP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419"/>
        </w:rPr>
        <w:t xml:space="preserve"> </w:t>
      </w:r>
      <w:r w:rsid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419"/>
        </w:rPr>
        <w:t>a</w:t>
      </w:r>
      <w:r w:rsidR="00013337" w:rsidRPr="00013337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419"/>
        </w:rPr>
        <w:t xml:space="preserve"> través de la incorporación de </w:t>
      </w:r>
      <w:r w:rsidR="00EC2B3B" w:rsidRPr="0001333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nuevos restaurantes, bares y murales. </w:t>
      </w:r>
    </w:p>
    <w:p w14:paraId="04F312BB" w14:textId="77777777" w:rsidR="00C13A7F" w:rsidRPr="008041B0" w:rsidRDefault="00C13A7F" w:rsidP="00A6275B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7C2254F0" w14:textId="4CD7CF89" w:rsidR="008B276D" w:rsidRPr="008041B0" w:rsidRDefault="008B276D" w:rsidP="008B276D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proofErr w:type="gramStart"/>
      <w:r w:rsidR="009205F6" w:rsidRPr="003C07A5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La</w:t>
      </w:r>
      <w:proofErr w:type="gramEnd"/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3C07A5" w:rsidRPr="003C07A5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Además, la</w:t>
      </w:r>
      <w:r w:rsidR="003C07A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131E04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calle Cerra se ha convertido en uno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los lugares más </w:t>
      </w:r>
      <w:r w:rsidRPr="003C07A5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alegóricos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3C07A5" w:rsidRPr="003C07A5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emblemáticos</w:t>
      </w:r>
      <w:r w:rsidR="003C07A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y culturales de</w:t>
      </w:r>
      <w:r w:rsidR="00131E04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San Juan y de todo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Puerto Rico,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siendo 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representativo de nuestra diversidad y excelencia en gastronomía.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</w:t>
      </w:r>
      <w:r w:rsidR="00947D83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 </w:t>
      </w:r>
      <w:r w:rsidR="00947D83" w:rsidRPr="003C07A5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ampliación</w:t>
      </w:r>
      <w:r w:rsidR="00947D83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3C07A5" w:rsidRPr="003C07A5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expansión</w:t>
      </w:r>
      <w:r w:rsidR="003C07A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947D83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del área con </w:t>
      </w:r>
      <w:r w:rsidR="00947D83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>venta de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productos locales, la construcción de</w:t>
      </w:r>
      <w:r w:rsidR="003C07A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3C07A5" w:rsidRPr="003C07A5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nuevos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locales y el establecimiento de restaurantes y barras</w:t>
      </w:r>
      <w:r w:rsidR="003C07A5" w:rsidRPr="003C07A5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,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integrando elementos culinarios locales e internacionales</w:t>
      </w:r>
      <w:r w:rsidR="003C07A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3C07A5" w:rsidRPr="003C07A5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en donde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A054C" w:rsidRPr="006B001F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ofrecen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6B001F" w:rsidRPr="006B001F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brindan</w:t>
      </w:r>
      <w:r w:rsidR="006B001F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una oferta gastronómica exquisita en el área.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 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Parte de las actividades que se ofrecen en la calle es la celebración del Festival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“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Santurce es Ley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”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el cual expone a Puerto Rico a nivel mundial, donde se invita a muralistas locales e internacionales a usar la calle como lienzo en blanco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para que puedan expresar y realizar su arte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</w:p>
    <w:p w14:paraId="4C21868E" w14:textId="77777777" w:rsidR="009205F6" w:rsidRPr="008041B0" w:rsidRDefault="009205F6" w:rsidP="00A6275B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3D33C9BB" w14:textId="77777777" w:rsidR="009205F6" w:rsidRPr="008041B0" w:rsidRDefault="009205F6" w:rsidP="008B276D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Su transformación ha sido </w:t>
      </w:r>
      <w:r w:rsidR="00DF1219" w:rsidRPr="006B001F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una</w:t>
      </w:r>
      <w:r w:rsidR="00DF1219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gran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magnitud </w:t>
      </w:r>
      <w:r w:rsidR="00DF1219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convirtiendo la calle Cerra en un luga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r de referencia gastronómica y cultural</w:t>
      </w:r>
      <w:r w:rsidRPr="006B001F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, con muy buenas y variadas opciones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  <w:r w:rsidR="006C01B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Su variedad gastronómica es reconocida local e internacionalmente y se perfila como una de las zonas de mayor crecimiento gastronómico, económico y cultural del área metropolitana. </w:t>
      </w:r>
    </w:p>
    <w:p w14:paraId="06CEE41A" w14:textId="77777777" w:rsidR="00E156AF" w:rsidRPr="008041B0" w:rsidRDefault="00E156AF" w:rsidP="008B276D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4A1172C4" w14:textId="5C26EC58" w:rsidR="00773F76" w:rsidRPr="008041B0" w:rsidRDefault="009205F6" w:rsidP="00A6275B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Reconociendo </w:t>
      </w:r>
      <w:r w:rsidRPr="006B001F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este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6B001F" w:rsidRPr="006B001F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el notable</w:t>
      </w:r>
      <w:r w:rsidR="006B001F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crecimiento gastronómico que ha despuntado en la Isla, </w:t>
      </w:r>
      <w:r w:rsidRPr="006B001F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en conjunción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6B001F" w:rsidRPr="006B001F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junto</w:t>
      </w:r>
      <w:r w:rsidR="006B001F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con la preservación cultural que se encuentra inmer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sa en este sector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la Ciudad Capital, es meritorio de esta Asamblea Legislativa declarar a 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la Calle Cerra de Santurce como “Centro Gastronómico y Cultural Metropolitano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”, con el 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fin de reconocer este sector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como p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ilar gastronómico</w:t>
      </w:r>
      <w:r w:rsidR="006B001F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6B001F" w:rsidRPr="006B001F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y cultural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que 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 su vez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redunde en beneficios económicos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para este sector en Santurce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</w:p>
    <w:p w14:paraId="1A6CA152" w14:textId="77777777" w:rsidR="007100FF" w:rsidRPr="008041B0" w:rsidRDefault="007100FF" w:rsidP="00A6275B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547591A4" w14:textId="77777777" w:rsidR="009205F6" w:rsidRPr="008041B0" w:rsidRDefault="00307CAE" w:rsidP="00A6275B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igual forma, </w:t>
      </w:r>
      <w:r w:rsidR="008041B0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 busca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que se 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reconozca su aportación a nuestro crecimiento como pueblo para beneficio de estas y futuras generaciones. Con la presente medida se pretende además realzar el valor turístico de </w:t>
      </w:r>
      <w:r w:rsidR="008041B0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este sector en Santurce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con el fin de que la planificación y promoción que se den a los mismos, en virtud de esta Ley, propendan a aportar al crecimiento económico de la región y que se instituya e imparta un sello gastronómico y cultural a </w:t>
      </w:r>
      <w:r w:rsidR="008041B0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la calle Cerra.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</w:p>
    <w:p w14:paraId="3D612C07" w14:textId="77777777" w:rsidR="0050546E" w:rsidRPr="008041B0" w:rsidRDefault="0050546E" w:rsidP="00A6275B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iCs/>
          <w:sz w:val="24"/>
          <w:szCs w:val="24"/>
          <w:lang w:val="es-PR"/>
        </w:rPr>
      </w:pPr>
    </w:p>
    <w:p w14:paraId="53E2CE27" w14:textId="77777777" w:rsidR="00621E4F" w:rsidRPr="008041B0" w:rsidRDefault="00621E4F" w:rsidP="00A6275B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bCs/>
          <w:i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i/>
          <w:color w:val="000000"/>
          <w:sz w:val="24"/>
          <w:szCs w:val="24"/>
          <w:lang w:val="es-PR"/>
        </w:rPr>
        <w:t xml:space="preserve">DECRÉTASE POR LA ASAMBLEA LEGISLATIVA DE PUERTO RICO: </w:t>
      </w:r>
    </w:p>
    <w:p w14:paraId="3F0B7E31" w14:textId="77777777" w:rsidR="00621E4F" w:rsidRPr="008041B0" w:rsidRDefault="00621E4F" w:rsidP="00A6275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sz w:val="24"/>
          <w:szCs w:val="24"/>
          <w:lang w:val="es-PR"/>
        </w:rPr>
      </w:pPr>
    </w:p>
    <w:p w14:paraId="36F4F757" w14:textId="6885F8FB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Artículo 1.-Se </w:t>
      </w:r>
      <w:r w:rsidRPr="005A782E">
        <w:rPr>
          <w:rFonts w:ascii="Book Antiqua" w:eastAsia="Times New Roman" w:hAnsi="Book Antiqua" w:cs="Times New Roman"/>
          <w:bCs/>
          <w:strike/>
          <w:color w:val="000000"/>
          <w:sz w:val="24"/>
          <w:szCs w:val="24"/>
          <w:lang w:val="es-PR"/>
        </w:rPr>
        <w:t>declara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</w:t>
      </w:r>
      <w:r w:rsidR="005A782E" w:rsidRPr="005A782E">
        <w:rPr>
          <w:rFonts w:ascii="Book Antiqua" w:eastAsia="Times New Roman" w:hAnsi="Book Antiqua" w:cs="Times New Roman"/>
          <w:bCs/>
          <w:i/>
          <w:iCs/>
          <w:color w:val="000000"/>
          <w:sz w:val="24"/>
          <w:szCs w:val="24"/>
          <w:u w:val="single"/>
          <w:lang w:val="es-PR"/>
        </w:rPr>
        <w:t>designa</w:t>
      </w:r>
      <w:r w:rsidR="005A782E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la 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Carretera PR-39 conocida como la </w:t>
      </w:r>
      <w:r w:rsidR="00EA58DF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c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alle C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erra en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Santurce del Municipio de San Juan como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“Centro Gastronómico y Cultural Metropolitano</w:t>
      </w:r>
      <w:r w:rsidR="00CD77C7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”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.</w:t>
      </w:r>
    </w:p>
    <w:p w14:paraId="6EC1A0C4" w14:textId="77777777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Artículo 2.-Se ordena a la Compañía de Turismo de Puerto Rico y al Instituto de Cultura Puertorriqueña </w:t>
      </w:r>
      <w:r w:rsidRPr="005A782E">
        <w:rPr>
          <w:rFonts w:ascii="Book Antiqua" w:eastAsia="Times New Roman" w:hAnsi="Book Antiqua" w:cs="Times New Roman"/>
          <w:bCs/>
          <w:strike/>
          <w:color w:val="000000"/>
          <w:sz w:val="24"/>
          <w:szCs w:val="24"/>
          <w:lang w:val="es-PR"/>
        </w:rPr>
        <w:t>a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integrar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la 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Ca</w:t>
      </w:r>
      <w:r w:rsidR="00EA58DF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rretera PR-39 conocida como la c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alle Cerra en Santurce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y sus comercios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dentro de sus planes de desarrollo turístico y cultural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. Ambas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lastRenderedPageBreak/>
        <w:t>entidades integrará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n además dentro de dichos planes al Municipio Autónomo de San Juan.</w:t>
      </w:r>
    </w:p>
    <w:p w14:paraId="15416914" w14:textId="40D213B8" w:rsidR="00621E4F" w:rsidRPr="00491A9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Artículo 3.-Se ordena a la Compañía de Turismo de Puerto Rico y al Instituto de Cultura Puertorriqueña </w:t>
      </w:r>
      <w:r w:rsidRPr="005A782E">
        <w:rPr>
          <w:rFonts w:ascii="Book Antiqua" w:eastAsia="Times New Roman" w:hAnsi="Book Antiqua" w:cs="Times New Roman"/>
          <w:bCs/>
          <w:strike/>
          <w:color w:val="000000"/>
          <w:sz w:val="24"/>
          <w:szCs w:val="24"/>
          <w:lang w:val="es-ES"/>
        </w:rPr>
        <w:t>a preparar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</w:t>
      </w:r>
      <w:r w:rsidR="005A782E" w:rsidRPr="005A782E">
        <w:rPr>
          <w:rFonts w:ascii="Book Antiqua" w:eastAsia="Times New Roman" w:hAnsi="Book Antiqua" w:cs="Times New Roman"/>
          <w:bCs/>
          <w:i/>
          <w:iCs/>
          <w:color w:val="000000"/>
          <w:sz w:val="24"/>
          <w:szCs w:val="24"/>
          <w:u w:val="single"/>
          <w:lang w:val="es-ES"/>
        </w:rPr>
        <w:t>la preparación de</w:t>
      </w:r>
      <w:r w:rsidR="005A782E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un plan integrado conjunto de desarrollo que incluya una adecuada promoción, mercadeo y adiestramientos a los comerciantes del área, para adelantar los propósitos de esta Ley. </w:t>
      </w:r>
      <w:r w:rsidRPr="005A782E">
        <w:rPr>
          <w:rFonts w:ascii="Book Antiqua" w:eastAsia="Times New Roman" w:hAnsi="Book Antiqua" w:cs="Times New Roman"/>
          <w:bCs/>
          <w:strike/>
          <w:color w:val="000000"/>
          <w:sz w:val="24"/>
          <w:szCs w:val="24"/>
          <w:lang w:val="es-ES"/>
        </w:rPr>
        <w:t>Ambas entidades gubernamentales integrarán al Municipio de Autónomo de San Juan, y a las entidades públicas y privadas que entiendan necesarias para lograr el cometido de esta Ley</w:t>
      </w:r>
      <w:r w:rsidRPr="00491A90">
        <w:rPr>
          <w:rFonts w:ascii="Book Antiqua" w:eastAsia="Times New Roman" w:hAnsi="Book Antiqua" w:cs="Times New Roman"/>
          <w:bCs/>
          <w:strike/>
          <w:color w:val="000000"/>
          <w:sz w:val="24"/>
          <w:szCs w:val="24"/>
          <w:lang w:val="es-ES"/>
        </w:rPr>
        <w:t>.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En dicho plan integrado se orientar</w:t>
      </w:r>
      <w:r w:rsidRPr="008041B0">
        <w:rPr>
          <w:rFonts w:ascii="Book Antiqua" w:eastAsia="Times New Roman" w:hAnsi="Book Antiqua" w:cs="Calibri"/>
          <w:bCs/>
          <w:color w:val="000000"/>
          <w:sz w:val="24"/>
          <w:szCs w:val="24"/>
          <w:lang w:val="es-ES"/>
        </w:rPr>
        <w:t>á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además de todo derecho contributivo, laboral o de cualquier índole al que pudieran acogerse</w:t>
      </w:r>
      <w:r w:rsid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</w:t>
      </w:r>
      <w:r w:rsidR="00491A90" w:rsidRPr="00491A90">
        <w:rPr>
          <w:rFonts w:ascii="Book Antiqua" w:eastAsia="Times New Roman" w:hAnsi="Book Antiqua" w:cs="Times New Roman"/>
          <w:bCs/>
          <w:i/>
          <w:iCs/>
          <w:color w:val="000000"/>
          <w:sz w:val="24"/>
          <w:szCs w:val="24"/>
          <w:u w:val="single"/>
          <w:lang w:val="es-ES"/>
        </w:rPr>
        <w:t>los comerciantes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. </w:t>
      </w:r>
      <w:r w:rsidR="00491A90" w:rsidRPr="00491A90">
        <w:rPr>
          <w:rFonts w:ascii="Book Antiqua" w:eastAsia="Times New Roman" w:hAnsi="Book Antiqua" w:cs="Times New Roman"/>
          <w:bCs/>
          <w:i/>
          <w:iCs/>
          <w:color w:val="000000"/>
          <w:sz w:val="24"/>
          <w:szCs w:val="24"/>
          <w:u w:val="single"/>
          <w:lang w:val="es-PR"/>
        </w:rPr>
        <w:t>En el diseño de este Plan, la Compañía de Turismo de Puerto Rico y el Instituto de Cultura Puertorriqueña podrán establecer acuerdos de colaboración con agencias gubernamentales y entidades sin fines de lucro dedicadas al turismo y la cultura. Además, deberán integrar al Municipio Autónomo de San Juan como parte esencial del proceso</w:t>
      </w:r>
      <w:r w:rsidR="00491A90">
        <w:rPr>
          <w:rFonts w:ascii="Book Antiqua" w:eastAsia="Times New Roman" w:hAnsi="Book Antiqua" w:cs="Times New Roman"/>
          <w:bCs/>
          <w:i/>
          <w:iCs/>
          <w:color w:val="000000"/>
          <w:sz w:val="24"/>
          <w:szCs w:val="24"/>
          <w:u w:val="single"/>
          <w:lang w:val="es-PR"/>
        </w:rPr>
        <w:t>.</w:t>
      </w:r>
    </w:p>
    <w:p w14:paraId="0968F112" w14:textId="657F10C8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Artículo 4.-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Se faculta a la 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Compañía de Turismo de Puerto Rico y al Instituto de Cultura Puertorriqueña a adoptar toda la reglamentación necesaria para cumplir los propósitos de la presente Ley dentro del término de </w:t>
      </w:r>
      <w:r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ciento </w:t>
      </w:r>
      <w:r w:rsidR="00AC047A"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ochenta</w:t>
      </w:r>
      <w:r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(</w:t>
      </w:r>
      <w:r w:rsidR="00AC047A"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18</w:t>
      </w:r>
      <w:r w:rsidRPr="00491A9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0)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días contados a partir de la aprobación de </w:t>
      </w:r>
      <w:r w:rsidR="008A4806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esta</w:t>
      </w:r>
      <w:r w:rsidR="006B001F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</w:t>
      </w:r>
      <w:r w:rsidR="006B001F" w:rsidRPr="006B001F">
        <w:rPr>
          <w:rFonts w:ascii="Book Antiqua" w:eastAsia="Times New Roman" w:hAnsi="Book Antiqua" w:cs="Times New Roman"/>
          <w:bCs/>
          <w:i/>
          <w:iCs/>
          <w:color w:val="000000"/>
          <w:sz w:val="24"/>
          <w:szCs w:val="24"/>
          <w:u w:val="single"/>
          <w:lang w:val="es-ES"/>
        </w:rPr>
        <w:t>Ley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. </w:t>
      </w:r>
    </w:p>
    <w:p w14:paraId="19F4F9FC" w14:textId="77777777" w:rsidR="00D31406" w:rsidRPr="00773F76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4"/>
          <w:lang w:val="es-ES"/>
        </w:rPr>
      </w:pPr>
      <w:r w:rsidRPr="008041B0">
        <w:rPr>
          <w:rFonts w:ascii="Book Antiqua" w:eastAsia="Times New Roman" w:hAnsi="Book Antiqua" w:cs="Times New Roman"/>
          <w:bCs/>
          <w:sz w:val="24"/>
          <w:szCs w:val="24"/>
          <w:lang w:val="es-ES"/>
        </w:rPr>
        <w:t>Artículo 5.-Esta Ley comenzará a regir inmediatamente después de su aprobación.</w:t>
      </w:r>
    </w:p>
    <w:sectPr w:rsidR="00D31406" w:rsidRPr="00773F76" w:rsidSect="0078165D">
      <w:headerReference w:type="even" r:id="rId6"/>
      <w:headerReference w:type="default" r:id="rId7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C081F" w14:textId="77777777" w:rsidR="002700C8" w:rsidRDefault="002700C8" w:rsidP="0050546E">
      <w:pPr>
        <w:spacing w:after="0" w:line="240" w:lineRule="auto"/>
      </w:pPr>
      <w:r>
        <w:separator/>
      </w:r>
    </w:p>
  </w:endnote>
  <w:endnote w:type="continuationSeparator" w:id="0">
    <w:p w14:paraId="6384070C" w14:textId="77777777" w:rsidR="002700C8" w:rsidRDefault="002700C8" w:rsidP="00505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1AA77" w14:textId="77777777" w:rsidR="002700C8" w:rsidRDefault="002700C8" w:rsidP="0050546E">
      <w:pPr>
        <w:spacing w:after="0" w:line="240" w:lineRule="auto"/>
      </w:pPr>
      <w:r>
        <w:separator/>
      </w:r>
    </w:p>
  </w:footnote>
  <w:footnote w:type="continuationSeparator" w:id="0">
    <w:p w14:paraId="5B1E7431" w14:textId="77777777" w:rsidR="002700C8" w:rsidRDefault="002700C8" w:rsidP="00505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AEC1F" w14:textId="77777777" w:rsidR="0050546E" w:rsidRDefault="0050546E" w:rsidP="00110B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715554" w14:textId="77777777" w:rsidR="0050546E" w:rsidRDefault="005054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8EC04" w14:textId="77777777" w:rsidR="0050546E" w:rsidRDefault="0050546E" w:rsidP="00110B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41B0">
      <w:rPr>
        <w:rStyle w:val="PageNumber"/>
        <w:noProof/>
      </w:rPr>
      <w:t>3</w:t>
    </w:r>
    <w:r>
      <w:rPr>
        <w:rStyle w:val="PageNumber"/>
      </w:rPr>
      <w:fldChar w:fldCharType="end"/>
    </w:r>
  </w:p>
  <w:p w14:paraId="66535A13" w14:textId="77777777" w:rsidR="0050546E" w:rsidRDefault="005054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46E"/>
    <w:rsid w:val="00013337"/>
    <w:rsid w:val="00077062"/>
    <w:rsid w:val="000B232D"/>
    <w:rsid w:val="001316E4"/>
    <w:rsid w:val="00131E04"/>
    <w:rsid w:val="001945BE"/>
    <w:rsid w:val="001F2DDD"/>
    <w:rsid w:val="002700C8"/>
    <w:rsid w:val="00307CAE"/>
    <w:rsid w:val="00363A5C"/>
    <w:rsid w:val="0038726D"/>
    <w:rsid w:val="00387EB6"/>
    <w:rsid w:val="003C07A5"/>
    <w:rsid w:val="003F1AE8"/>
    <w:rsid w:val="00455C2E"/>
    <w:rsid w:val="00464255"/>
    <w:rsid w:val="00491A90"/>
    <w:rsid w:val="0050546E"/>
    <w:rsid w:val="00522C3D"/>
    <w:rsid w:val="00530994"/>
    <w:rsid w:val="00563C85"/>
    <w:rsid w:val="005A782E"/>
    <w:rsid w:val="00611795"/>
    <w:rsid w:val="00621E4F"/>
    <w:rsid w:val="006A7AB2"/>
    <w:rsid w:val="006B001F"/>
    <w:rsid w:val="006C01BC"/>
    <w:rsid w:val="007100FF"/>
    <w:rsid w:val="00753253"/>
    <w:rsid w:val="00773F76"/>
    <w:rsid w:val="007A59B3"/>
    <w:rsid w:val="008041B0"/>
    <w:rsid w:val="0081250B"/>
    <w:rsid w:val="00851CB6"/>
    <w:rsid w:val="00882B5F"/>
    <w:rsid w:val="008A054C"/>
    <w:rsid w:val="008A4806"/>
    <w:rsid w:val="008B276D"/>
    <w:rsid w:val="009205F6"/>
    <w:rsid w:val="00947D83"/>
    <w:rsid w:val="00950162"/>
    <w:rsid w:val="00A51424"/>
    <w:rsid w:val="00A6275B"/>
    <w:rsid w:val="00A62F6C"/>
    <w:rsid w:val="00AC047A"/>
    <w:rsid w:val="00B0352C"/>
    <w:rsid w:val="00B07E7A"/>
    <w:rsid w:val="00B90798"/>
    <w:rsid w:val="00C13A7F"/>
    <w:rsid w:val="00C1468D"/>
    <w:rsid w:val="00CB6BE5"/>
    <w:rsid w:val="00CC18A1"/>
    <w:rsid w:val="00CD77C7"/>
    <w:rsid w:val="00D31406"/>
    <w:rsid w:val="00D76E1D"/>
    <w:rsid w:val="00DC49F8"/>
    <w:rsid w:val="00DD6D1E"/>
    <w:rsid w:val="00DF1219"/>
    <w:rsid w:val="00DF6227"/>
    <w:rsid w:val="00E156AF"/>
    <w:rsid w:val="00EA58DF"/>
    <w:rsid w:val="00EC2B3B"/>
    <w:rsid w:val="00F274CC"/>
    <w:rsid w:val="00F439AA"/>
    <w:rsid w:val="00FB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E1809"/>
  <w15:chartTrackingRefBased/>
  <w15:docId w15:val="{9442F864-B087-4419-8BE7-D0A30DE6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54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546E"/>
  </w:style>
  <w:style w:type="character" w:styleId="PageNumber">
    <w:name w:val="page number"/>
    <w:basedOn w:val="DefaultParagraphFont"/>
    <w:rsid w:val="0050546E"/>
  </w:style>
  <w:style w:type="paragraph" w:styleId="FootnoteText">
    <w:name w:val="footnote text"/>
    <w:basedOn w:val="Normal"/>
    <w:link w:val="FootnoteTextChar"/>
    <w:uiPriority w:val="99"/>
    <w:semiHidden/>
    <w:unhideWhenUsed/>
    <w:rsid w:val="0050546E"/>
    <w:pPr>
      <w:spacing w:after="200" w:line="276" w:lineRule="auto"/>
    </w:pPr>
    <w:rPr>
      <w:rFonts w:ascii="Calibri" w:eastAsia="Calibri" w:hAnsi="Calibri" w:cs="Times New Roman"/>
      <w:sz w:val="20"/>
      <w:szCs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546E"/>
    <w:rPr>
      <w:rFonts w:ascii="Calibri" w:eastAsia="Calibri" w:hAnsi="Calibri" w:cs="Times New Roman"/>
      <w:sz w:val="20"/>
      <w:szCs w:val="20"/>
      <w:lang w:val="es-PR"/>
    </w:rPr>
  </w:style>
  <w:style w:type="character" w:styleId="FootnoteReference">
    <w:name w:val="footnote reference"/>
    <w:uiPriority w:val="99"/>
    <w:semiHidden/>
    <w:unhideWhenUsed/>
    <w:rsid w:val="0050546E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50546E"/>
  </w:style>
  <w:style w:type="paragraph" w:styleId="BalloonText">
    <w:name w:val="Balloon Text"/>
    <w:basedOn w:val="Normal"/>
    <w:link w:val="BalloonTextChar"/>
    <w:uiPriority w:val="99"/>
    <w:semiHidden/>
    <w:unhideWhenUsed/>
    <w:rsid w:val="0080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84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833</Words>
  <Characters>4750</Characters>
  <Application>Microsoft Office Word</Application>
  <DocSecurity>4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Víctor S. Berríos Sierra</dc:creator>
  <cp:keywords/>
  <dc:description/>
  <cp:lastModifiedBy>Camyl Moreno Pantojas</cp:lastModifiedBy>
  <cp:revision>2</cp:revision>
  <cp:lastPrinted>2021-09-29T21:42:00Z</cp:lastPrinted>
  <dcterms:created xsi:type="dcterms:W3CDTF">2025-05-06T19:36:00Z</dcterms:created>
  <dcterms:modified xsi:type="dcterms:W3CDTF">2025-05-06T19:36:00Z</dcterms:modified>
</cp:coreProperties>
</file>