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A59A1" w14:textId="77777777" w:rsidR="00131523" w:rsidRPr="00131523" w:rsidRDefault="00131523" w:rsidP="00131523">
      <w:pPr>
        <w:suppressLineNumbers/>
        <w:suppressAutoHyphen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bookmarkStart w:id="0" w:name="_Hlk138253982"/>
      <w:r w:rsidRPr="00131523">
        <w:rPr>
          <w:rFonts w:ascii="Book Antiqua" w:eastAsia="Times New Roman" w:hAnsi="Book Antiqua" w:cs="Times New Roman"/>
          <w:b/>
          <w:bCs/>
          <w:sz w:val="28"/>
          <w:szCs w:val="28"/>
          <w:lang w:val="es-PR"/>
        </w:rPr>
        <w:t>(</w:t>
      </w:r>
      <w:r w:rsidRPr="00131523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TEXTO DE APROBACIÓN FINAL POR LA CÁMARA)</w:t>
      </w:r>
      <w:r w:rsidRPr="00131523">
        <w:rPr>
          <w:rFonts w:ascii="Book Antiqua" w:eastAsia="Times New Roman" w:hAnsi="Book Antiqua" w:cs="Times New Roman"/>
          <w:b/>
          <w:bCs/>
          <w:sz w:val="24"/>
          <w:szCs w:val="24"/>
          <w:lang w:val="es-ES"/>
        </w:rPr>
        <w:fldChar w:fldCharType="begin"/>
      </w:r>
      <w:r w:rsidRPr="00131523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instrText xml:space="preserve">PRIVATE </w:instrText>
      </w:r>
      <w:r w:rsidRPr="00131523">
        <w:rPr>
          <w:rFonts w:ascii="Book Antiqua" w:eastAsia="Times New Roman" w:hAnsi="Book Antiqua" w:cs="Times New Roman"/>
          <w:b/>
          <w:bCs/>
          <w:sz w:val="24"/>
          <w:szCs w:val="24"/>
          <w:lang w:val="es-ES"/>
        </w:rPr>
        <w:fldChar w:fldCharType="end"/>
      </w:r>
    </w:p>
    <w:p w14:paraId="77CD43DC" w14:textId="77777777" w:rsidR="00131523" w:rsidRPr="00131523" w:rsidRDefault="00131523" w:rsidP="00131523">
      <w:pPr>
        <w:suppressLineNumbers/>
        <w:suppressAutoHyphen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r w:rsidRPr="00131523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(12 DE JUNIO DE 2025)</w:t>
      </w:r>
    </w:p>
    <w:p w14:paraId="18B14EFA" w14:textId="1E6EAB6F" w:rsidR="00131523" w:rsidRPr="00131523" w:rsidRDefault="00131523" w:rsidP="00131523">
      <w:pPr>
        <w:suppressLineNumbers/>
        <w:suppressAutoHyphen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</w:pPr>
      <w:r w:rsidRPr="00131523">
        <w:rPr>
          <w:rFonts w:ascii="Book Antiqua" w:eastAsia="Times New Roman" w:hAnsi="Book Antiqua" w:cs="Times New Roman"/>
          <w:b/>
          <w:bCs/>
          <w:noProof/>
          <w:sz w:val="24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B71453F" wp14:editId="0193CEB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ED9835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E2B02CE" w14:textId="0DB48673" w:rsidR="008A4806" w:rsidRPr="008A4806" w:rsidRDefault="008A4806" w:rsidP="008A4806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8"/>
          <w:lang w:val="es-PR"/>
        </w:rPr>
      </w:pPr>
      <w:r w:rsidRPr="008A4806">
        <w:rPr>
          <w:rFonts w:ascii="Book Antiqua" w:eastAsia="Times New Roman" w:hAnsi="Book Antiqua" w:cs="Times New Roman"/>
          <w:sz w:val="28"/>
          <w:szCs w:val="28"/>
          <w:lang w:val="es-PR"/>
        </w:rPr>
        <w:t xml:space="preserve">GOBIERNO DE PUERTO RICO </w:t>
      </w:r>
    </w:p>
    <w:p w14:paraId="231756CE" w14:textId="77777777" w:rsidR="008A4806" w:rsidRPr="008A4806" w:rsidRDefault="008A4806" w:rsidP="008A4806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5169D8A1" w14:textId="77777777" w:rsidR="008A4806" w:rsidRPr="00C3297D" w:rsidRDefault="008A4806" w:rsidP="008A4806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it-IT"/>
        </w:rPr>
      </w:pP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>20ma. Asamblea</w:t>
      </w: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ab/>
      </w: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ab/>
      </w: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ab/>
      </w: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ab/>
      </w: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ab/>
      </w: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ab/>
      </w: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ab/>
      </w: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ab/>
        <w:t xml:space="preserve">          1ra. Sesión</w:t>
      </w:r>
    </w:p>
    <w:p w14:paraId="64A87061" w14:textId="38BA253F" w:rsidR="008A4806" w:rsidRPr="00C3297D" w:rsidRDefault="008A4806" w:rsidP="008A4806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it-IT"/>
        </w:rPr>
      </w:pP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 xml:space="preserve">        </w:t>
      </w:r>
      <w:r w:rsidR="00C3297D">
        <w:rPr>
          <w:rFonts w:ascii="Book Antiqua" w:eastAsia="Times New Roman" w:hAnsi="Book Antiqua" w:cs="Times New Roman"/>
          <w:sz w:val="24"/>
          <w:szCs w:val="24"/>
          <w:lang w:val="it-IT"/>
        </w:rPr>
        <w:t xml:space="preserve">   </w:t>
      </w: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>Legislativa</w:t>
      </w: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ab/>
      </w: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ab/>
      </w: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ab/>
      </w: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ab/>
      </w: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ab/>
      </w: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ab/>
      </w: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ab/>
      </w:r>
      <w:r w:rsidRPr="00C3297D">
        <w:rPr>
          <w:rFonts w:ascii="Book Antiqua" w:eastAsia="Times New Roman" w:hAnsi="Book Antiqua" w:cs="Times New Roman"/>
          <w:sz w:val="24"/>
          <w:szCs w:val="24"/>
          <w:lang w:val="it-IT"/>
        </w:rPr>
        <w:tab/>
        <w:t xml:space="preserve">                 Ordinaria</w:t>
      </w:r>
    </w:p>
    <w:p w14:paraId="2CEC158D" w14:textId="77777777" w:rsidR="008A4806" w:rsidRPr="00C3297D" w:rsidRDefault="008A4806" w:rsidP="008A4806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it-IT"/>
        </w:rPr>
      </w:pPr>
    </w:p>
    <w:p w14:paraId="780393AB" w14:textId="77777777" w:rsidR="008A4806" w:rsidRPr="008A4806" w:rsidRDefault="008A4806" w:rsidP="008A4806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ES_tradnl"/>
        </w:rPr>
      </w:pPr>
      <w:r w:rsidRPr="008A4806">
        <w:rPr>
          <w:rFonts w:ascii="Book Antiqua" w:eastAsia="Times New Roman" w:hAnsi="Book Antiqua" w:cs="Times New Roman"/>
          <w:b/>
          <w:sz w:val="36"/>
          <w:szCs w:val="20"/>
          <w:lang w:val="es-ES_tradnl"/>
        </w:rPr>
        <w:t>CÁMARA DE REPRESENTANTES</w:t>
      </w:r>
    </w:p>
    <w:p w14:paraId="188B208B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p w14:paraId="2C6C2520" w14:textId="3F537AE9" w:rsidR="0050546E" w:rsidRPr="008041B0" w:rsidRDefault="00522C3D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52"/>
          <w:lang w:val="es-ES_tradnl"/>
        </w:rPr>
      </w:pPr>
      <w:r w:rsidRPr="008041B0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P</w:t>
      </w:r>
      <w:r w:rsidR="0050546E" w:rsidRPr="008041B0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 xml:space="preserve">. de la C. </w:t>
      </w:r>
      <w:r w:rsidR="00363A5C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288</w:t>
      </w:r>
    </w:p>
    <w:p w14:paraId="4BD9120B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p w14:paraId="61960C88" w14:textId="58069525" w:rsidR="0050546E" w:rsidRPr="008041B0" w:rsidRDefault="00363A5C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0"/>
          <w:lang w:val="es-ES_tradnl"/>
        </w:rPr>
        <w:t>31</w:t>
      </w:r>
      <w:r w:rsidR="0050546E" w:rsidRPr="008041B0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DE</w:t>
      </w:r>
      <w:r w:rsidR="00B07E7A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ENERO</w:t>
      </w:r>
      <w:r w:rsidR="0050546E" w:rsidRPr="008041B0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DE 202</w:t>
      </w:r>
      <w:r w:rsidR="00B07E7A">
        <w:rPr>
          <w:rFonts w:ascii="Book Antiqua" w:eastAsia="Times New Roman" w:hAnsi="Book Antiqua" w:cs="Times New Roman"/>
          <w:sz w:val="24"/>
          <w:szCs w:val="20"/>
          <w:lang w:val="es-ES_tradnl"/>
        </w:rPr>
        <w:t>5</w:t>
      </w:r>
    </w:p>
    <w:p w14:paraId="546BA3C2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407627F6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i/>
          <w:sz w:val="24"/>
          <w:szCs w:val="20"/>
          <w:lang w:val="es-ES_tradnl"/>
        </w:rPr>
      </w:pPr>
      <w:r w:rsidRPr="008041B0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Presentado por el representante </w:t>
      </w:r>
      <w:r w:rsidRPr="008041B0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>Charbonier Chinea</w:t>
      </w:r>
    </w:p>
    <w:p w14:paraId="0FE7E415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4E25B9B1" w14:textId="1CB6AB8B" w:rsidR="0050546E" w:rsidRPr="008041B0" w:rsidRDefault="00AC047A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8041B0">
        <w:rPr>
          <w:rFonts w:ascii="Book Antiqua" w:eastAsia="Times New Roman" w:hAnsi="Book Antiqua" w:cs="Times New Roman"/>
          <w:sz w:val="24"/>
          <w:szCs w:val="20"/>
          <w:lang w:val="es-ES_tradnl"/>
        </w:rPr>
        <w:t>Referido a la Comisión</w:t>
      </w:r>
      <w:r w:rsidR="0050546E" w:rsidRPr="008041B0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de </w:t>
      </w:r>
      <w:r w:rsidR="003F1AE8">
        <w:rPr>
          <w:rFonts w:ascii="Book Antiqua" w:eastAsia="Times New Roman" w:hAnsi="Book Antiqua" w:cs="Times New Roman"/>
          <w:sz w:val="24"/>
          <w:szCs w:val="20"/>
          <w:lang w:val="es-ES_tradnl"/>
        </w:rPr>
        <w:t>Transportación e Infraestructura</w:t>
      </w:r>
    </w:p>
    <w:p w14:paraId="1851A0C2" w14:textId="77777777" w:rsidR="0050546E" w:rsidRPr="008041B0" w:rsidRDefault="0050546E" w:rsidP="00A6275B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0E90E3B5" w14:textId="77777777" w:rsidR="00F274CC" w:rsidRPr="008041B0" w:rsidRDefault="00F274CC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  <w:lang w:val="es-PR"/>
        </w:rPr>
      </w:pPr>
      <w:r w:rsidRPr="008041B0">
        <w:rPr>
          <w:rFonts w:ascii="Book Antiqua" w:eastAsia="Times New Roman" w:hAnsi="Book Antiqua" w:cs="Times New Roman"/>
          <w:b/>
          <w:sz w:val="28"/>
          <w:szCs w:val="28"/>
          <w:lang w:val="es-PR"/>
        </w:rPr>
        <w:t>LEY</w:t>
      </w:r>
    </w:p>
    <w:p w14:paraId="677C5731" w14:textId="77777777" w:rsidR="00F274CC" w:rsidRPr="008041B0" w:rsidRDefault="00F274CC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2829D4BC" w14:textId="76EA5582" w:rsidR="00F274CC" w:rsidRPr="00C3297D" w:rsidRDefault="00F274CC" w:rsidP="00A6275B">
      <w:pPr>
        <w:suppressLineNumbers/>
        <w:spacing w:after="0" w:line="240" w:lineRule="auto"/>
        <w:ind w:left="720" w:hanging="720"/>
        <w:jc w:val="both"/>
        <w:rPr>
          <w:rFonts w:ascii="Book Antiqua" w:eastAsia="MS Mincho" w:hAnsi="Book Antiqua" w:cs="Times New Roman"/>
          <w:sz w:val="24"/>
          <w:szCs w:val="20"/>
          <w:lang w:val="es-ES_tradnl"/>
        </w:rPr>
      </w:pPr>
      <w:r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Para </w:t>
      </w:r>
      <w:r w:rsidRPr="000161C6">
        <w:rPr>
          <w:rFonts w:ascii="Book Antiqua" w:eastAsia="MS Mincho" w:hAnsi="Book Antiqua" w:cs="Times New Roman"/>
          <w:sz w:val="24"/>
          <w:szCs w:val="20"/>
          <w:lang w:val="es-ES_tradnl"/>
        </w:rPr>
        <w:t>de</w:t>
      </w:r>
      <w:r w:rsidR="008B6037" w:rsidRPr="000161C6">
        <w:rPr>
          <w:rFonts w:ascii="Book Antiqua" w:eastAsia="MS Mincho" w:hAnsi="Book Antiqua" w:cs="Times New Roman"/>
          <w:sz w:val="24"/>
          <w:szCs w:val="20"/>
          <w:lang w:val="es-ES_tradnl"/>
        </w:rPr>
        <w:t>marcar como “Centro Gastronómico y Cultural Metropolitano”</w:t>
      </w:r>
      <w:r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 </w:t>
      </w:r>
      <w:r w:rsidR="00455C2E"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>la Ca</w:t>
      </w:r>
      <w:r w:rsidR="00563C85"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>rretera PR-39 conocida como la c</w:t>
      </w:r>
      <w:r w:rsidR="00455C2E"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alle Cerra en Santurce del Municipio </w:t>
      </w:r>
      <w:r w:rsidR="00455C2E" w:rsidRPr="00C3297D">
        <w:rPr>
          <w:rFonts w:ascii="Book Antiqua" w:eastAsia="MS Mincho" w:hAnsi="Book Antiqua" w:cs="Times New Roman"/>
          <w:sz w:val="24"/>
          <w:szCs w:val="20"/>
          <w:lang w:val="es-ES_tradnl"/>
        </w:rPr>
        <w:t>de San Juan</w:t>
      </w:r>
      <w:r w:rsidRPr="00C3297D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; autorizar a la Compañía de Turismo de Puerto Rico y al Instituto de Cultura Puertorriqueña </w:t>
      </w:r>
      <w:r w:rsidR="0038726D" w:rsidRPr="00C3297D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a desarrollar conjuntamente </w:t>
      </w:r>
      <w:r w:rsidRPr="00C3297D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planes de mercadeo, promoción y apoyo </w:t>
      </w:r>
      <w:r w:rsidR="0038726D" w:rsidRPr="00C3297D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a </w:t>
      </w:r>
      <w:r w:rsidRPr="00C3297D">
        <w:rPr>
          <w:rFonts w:ascii="Book Antiqua" w:eastAsia="MS Mincho" w:hAnsi="Book Antiqua" w:cs="Times New Roman"/>
          <w:sz w:val="24"/>
          <w:szCs w:val="20"/>
          <w:lang w:val="es-ES_tradnl"/>
        </w:rPr>
        <w:t>estos sectores</w:t>
      </w:r>
      <w:r w:rsidR="0038726D" w:rsidRPr="00C3297D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 gastronómicos y culturales</w:t>
      </w:r>
      <w:r w:rsidRPr="00C3297D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; y para otros fines relacionados. </w:t>
      </w:r>
    </w:p>
    <w:p w14:paraId="67D2F348" w14:textId="77777777" w:rsidR="0050546E" w:rsidRPr="008041B0" w:rsidRDefault="0050546E" w:rsidP="00A6275B">
      <w:pPr>
        <w:suppressLineNumbers/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22CBF9D5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 w:rsidRPr="008041B0">
        <w:rPr>
          <w:rFonts w:ascii="Book Antiqua" w:eastAsia="Times New Roman" w:hAnsi="Book Antiqua" w:cs="Times New Roman"/>
          <w:sz w:val="24"/>
          <w:szCs w:val="20"/>
          <w:lang w:val="es-PR"/>
        </w:rPr>
        <w:t>EXPOSICIÓN DE MOTIVOS</w:t>
      </w:r>
    </w:p>
    <w:p w14:paraId="063C30B5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4E253870" w14:textId="6410A62A" w:rsidR="00C13A7F" w:rsidRPr="00C3297D" w:rsidRDefault="00563C85" w:rsidP="00A6275B">
      <w:pPr>
        <w:suppressLineNumbers/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sz w:val="24"/>
          <w:szCs w:val="24"/>
          <w:lang w:val="es-ES_tradnl"/>
        </w:rPr>
        <w:tab/>
      </w:r>
      <w:r w:rsidR="00077062" w:rsidRPr="00C3297D">
        <w:rPr>
          <w:rFonts w:ascii="Book Antiqua" w:eastAsia="Times New Roman" w:hAnsi="Book Antiqua" w:cs="Times New Roman"/>
          <w:sz w:val="24"/>
          <w:szCs w:val="24"/>
          <w:lang w:val="es-ES_tradnl"/>
        </w:rPr>
        <w:t>L</w:t>
      </w:r>
      <w:r w:rsidR="00077062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a calle C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erra</w:t>
      </w:r>
      <w:r w:rsidR="00077062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tiene una historia</w:t>
      </w:r>
      <w:r w:rsidR="00013337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rica</w:t>
      </w:r>
      <w:r w:rsidR="00077062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013337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en </w:t>
      </w:r>
      <w:r w:rsidR="00077062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desarrollo, transformación y cultura. </w:t>
      </w:r>
      <w:r w:rsidR="00EC2B3B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Esta legendaria calle de Santurce </w:t>
      </w:r>
      <w:r w:rsidR="00851CB6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hace más de 3 décadas</w:t>
      </w:r>
      <w:r w:rsidR="00EC2B3B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albergó algunas de las discográficas y oficinas más importantes de la salsa, incluida la famosa </w:t>
      </w:r>
      <w:proofErr w:type="spellStart"/>
      <w:r w:rsidR="00EC2B3B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Fania</w:t>
      </w:r>
      <w:proofErr w:type="spellEnd"/>
      <w:r w:rsidR="00EC2B3B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proofErr w:type="spellStart"/>
      <w:r w:rsidR="00EC2B3B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Records</w:t>
      </w:r>
      <w:proofErr w:type="spellEnd"/>
      <w:r w:rsidR="00EC2B3B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. </w:t>
      </w:r>
      <w:r w:rsidR="00013337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Sin embargo, cuando</w:t>
      </w:r>
      <w:r w:rsidR="00851CB6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la tecnología y la internet transformaron la industria disquera fueron</w:t>
      </w:r>
      <w:r w:rsidR="00EC2B3B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cerraron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los</w:t>
      </w:r>
      <w:r w:rsidR="00EC2B3B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sellos discográficos </w:t>
      </w:r>
      <w:r w:rsidR="00EC2B3B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y las oficinas</w:t>
      </w:r>
      <w:r w:rsidR="00D76E1D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. </w:t>
      </w:r>
      <w:r w:rsidR="00013337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Esto contribuyó </w:t>
      </w:r>
      <w:r w:rsidR="00D76E1D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que </w:t>
      </w:r>
      <w:r w:rsidR="00EC2B3B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la calle fue</w:t>
      </w:r>
      <w:r w:rsidR="00D76E1D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ra</w:t>
      </w:r>
      <w:r w:rsidR="00EC2B3B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descuidada</w:t>
      </w:r>
      <w:r w:rsidR="008A054C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y se convirtió</w:t>
      </w:r>
      <w:r w:rsidR="00851CB6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en un área peligrosa y deprimida económicamente.</w:t>
      </w:r>
      <w:r w:rsidR="00EC2B3B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013337" w:rsidRPr="00C3297D">
        <w:rPr>
          <w:rFonts w:ascii="Book Antiqua" w:eastAsia="Times New Roman" w:hAnsi="Book Antiqua" w:cs="Times New Roman"/>
          <w:sz w:val="24"/>
          <w:szCs w:val="24"/>
          <w:lang w:val="es-419"/>
        </w:rPr>
        <w:t xml:space="preserve">Afortunadamente, en los últimos años, un grupo de empresarios locales ha logrado revitalizar esta histórica calle, a través de la incorporación de </w:t>
      </w:r>
      <w:r w:rsidR="00EC2B3B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nuevos restaurantes, bares y murales. </w:t>
      </w:r>
    </w:p>
    <w:p w14:paraId="04F312BB" w14:textId="77777777" w:rsidR="00C13A7F" w:rsidRPr="008041B0" w:rsidRDefault="00C13A7F" w:rsidP="00A6275B">
      <w:pPr>
        <w:suppressLineNumbers/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7C2254F0" w14:textId="5D6F665F" w:rsidR="008B276D" w:rsidRPr="00C3297D" w:rsidRDefault="008B276D" w:rsidP="008B276D">
      <w:pPr>
        <w:suppressLineNumbers/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="003C07A5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Además, la </w:t>
      </w:r>
      <w:r w:rsidR="00131E04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calle Cerra se ha convertido en uno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los lugares más </w:t>
      </w:r>
      <w:r w:rsidR="003C07A5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emblemáticos </w:t>
      </w:r>
      <w:r w:rsidR="009205F6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y culturales de</w:t>
      </w:r>
      <w:r w:rsidR="00131E04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San Juan y de todo</w:t>
      </w:r>
      <w:r w:rsidR="009205F6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Puerto Rico, 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siendo </w:t>
      </w:r>
      <w:r w:rsidR="009205F6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representativo de nuestra diversidad y excelencia en gastronomía.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L</w:t>
      </w:r>
      <w:r w:rsidR="00947D83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 </w:t>
      </w:r>
      <w:r w:rsidR="003C07A5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expansión </w:t>
      </w:r>
      <w:r w:rsidR="00947D83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del área con</w:t>
      </w:r>
      <w:r w:rsidR="00947D83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venta de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productos 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locales, la construcción de</w:t>
      </w:r>
      <w:r w:rsidR="003C07A5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nuevos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locales y el establecimiento de restaurantes y barras</w:t>
      </w:r>
      <w:r w:rsidR="003C07A5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,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lastRenderedPageBreak/>
        <w:t>integrando elementos culinarios locales e internacionales</w:t>
      </w:r>
      <w:r w:rsidR="003C07A5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en donde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6B001F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brindan </w:t>
      </w:r>
      <w:r w:rsidR="008A054C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una oferta gastronómica exquisita en el área.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 </w:t>
      </w:r>
      <w:r w:rsidR="008A054C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Parte de las actividades que se ofrecen en la calle es la celebración del Festival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8A054C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“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Santurce es Ley</w:t>
      </w:r>
      <w:r w:rsidR="008A054C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”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el cual expone a Puerto Rico a nivel mundial, donde se invita a muralistas locales e internacionales a usar la calle como lienzo en blanco</w:t>
      </w:r>
      <w:r w:rsidR="008A054C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para que puedan expresar y realizar su arte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.</w:t>
      </w:r>
    </w:p>
    <w:p w14:paraId="4C21868E" w14:textId="77777777" w:rsidR="009205F6" w:rsidRPr="00C3297D" w:rsidRDefault="009205F6" w:rsidP="00A6275B">
      <w:pPr>
        <w:suppressLineNumbers/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3D33C9BB" w14:textId="7CA833A5" w:rsidR="009205F6" w:rsidRPr="00C3297D" w:rsidRDefault="009205F6" w:rsidP="008B276D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ab/>
        <w:t xml:space="preserve">Su transformación ha sido </w:t>
      </w:r>
      <w:r w:rsidR="00DF1219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de gran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magnitud </w:t>
      </w:r>
      <w:r w:rsidR="00DF1219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convirtiendo la calle Cerra en un luga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r de referencia gastronómica y cultural.</w:t>
      </w:r>
      <w:r w:rsidR="006C01BC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Su variedad gastronómica es reconocida local e internacionalmente y se perfila como una de las zonas de mayor crecimiento gastronómico, económico y cultural del área metropolitana. </w:t>
      </w:r>
    </w:p>
    <w:p w14:paraId="06CEE41A" w14:textId="77777777" w:rsidR="00E156AF" w:rsidRPr="008041B0" w:rsidRDefault="00E156AF" w:rsidP="008B276D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4A1172C4" w14:textId="207EEDA7" w:rsidR="00773F76" w:rsidRPr="00C3297D" w:rsidRDefault="009205F6" w:rsidP="00A6275B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Reconociendo </w:t>
      </w:r>
      <w:r w:rsidR="006B001F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el notable 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crecimiento gastronómico que ha despuntado en la Isla, </w:t>
      </w:r>
      <w:r w:rsidR="006B001F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junto 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con la preservación cultural que se encuentra inmer</w:t>
      </w:r>
      <w:r w:rsidR="00773F76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sa en este sector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la Ciudad Capital, es meritorio de esta Asamblea Legislativa</w:t>
      </w:r>
      <w:r w:rsidR="008B60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8B6037" w:rsidRPr="000161C6">
        <w:rPr>
          <w:rFonts w:ascii="Book Antiqua" w:eastAsia="Times New Roman" w:hAnsi="Book Antiqua" w:cs="Times New Roman"/>
          <w:sz w:val="24"/>
          <w:szCs w:val="24"/>
          <w:lang w:val="es-PR"/>
        </w:rPr>
        <w:t>demarcar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773F76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la Calle Cerra de Santurce como “Centro Gastronómico y Cultural Metropolitano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”, con el </w:t>
      </w:r>
      <w:r w:rsidR="00773F76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fin de reconocer este sector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como p</w:t>
      </w:r>
      <w:r w:rsidR="00773F76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ilar gastronómico</w:t>
      </w:r>
      <w:r w:rsidR="006B001F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y cultural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que </w:t>
      </w:r>
      <w:r w:rsidR="00773F76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 su vez 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redunde en beneficios económicos</w:t>
      </w:r>
      <w:r w:rsidR="00773F76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para este sector en Santurce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. </w:t>
      </w:r>
    </w:p>
    <w:p w14:paraId="1A6CA152" w14:textId="77777777" w:rsidR="007100FF" w:rsidRPr="00C3297D" w:rsidRDefault="007100FF" w:rsidP="00A6275B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547591A4" w14:textId="406FF34A" w:rsidR="009205F6" w:rsidRPr="00C3297D" w:rsidRDefault="00307CAE" w:rsidP="00A6275B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De igual forma, </w:t>
      </w:r>
      <w:r w:rsidR="008041B0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se busca </w:t>
      </w:r>
      <w:r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que se </w:t>
      </w:r>
      <w:r w:rsidR="009205F6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reconozca su aportación a nuestro crecimiento como pueblo para beneficio de estas y futuras generaciones. Con la presente </w:t>
      </w:r>
      <w:r w:rsidR="008B6037" w:rsidRPr="000161C6">
        <w:rPr>
          <w:rFonts w:ascii="Book Antiqua" w:eastAsia="Times New Roman" w:hAnsi="Book Antiqua" w:cs="Times New Roman"/>
          <w:sz w:val="24"/>
          <w:szCs w:val="24"/>
          <w:lang w:val="es-PR"/>
        </w:rPr>
        <w:t>Ley</w:t>
      </w:r>
      <w:r w:rsidR="008B60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9205F6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se pretende además realzar el valor turístico de </w:t>
      </w:r>
      <w:r w:rsidR="008041B0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este sector en Santurce</w:t>
      </w:r>
      <w:r w:rsidR="009205F6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con el fin de que la planificación y promoción que se den a los mismos, en virtud de esta Ley, propendan a aportar al crecimiento económico de la región y que se instituya e imparta un sello gastronómico y cultural a </w:t>
      </w:r>
      <w:r w:rsidR="008041B0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>la calle Cerra.</w:t>
      </w:r>
      <w:r w:rsidR="009205F6" w:rsidRPr="00C3297D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</w:p>
    <w:p w14:paraId="3D612C07" w14:textId="77777777" w:rsidR="0050546E" w:rsidRPr="008041B0" w:rsidRDefault="0050546E" w:rsidP="00A6275B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 w:cs="Times New Roman"/>
          <w:iCs/>
          <w:sz w:val="24"/>
          <w:szCs w:val="24"/>
          <w:lang w:val="es-PR"/>
        </w:rPr>
      </w:pPr>
    </w:p>
    <w:p w14:paraId="53E2CE27" w14:textId="77777777" w:rsidR="00621E4F" w:rsidRPr="008041B0" w:rsidRDefault="00621E4F" w:rsidP="00A6275B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bCs/>
          <w:i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bCs/>
          <w:i/>
          <w:color w:val="000000"/>
          <w:sz w:val="24"/>
          <w:szCs w:val="24"/>
          <w:lang w:val="es-PR"/>
        </w:rPr>
        <w:t xml:space="preserve">DECRÉTASE POR LA ASAMBLEA LEGISLATIVA DE PUERTO RICO: </w:t>
      </w:r>
    </w:p>
    <w:p w14:paraId="3F0B7E31" w14:textId="77777777" w:rsidR="00621E4F" w:rsidRPr="008041B0" w:rsidRDefault="00621E4F" w:rsidP="00A6275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sz w:val="24"/>
          <w:szCs w:val="24"/>
          <w:lang w:val="es-PR"/>
        </w:rPr>
      </w:pPr>
    </w:p>
    <w:p w14:paraId="36F4F757" w14:textId="654B3972" w:rsidR="00621E4F" w:rsidRPr="008041B0" w:rsidRDefault="00621E4F" w:rsidP="00621E4F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Artículo 1.-</w:t>
      </w:r>
      <w:r w:rsidRPr="00C3297D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Se </w:t>
      </w:r>
      <w:r w:rsidR="005A782E" w:rsidRPr="00C3297D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d</w:t>
      </w:r>
      <w:r w:rsidR="003B5F74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emarca</w:t>
      </w:r>
      <w:r w:rsidR="005A782E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 </w:t>
      </w:r>
      <w:r w:rsidR="003B5F74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como “Centro Gastronómico y Cultural Metropolitano</w:t>
      </w:r>
      <w:r w:rsidR="003B5F74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” 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la </w:t>
      </w:r>
      <w:r w:rsidR="00455C2E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Carretera PR-39 conocida como la </w:t>
      </w:r>
      <w:r w:rsidR="00EA58DF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c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alle C</w:t>
      </w:r>
      <w:r w:rsidR="00455C2E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erra en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 Santurce del Municipio de San Juan.</w:t>
      </w:r>
    </w:p>
    <w:p w14:paraId="6EC1A0C4" w14:textId="126A7F77" w:rsidR="00621E4F" w:rsidRPr="008041B0" w:rsidRDefault="00621E4F" w:rsidP="00621E4F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Artículo 2.-Se ordena a la Compañía de Turismo de Puerto Rico y al Instituto de Cultura Puertorriqueña integrar 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la </w:t>
      </w:r>
      <w:r w:rsidR="00455C2E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Ca</w:t>
      </w:r>
      <w:r w:rsidR="00EA58DF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rretera PR-39 conocida como la c</w:t>
      </w:r>
      <w:r w:rsidR="00455C2E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alle Cerra en Santurce 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y sus comercios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 dentro de sus planes de desarrollo turístico y cultural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. Ambas entidades integrará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n además dentro de dichos planes al Municipio Autónomo de San Juan.</w:t>
      </w:r>
    </w:p>
    <w:p w14:paraId="15416914" w14:textId="555BE5E2" w:rsidR="00621E4F" w:rsidRPr="00491A90" w:rsidRDefault="00621E4F" w:rsidP="00621E4F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lastRenderedPageBreak/>
        <w:t xml:space="preserve">Artículo 3.-Se ordena a la Compañía de Turismo de Puerto Rico y al Instituto de Cultura Puertorriqueña </w:t>
      </w:r>
      <w:r w:rsidR="005A782E" w:rsidRPr="00C3297D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la preparación de</w:t>
      </w:r>
      <w:r w:rsidR="005A782E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 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un plan integrado conjunto de desarrollo que incluya una adecuada promoción, mercadeo y adiestramientos a los comerciantes del área, para adelantar los propósitos de esta Ley. En dicho plan integrado se orientar</w:t>
      </w:r>
      <w:r w:rsidRPr="008041B0">
        <w:rPr>
          <w:rFonts w:ascii="Book Antiqua" w:eastAsia="Times New Roman" w:hAnsi="Book Antiqua" w:cs="Calibri"/>
          <w:bCs/>
          <w:color w:val="000000"/>
          <w:sz w:val="24"/>
          <w:szCs w:val="24"/>
          <w:lang w:val="es-ES"/>
        </w:rPr>
        <w:t>á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 además de todo derecho contributivo, laboral o de cualquier índole al que pudieran acogerse</w:t>
      </w:r>
      <w:r w:rsidR="00491A9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 </w:t>
      </w:r>
      <w:r w:rsidR="00491A90" w:rsidRPr="00C3297D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los comerciantes</w:t>
      </w:r>
      <w:r w:rsidRPr="00C3297D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. </w:t>
      </w:r>
      <w:r w:rsidR="00491A90" w:rsidRPr="00C3297D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En el diseño de este Plan, la Compañía de Turismo de Puerto Rico y el Instituto de Cultura Puertorriqueña podrán establecer acuerdos de colaboración con agencias gubernamentales y entidades sin fines de lucro dedicadas al turismo y la cultura. Además, deberán integrar al Municipio Autónomo de San Juan como parte esencial del proceso.</w:t>
      </w:r>
    </w:p>
    <w:p w14:paraId="0968F112" w14:textId="657F10C8" w:rsidR="00621E4F" w:rsidRPr="008041B0" w:rsidRDefault="00621E4F" w:rsidP="00621E4F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Artículo 4.-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Se faculta a la 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Compañía de Turismo de Puerto Rico y al Instituto de Cultura Puertorriqueña a adoptar toda la reglamentación necesaria para cumplir los propósitos de la presente Ley dentro del término de </w:t>
      </w:r>
      <w:r w:rsidRPr="00491A9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ciento </w:t>
      </w:r>
      <w:r w:rsidR="00AC047A" w:rsidRPr="00491A9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ochenta</w:t>
      </w:r>
      <w:r w:rsidRPr="00491A9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 (</w:t>
      </w:r>
      <w:r w:rsidR="00AC047A" w:rsidRPr="00491A9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18</w:t>
      </w:r>
      <w:r w:rsidRPr="00491A9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0)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 días contados a partir de la aprobación de </w:t>
      </w:r>
      <w:r w:rsidR="008A4806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esta</w:t>
      </w:r>
      <w:r w:rsidR="006B001F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 </w:t>
      </w:r>
      <w:r w:rsidR="006B001F" w:rsidRPr="00C3297D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Ley</w:t>
      </w:r>
      <w:r w:rsidRPr="00C3297D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.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 </w:t>
      </w:r>
    </w:p>
    <w:p w14:paraId="19F4F9FC" w14:textId="77777777" w:rsidR="00D31406" w:rsidRPr="00773F76" w:rsidRDefault="00621E4F" w:rsidP="00621E4F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bCs/>
          <w:sz w:val="24"/>
          <w:szCs w:val="24"/>
          <w:lang w:val="es-ES"/>
        </w:rPr>
      </w:pPr>
      <w:r w:rsidRPr="008041B0">
        <w:rPr>
          <w:rFonts w:ascii="Book Antiqua" w:eastAsia="Times New Roman" w:hAnsi="Book Antiqua" w:cs="Times New Roman"/>
          <w:bCs/>
          <w:sz w:val="24"/>
          <w:szCs w:val="24"/>
          <w:lang w:val="es-ES"/>
        </w:rPr>
        <w:t>Artículo 5.-Esta Ley comenzará a regir inmediatamente después de su aprobación.</w:t>
      </w:r>
    </w:p>
    <w:sectPr w:rsidR="00D31406" w:rsidRPr="00773F76" w:rsidSect="0078165D">
      <w:headerReference w:type="even" r:id="rId7"/>
      <w:headerReference w:type="default" r:id="rId8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C081F" w14:textId="77777777" w:rsidR="002700C8" w:rsidRDefault="002700C8" w:rsidP="0050546E">
      <w:pPr>
        <w:spacing w:after="0" w:line="240" w:lineRule="auto"/>
      </w:pPr>
      <w:r>
        <w:separator/>
      </w:r>
    </w:p>
  </w:endnote>
  <w:endnote w:type="continuationSeparator" w:id="0">
    <w:p w14:paraId="6384070C" w14:textId="77777777" w:rsidR="002700C8" w:rsidRDefault="002700C8" w:rsidP="00505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1AA77" w14:textId="77777777" w:rsidR="002700C8" w:rsidRDefault="002700C8" w:rsidP="0050546E">
      <w:pPr>
        <w:spacing w:after="0" w:line="240" w:lineRule="auto"/>
      </w:pPr>
      <w:r>
        <w:separator/>
      </w:r>
    </w:p>
  </w:footnote>
  <w:footnote w:type="continuationSeparator" w:id="0">
    <w:p w14:paraId="5B1E7431" w14:textId="77777777" w:rsidR="002700C8" w:rsidRDefault="002700C8" w:rsidP="00505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AEC1F" w14:textId="77777777" w:rsidR="0050546E" w:rsidRDefault="0050546E" w:rsidP="00110B8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B715554" w14:textId="77777777" w:rsidR="0050546E" w:rsidRDefault="005054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8EC04" w14:textId="77777777" w:rsidR="0050546E" w:rsidRDefault="0050546E" w:rsidP="00110B8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41B0">
      <w:rPr>
        <w:rStyle w:val="PageNumber"/>
        <w:noProof/>
      </w:rPr>
      <w:t>3</w:t>
    </w:r>
    <w:r>
      <w:rPr>
        <w:rStyle w:val="PageNumber"/>
      </w:rPr>
      <w:fldChar w:fldCharType="end"/>
    </w:r>
  </w:p>
  <w:p w14:paraId="66535A13" w14:textId="77777777" w:rsidR="0050546E" w:rsidRDefault="0050546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46E"/>
    <w:rsid w:val="00013337"/>
    <w:rsid w:val="000161C6"/>
    <w:rsid w:val="0007574B"/>
    <w:rsid w:val="00077062"/>
    <w:rsid w:val="000B232D"/>
    <w:rsid w:val="00107C5D"/>
    <w:rsid w:val="00131523"/>
    <w:rsid w:val="001316E4"/>
    <w:rsid w:val="00131E04"/>
    <w:rsid w:val="001945BE"/>
    <w:rsid w:val="001F2DDD"/>
    <w:rsid w:val="002700C8"/>
    <w:rsid w:val="00307CAE"/>
    <w:rsid w:val="00363A5C"/>
    <w:rsid w:val="0038726D"/>
    <w:rsid w:val="00387EB6"/>
    <w:rsid w:val="003B5F74"/>
    <w:rsid w:val="003C07A5"/>
    <w:rsid w:val="003F1AE8"/>
    <w:rsid w:val="00411E6D"/>
    <w:rsid w:val="00455C2E"/>
    <w:rsid w:val="00464255"/>
    <w:rsid w:val="00491A90"/>
    <w:rsid w:val="004A25FB"/>
    <w:rsid w:val="0050546E"/>
    <w:rsid w:val="00522C3D"/>
    <w:rsid w:val="00530994"/>
    <w:rsid w:val="00563C85"/>
    <w:rsid w:val="005A782E"/>
    <w:rsid w:val="00611795"/>
    <w:rsid w:val="00621E4F"/>
    <w:rsid w:val="006A7AB2"/>
    <w:rsid w:val="006B001F"/>
    <w:rsid w:val="006C01BC"/>
    <w:rsid w:val="007100FF"/>
    <w:rsid w:val="00753253"/>
    <w:rsid w:val="00773F76"/>
    <w:rsid w:val="007A59B3"/>
    <w:rsid w:val="008041B0"/>
    <w:rsid w:val="0081250B"/>
    <w:rsid w:val="0081331E"/>
    <w:rsid w:val="00851CB6"/>
    <w:rsid w:val="00882B5F"/>
    <w:rsid w:val="008A054C"/>
    <w:rsid w:val="008A4806"/>
    <w:rsid w:val="008B276D"/>
    <w:rsid w:val="008B6037"/>
    <w:rsid w:val="009205F6"/>
    <w:rsid w:val="00947D83"/>
    <w:rsid w:val="00950162"/>
    <w:rsid w:val="009C26D6"/>
    <w:rsid w:val="00A51424"/>
    <w:rsid w:val="00A6275B"/>
    <w:rsid w:val="00A62F6C"/>
    <w:rsid w:val="00AC047A"/>
    <w:rsid w:val="00B0352C"/>
    <w:rsid w:val="00B07E7A"/>
    <w:rsid w:val="00B90798"/>
    <w:rsid w:val="00C13A7F"/>
    <w:rsid w:val="00C1468D"/>
    <w:rsid w:val="00C3297D"/>
    <w:rsid w:val="00CB6BE5"/>
    <w:rsid w:val="00CC18A1"/>
    <w:rsid w:val="00CD77C7"/>
    <w:rsid w:val="00D31406"/>
    <w:rsid w:val="00D76E1D"/>
    <w:rsid w:val="00DC49F8"/>
    <w:rsid w:val="00DD6D1E"/>
    <w:rsid w:val="00DF1219"/>
    <w:rsid w:val="00DF6227"/>
    <w:rsid w:val="00E156AF"/>
    <w:rsid w:val="00EA58DF"/>
    <w:rsid w:val="00EC2B3B"/>
    <w:rsid w:val="00EC4961"/>
    <w:rsid w:val="00F274CC"/>
    <w:rsid w:val="00F439AA"/>
    <w:rsid w:val="00FB3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E1809"/>
  <w15:chartTrackingRefBased/>
  <w15:docId w15:val="{9442F864-B087-4419-8BE7-D0A30DE63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054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0546E"/>
  </w:style>
  <w:style w:type="character" w:styleId="PageNumber">
    <w:name w:val="page number"/>
    <w:basedOn w:val="DefaultParagraphFont"/>
    <w:rsid w:val="0050546E"/>
  </w:style>
  <w:style w:type="paragraph" w:styleId="FootnoteText">
    <w:name w:val="footnote text"/>
    <w:basedOn w:val="Normal"/>
    <w:link w:val="FootnoteTextChar"/>
    <w:uiPriority w:val="99"/>
    <w:semiHidden/>
    <w:unhideWhenUsed/>
    <w:rsid w:val="0050546E"/>
    <w:pPr>
      <w:spacing w:after="200" w:line="276" w:lineRule="auto"/>
    </w:pPr>
    <w:rPr>
      <w:rFonts w:ascii="Calibri" w:eastAsia="Calibri" w:hAnsi="Calibri" w:cs="Times New Roman"/>
      <w:sz w:val="20"/>
      <w:szCs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546E"/>
    <w:rPr>
      <w:rFonts w:ascii="Calibri" w:eastAsia="Calibri" w:hAnsi="Calibri" w:cs="Times New Roman"/>
      <w:sz w:val="20"/>
      <w:szCs w:val="20"/>
      <w:lang w:val="es-PR"/>
    </w:rPr>
  </w:style>
  <w:style w:type="character" w:styleId="FootnoteReference">
    <w:name w:val="footnote reference"/>
    <w:uiPriority w:val="99"/>
    <w:semiHidden/>
    <w:unhideWhenUsed/>
    <w:rsid w:val="0050546E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50546E"/>
  </w:style>
  <w:style w:type="paragraph" w:styleId="BalloonText">
    <w:name w:val="Balloon Text"/>
    <w:basedOn w:val="Normal"/>
    <w:link w:val="BalloonTextChar"/>
    <w:uiPriority w:val="99"/>
    <w:semiHidden/>
    <w:unhideWhenUsed/>
    <w:rsid w:val="00804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1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54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9F6AF-25FA-4CF4-81E0-6582D169F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4391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Víctor S. Berríos Sierra</dc:creator>
  <cp:keywords/>
  <dc:description/>
  <cp:lastModifiedBy>Victor E. Vélez Cucuta</cp:lastModifiedBy>
  <cp:revision>2</cp:revision>
  <cp:lastPrinted>2025-06-12T19:28:00Z</cp:lastPrinted>
  <dcterms:created xsi:type="dcterms:W3CDTF">2025-06-16T15:22:00Z</dcterms:created>
  <dcterms:modified xsi:type="dcterms:W3CDTF">2025-06-16T15:22:00Z</dcterms:modified>
</cp:coreProperties>
</file>