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2B02CE" w14:textId="77777777" w:rsidR="008A4806" w:rsidRPr="008A4806" w:rsidRDefault="008A4806" w:rsidP="008A4806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8"/>
          <w:szCs w:val="28"/>
          <w:lang w:val="es-PR"/>
        </w:rPr>
      </w:pPr>
      <w:r w:rsidRPr="008A4806">
        <w:rPr>
          <w:rFonts w:ascii="Book Antiqua" w:eastAsia="Times New Roman" w:hAnsi="Book Antiqua" w:cs="Times New Roman"/>
          <w:sz w:val="28"/>
          <w:szCs w:val="28"/>
          <w:lang w:val="es-PR"/>
        </w:rPr>
        <w:t xml:space="preserve">GOBIERNO DE PUERTO RICO </w:t>
      </w:r>
    </w:p>
    <w:p w14:paraId="231756CE" w14:textId="77777777" w:rsidR="008A4806" w:rsidRPr="008A4806" w:rsidRDefault="008A4806" w:rsidP="008A4806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5169D8A1" w14:textId="77777777" w:rsidR="008A4806" w:rsidRPr="008A4806" w:rsidRDefault="008A4806" w:rsidP="008A4806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>20ma. Asamblea</w:t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  <w:t xml:space="preserve">          1ra. Sesión</w:t>
      </w:r>
    </w:p>
    <w:p w14:paraId="64A87061" w14:textId="77777777" w:rsidR="008A4806" w:rsidRPr="008A4806" w:rsidRDefault="008A4806" w:rsidP="008A4806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       Legislativa</w:t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Pr="008A4806">
        <w:rPr>
          <w:rFonts w:ascii="Book Antiqua" w:eastAsia="Times New Roman" w:hAnsi="Book Antiqua" w:cs="Times New Roman"/>
          <w:sz w:val="24"/>
          <w:szCs w:val="24"/>
          <w:lang w:val="es-PR"/>
        </w:rPr>
        <w:tab/>
        <w:t xml:space="preserve">                 Ordinaria</w:t>
      </w:r>
    </w:p>
    <w:p w14:paraId="2CEC158D" w14:textId="77777777" w:rsidR="008A4806" w:rsidRPr="008A4806" w:rsidRDefault="008A4806" w:rsidP="008A4806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780393AB" w14:textId="77777777" w:rsidR="008A4806" w:rsidRPr="008A4806" w:rsidRDefault="008A4806" w:rsidP="008A4806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36"/>
          <w:szCs w:val="20"/>
          <w:lang w:val="es-ES_tradnl"/>
        </w:rPr>
      </w:pPr>
      <w:r w:rsidRPr="008A4806">
        <w:rPr>
          <w:rFonts w:ascii="Book Antiqua" w:eastAsia="Times New Roman" w:hAnsi="Book Antiqua" w:cs="Times New Roman"/>
          <w:b/>
          <w:sz w:val="36"/>
          <w:szCs w:val="20"/>
          <w:lang w:val="es-ES_tradnl"/>
        </w:rPr>
        <w:t>CÁMARA DE REPRESENTANTES</w:t>
      </w:r>
    </w:p>
    <w:p w14:paraId="188B208B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p w14:paraId="2C6C2520" w14:textId="3F537AE9" w:rsidR="0050546E" w:rsidRPr="008041B0" w:rsidRDefault="00522C3D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52"/>
          <w:szCs w:val="52"/>
          <w:lang w:val="es-ES_tradnl"/>
        </w:rPr>
      </w:pPr>
      <w:r w:rsidRPr="008041B0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P</w:t>
      </w:r>
      <w:r w:rsidR="0050546E" w:rsidRPr="008041B0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 xml:space="preserve">. de la C. </w:t>
      </w:r>
      <w:r w:rsidR="00363A5C">
        <w:rPr>
          <w:rFonts w:ascii="Book Antiqua" w:eastAsia="Times New Roman" w:hAnsi="Book Antiqua" w:cs="Times New Roman"/>
          <w:b/>
          <w:sz w:val="52"/>
          <w:szCs w:val="52"/>
          <w:lang w:val="es-ES_tradnl"/>
        </w:rPr>
        <w:t>288</w:t>
      </w:r>
    </w:p>
    <w:p w14:paraId="4BD9120B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24"/>
          <w:szCs w:val="24"/>
          <w:lang w:val="es-ES_tradnl"/>
        </w:rPr>
      </w:pPr>
    </w:p>
    <w:p w14:paraId="61960C88" w14:textId="58069525" w:rsidR="0050546E" w:rsidRPr="008041B0" w:rsidRDefault="00363A5C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>
        <w:rPr>
          <w:rFonts w:ascii="Book Antiqua" w:eastAsia="Times New Roman" w:hAnsi="Book Antiqua" w:cs="Times New Roman"/>
          <w:sz w:val="24"/>
          <w:szCs w:val="20"/>
          <w:lang w:val="es-ES_tradnl"/>
        </w:rPr>
        <w:t>31</w:t>
      </w:r>
      <w:r w:rsidR="0050546E" w:rsidRPr="008041B0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</w:t>
      </w:r>
      <w:r w:rsidR="00B07E7A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ENERO</w:t>
      </w:r>
      <w:r w:rsidR="0050546E" w:rsidRPr="008041B0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 202</w:t>
      </w:r>
      <w:r w:rsidR="00B07E7A">
        <w:rPr>
          <w:rFonts w:ascii="Book Antiqua" w:eastAsia="Times New Roman" w:hAnsi="Book Antiqua" w:cs="Times New Roman"/>
          <w:sz w:val="24"/>
          <w:szCs w:val="20"/>
          <w:lang w:val="es-ES_tradnl"/>
        </w:rPr>
        <w:t>5</w:t>
      </w:r>
    </w:p>
    <w:p w14:paraId="546BA3C2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407627F6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i/>
          <w:sz w:val="24"/>
          <w:szCs w:val="20"/>
          <w:lang w:val="es-ES_tradnl"/>
        </w:rPr>
      </w:pPr>
      <w:r w:rsidRPr="008041B0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Presentado por el representante </w:t>
      </w:r>
      <w:r w:rsidRPr="008041B0">
        <w:rPr>
          <w:rFonts w:ascii="Book Antiqua" w:eastAsia="Times New Roman" w:hAnsi="Book Antiqua" w:cs="Times New Roman"/>
          <w:i/>
          <w:sz w:val="24"/>
          <w:szCs w:val="20"/>
          <w:lang w:val="es-ES_tradnl"/>
        </w:rPr>
        <w:t>Charbonier Chinea</w:t>
      </w:r>
    </w:p>
    <w:p w14:paraId="0FE7E415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4E25B9B1" w14:textId="1CB6AB8B" w:rsidR="0050546E" w:rsidRPr="008041B0" w:rsidRDefault="00AC047A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0"/>
          <w:lang w:val="es-ES_tradnl"/>
        </w:rPr>
      </w:pPr>
      <w:r w:rsidRPr="008041B0">
        <w:rPr>
          <w:rFonts w:ascii="Book Antiqua" w:eastAsia="Times New Roman" w:hAnsi="Book Antiqua" w:cs="Times New Roman"/>
          <w:sz w:val="24"/>
          <w:szCs w:val="20"/>
          <w:lang w:val="es-ES_tradnl"/>
        </w:rPr>
        <w:t>Referido a la Comisión</w:t>
      </w:r>
      <w:r w:rsidR="0050546E" w:rsidRPr="008041B0">
        <w:rPr>
          <w:rFonts w:ascii="Book Antiqua" w:eastAsia="Times New Roman" w:hAnsi="Book Antiqua" w:cs="Times New Roman"/>
          <w:sz w:val="24"/>
          <w:szCs w:val="20"/>
          <w:lang w:val="es-ES_tradnl"/>
        </w:rPr>
        <w:t xml:space="preserve"> de </w:t>
      </w:r>
      <w:r w:rsidR="003F1AE8">
        <w:rPr>
          <w:rFonts w:ascii="Book Antiqua" w:eastAsia="Times New Roman" w:hAnsi="Book Antiqua" w:cs="Times New Roman"/>
          <w:sz w:val="24"/>
          <w:szCs w:val="20"/>
          <w:lang w:val="es-ES_tradnl"/>
        </w:rPr>
        <w:t>Transportación e Infraestructura</w:t>
      </w:r>
    </w:p>
    <w:p w14:paraId="1851A0C2" w14:textId="77777777" w:rsidR="0050546E" w:rsidRPr="008041B0" w:rsidRDefault="0050546E" w:rsidP="00A6275B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0E90E3B5" w14:textId="77777777" w:rsidR="00F274CC" w:rsidRPr="008041B0" w:rsidRDefault="00F274CC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b/>
          <w:sz w:val="28"/>
          <w:szCs w:val="28"/>
          <w:lang w:val="es-PR"/>
        </w:rPr>
      </w:pPr>
      <w:r w:rsidRPr="008041B0">
        <w:rPr>
          <w:rFonts w:ascii="Book Antiqua" w:eastAsia="Times New Roman" w:hAnsi="Book Antiqua" w:cs="Times New Roman"/>
          <w:b/>
          <w:sz w:val="28"/>
          <w:szCs w:val="28"/>
          <w:lang w:val="es-PR"/>
        </w:rPr>
        <w:t>LEY</w:t>
      </w:r>
    </w:p>
    <w:p w14:paraId="677C5731" w14:textId="77777777" w:rsidR="00F274CC" w:rsidRPr="008041B0" w:rsidRDefault="00F274CC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2829D4BC" w14:textId="77777777" w:rsidR="00F274CC" w:rsidRPr="008041B0" w:rsidRDefault="00F274CC" w:rsidP="00A6275B">
      <w:pPr>
        <w:suppressLineNumbers/>
        <w:spacing w:after="0" w:line="240" w:lineRule="auto"/>
        <w:ind w:left="720" w:hanging="720"/>
        <w:jc w:val="both"/>
        <w:rPr>
          <w:rFonts w:ascii="Book Antiqua" w:eastAsia="MS Mincho" w:hAnsi="Book Antiqua" w:cs="Times New Roman"/>
          <w:sz w:val="24"/>
          <w:szCs w:val="20"/>
          <w:lang w:val="es-ES_tradnl"/>
        </w:rPr>
      </w:pPr>
      <w:r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Para designar </w:t>
      </w:r>
      <w:r w:rsidR="00455C2E"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>la Ca</w:t>
      </w:r>
      <w:r w:rsidR="00563C85"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>rretera PR-39 conocida como la c</w:t>
      </w:r>
      <w:r w:rsidR="00455C2E"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alle Cerra en Santurce del Municipio de San Juan </w:t>
      </w:r>
      <w:r w:rsidRPr="008041B0">
        <w:rPr>
          <w:rFonts w:ascii="Book Antiqua" w:eastAsia="MS Mincho" w:hAnsi="Book Antiqua" w:cs="Times New Roman"/>
          <w:sz w:val="24"/>
          <w:szCs w:val="20"/>
          <w:lang w:val="es-ES_tradnl"/>
        </w:rPr>
        <w:t xml:space="preserve">como “Centro Gastronómico y Cultural Metropolitano”; autorizar a la Compañía de Turismo de Puerto Rico y al Instituto de Cultura Puertorriqueña al desarrollo conjunto de planes de mercadeo, promoción y apoyo de estos sectores; y para otros fines relacionados. </w:t>
      </w:r>
    </w:p>
    <w:p w14:paraId="67D2F348" w14:textId="77777777" w:rsidR="0050546E" w:rsidRPr="008041B0" w:rsidRDefault="0050546E" w:rsidP="00A6275B">
      <w:pPr>
        <w:suppressLineNumbers/>
        <w:spacing w:after="0" w:line="240" w:lineRule="auto"/>
        <w:rPr>
          <w:rFonts w:ascii="Book Antiqua" w:eastAsia="Times New Roman" w:hAnsi="Book Antiqua" w:cs="Times New Roman"/>
          <w:sz w:val="24"/>
          <w:szCs w:val="20"/>
          <w:lang w:val="es-ES_tradnl"/>
        </w:rPr>
      </w:pPr>
    </w:p>
    <w:p w14:paraId="22CBF9D5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_tradnl"/>
        </w:rPr>
      </w:pPr>
      <w:r w:rsidRPr="008041B0">
        <w:rPr>
          <w:rFonts w:ascii="Book Antiqua" w:eastAsia="Times New Roman" w:hAnsi="Book Antiqua" w:cs="Times New Roman"/>
          <w:sz w:val="24"/>
          <w:szCs w:val="20"/>
          <w:lang w:val="es-PR"/>
        </w:rPr>
        <w:t>EXPOSICIÓN DE MOTIVOS</w:t>
      </w:r>
    </w:p>
    <w:p w14:paraId="063C30B5" w14:textId="77777777" w:rsidR="0050546E" w:rsidRPr="008041B0" w:rsidRDefault="0050546E" w:rsidP="00A6275B">
      <w:pPr>
        <w:suppressLineNumbers/>
        <w:spacing w:after="0" w:line="240" w:lineRule="auto"/>
        <w:jc w:val="center"/>
        <w:rPr>
          <w:rFonts w:ascii="Book Antiqua" w:eastAsia="Times New Roman" w:hAnsi="Book Antiqua" w:cs="Times New Roman"/>
          <w:sz w:val="24"/>
          <w:szCs w:val="24"/>
          <w:lang w:val="es-ES_tradnl"/>
        </w:rPr>
      </w:pPr>
    </w:p>
    <w:p w14:paraId="4E253870" w14:textId="77777777" w:rsidR="00C13A7F" w:rsidRPr="008041B0" w:rsidRDefault="00563C85" w:rsidP="00A6275B">
      <w:pPr>
        <w:suppressLineNumbers/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sz w:val="24"/>
          <w:szCs w:val="24"/>
          <w:lang w:val="es-ES_tradnl"/>
        </w:rPr>
        <w:tab/>
      </w:r>
      <w:r w:rsidR="00077062" w:rsidRPr="008041B0">
        <w:rPr>
          <w:rFonts w:ascii="Book Antiqua" w:eastAsia="Times New Roman" w:hAnsi="Book Antiqua" w:cs="Times New Roman"/>
          <w:sz w:val="24"/>
          <w:szCs w:val="24"/>
          <w:lang w:val="es-ES_tradnl"/>
        </w:rPr>
        <w:t>L</w:t>
      </w:r>
      <w:r w:rsidR="00077062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a calle C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erra</w:t>
      </w:r>
      <w:r w:rsidR="00077062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tiene una larga historia de desarrollo, transformación y cultura. </w:t>
      </w:r>
      <w:r w:rsidR="00EC2B3B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Esta legendaria calle de Santurce </w:t>
      </w:r>
      <w:r w:rsidR="00851CB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hace más de 3 décadas</w:t>
      </w:r>
      <w:r w:rsidR="00EC2B3B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albergó algunas de las discográficas y oficinas más importantes de la salsa, incluida la famosa Fania Records. </w:t>
      </w:r>
      <w:r w:rsidR="00851CB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Cuando la tecnología y la internet transformaron la industria disquera fueron</w:t>
      </w:r>
      <w:r w:rsidR="00EC2B3B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cerraron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los</w:t>
      </w:r>
      <w:r w:rsidR="00EC2B3B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sellos discográficos </w:t>
      </w:r>
      <w:r w:rsidR="00EC2B3B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y las oficinas</w:t>
      </w:r>
      <w:r w:rsidR="00D76E1D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. </w:t>
      </w:r>
      <w:r w:rsidR="008A054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Todo e</w:t>
      </w:r>
      <w:r w:rsidR="00D76E1D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sto causó que </w:t>
      </w:r>
      <w:r w:rsidR="00EC2B3B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la calle fue</w:t>
      </w:r>
      <w:r w:rsidR="00D76E1D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ra</w:t>
      </w:r>
      <w:r w:rsidR="00EC2B3B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descuidada</w:t>
      </w:r>
      <w:r w:rsidR="008A054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y se convirtió</w:t>
      </w:r>
      <w:r w:rsidR="00851CB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en un área peligrosa y deprimida económicamente.</w:t>
      </w:r>
      <w:r w:rsidR="00EC2B3B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8A054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La misma </w:t>
      </w:r>
      <w:r w:rsidR="00EC2B3B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no fue rehabilitada hasta los últimos años cuando un </w:t>
      </w:r>
      <w:r w:rsidR="008A054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grup</w:t>
      </w:r>
      <w:r w:rsidR="00EC2B3B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o de empresarios locales revivieron la calle con nuevos restaurantes, bares y murales. </w:t>
      </w:r>
    </w:p>
    <w:p w14:paraId="04F312BB" w14:textId="77777777" w:rsidR="00C13A7F" w:rsidRPr="008041B0" w:rsidRDefault="00C13A7F" w:rsidP="00A6275B">
      <w:pPr>
        <w:suppressLineNumbers/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7C2254F0" w14:textId="77777777" w:rsidR="008B276D" w:rsidRPr="008041B0" w:rsidRDefault="008B276D" w:rsidP="008B276D">
      <w:pPr>
        <w:suppressLineNumbers/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ab/>
      </w:r>
      <w:r w:rsidR="009205F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La </w:t>
      </w:r>
      <w:r w:rsidR="00131E04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calle Cerra se ha convertido en uno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los lugares más alegóricos</w:t>
      </w:r>
      <w:r w:rsidR="009205F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y culturales de</w:t>
      </w:r>
      <w:r w:rsidR="00131E04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San Juan y de todo</w:t>
      </w:r>
      <w:r w:rsidR="009205F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Puerto Rico, 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siendo </w:t>
      </w:r>
      <w:r w:rsidR="009205F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representativo de nuestra diversidad y excelencia en gastronomía.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L</w:t>
      </w:r>
      <w:r w:rsidR="00947D83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a ampliación del área con venta de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productos locales, la construcción de locales y el establecimiento de restaurantes y barras integrando elementos culinarios locales e internacionales </w:t>
      </w:r>
      <w:r w:rsidR="008A054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ofrecen una oferta gastronómica exquisita en el área.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 </w:t>
      </w:r>
      <w:r w:rsidR="008A054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Parte de las actividades que se ofrecen en la calle es la celebración del Festival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="008A054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“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Santurce es Ley</w:t>
      </w:r>
      <w:r w:rsidR="008A054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”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el cual expone a Puerto Rico a nivel mundial, donde se invita a 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lastRenderedPageBreak/>
        <w:t>muralistas locales e internacionales a usar la calle como lienzo en blanco</w:t>
      </w:r>
      <w:r w:rsidR="008A054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para que puedan expresar y realizar su arte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.</w:t>
      </w:r>
    </w:p>
    <w:p w14:paraId="4C21868E" w14:textId="77777777" w:rsidR="009205F6" w:rsidRPr="008041B0" w:rsidRDefault="009205F6" w:rsidP="00A6275B">
      <w:pPr>
        <w:suppressLineNumbers/>
        <w:tabs>
          <w:tab w:val="left" w:pos="720"/>
        </w:tabs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3D33C9BB" w14:textId="77777777" w:rsidR="009205F6" w:rsidRPr="008041B0" w:rsidRDefault="009205F6" w:rsidP="008B276D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ab/>
        <w:t xml:space="preserve">Su transformación ha sido </w:t>
      </w:r>
      <w:r w:rsidR="00DF1219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una de gran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magnitud </w:t>
      </w:r>
      <w:r w:rsidR="00DF1219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convirtiendo la calle Cerra en un luga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r de referencia gastronómica y cultural, con muy buenas y variadas opciones.</w:t>
      </w:r>
      <w:r w:rsidR="006C01BC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Su variedad gastronómica es reconocida local e internacionalmente y se perfila como una de las zonas de mayor crecimiento gastronómico, económico y cultural del área metropolitana. </w:t>
      </w:r>
    </w:p>
    <w:p w14:paraId="06CEE41A" w14:textId="77777777" w:rsidR="00E156AF" w:rsidRPr="008041B0" w:rsidRDefault="00E156AF" w:rsidP="008B276D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4A1172C4" w14:textId="77777777" w:rsidR="00773F76" w:rsidRPr="008041B0" w:rsidRDefault="009205F6" w:rsidP="00A6275B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Reconociendo este crecimiento gastronómico que ha despuntado en la Isla, en conjunción con la preservación cultural que se encuentra inmer</w:t>
      </w:r>
      <w:r w:rsidR="00773F7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sa en este sector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de la Ciudad Capital, es meritorio de esta Asamblea Legislativa declarar a </w:t>
      </w:r>
      <w:r w:rsidR="00773F7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la Calle Cerra de Santurce como “Centro Gastronómico y Cultural Metropolitano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”, con el </w:t>
      </w:r>
      <w:r w:rsidR="00773F7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fin de reconocer este sector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como p</w:t>
      </w:r>
      <w:r w:rsidR="00773F7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ilar gastronómico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que </w:t>
      </w:r>
      <w:r w:rsidR="00773F7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a su vez 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redunde en beneficios económicos</w:t>
      </w:r>
      <w:r w:rsidR="00773F7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para este sector en Santurce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. </w:t>
      </w:r>
    </w:p>
    <w:p w14:paraId="1A6CA152" w14:textId="77777777" w:rsidR="007100FF" w:rsidRPr="008041B0" w:rsidRDefault="007100FF" w:rsidP="00A6275B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</w:p>
    <w:p w14:paraId="547591A4" w14:textId="77777777" w:rsidR="009205F6" w:rsidRPr="008041B0" w:rsidRDefault="00307CAE" w:rsidP="00A6275B">
      <w:pPr>
        <w:suppressLineNumbers/>
        <w:spacing w:after="0" w:line="240" w:lineRule="auto"/>
        <w:ind w:firstLine="720"/>
        <w:jc w:val="both"/>
        <w:rPr>
          <w:rFonts w:ascii="Book Antiqua" w:eastAsia="Times New Roman" w:hAnsi="Book Antiqua" w:cs="Times New Roman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De igual forma, </w:t>
      </w:r>
      <w:r w:rsidR="008041B0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se busca </w:t>
      </w:r>
      <w:r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que se </w:t>
      </w:r>
      <w:r w:rsidR="009205F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reconozca su aportación a nuestro crecimiento como pueblo para beneficio de estas y futuras generaciones. Con la presente medida se pretende además realzar el valor turístico de </w:t>
      </w:r>
      <w:r w:rsidR="008041B0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este sector en Santurce</w:t>
      </w:r>
      <w:r w:rsidR="009205F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con el fin de que la planificación y promoción que se den a los mismos, en virtud de esta Ley, propendan a aportar al crecimiento económico de la región y que se instituya e imparta un sello gastronómico y cultural a </w:t>
      </w:r>
      <w:r w:rsidR="008041B0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>la calle Cerra.</w:t>
      </w:r>
      <w:r w:rsidR="009205F6" w:rsidRPr="008041B0">
        <w:rPr>
          <w:rFonts w:ascii="Book Antiqua" w:eastAsia="Times New Roman" w:hAnsi="Book Antiqua" w:cs="Times New Roman"/>
          <w:sz w:val="24"/>
          <w:szCs w:val="24"/>
          <w:lang w:val="es-PR"/>
        </w:rPr>
        <w:t xml:space="preserve"> </w:t>
      </w:r>
    </w:p>
    <w:p w14:paraId="3D612C07" w14:textId="77777777" w:rsidR="0050546E" w:rsidRPr="008041B0" w:rsidRDefault="0050546E" w:rsidP="00A6275B">
      <w:pPr>
        <w:suppressLineNumbers/>
        <w:spacing w:after="0" w:line="240" w:lineRule="auto"/>
        <w:ind w:firstLine="360"/>
        <w:jc w:val="both"/>
        <w:rPr>
          <w:rFonts w:ascii="Book Antiqua" w:eastAsia="Times New Roman" w:hAnsi="Book Antiqua" w:cs="Times New Roman"/>
          <w:iCs/>
          <w:sz w:val="24"/>
          <w:szCs w:val="24"/>
          <w:lang w:val="es-PR"/>
        </w:rPr>
      </w:pPr>
    </w:p>
    <w:p w14:paraId="53E2CE27" w14:textId="77777777" w:rsidR="00621E4F" w:rsidRPr="008041B0" w:rsidRDefault="00621E4F" w:rsidP="00A6275B">
      <w:pPr>
        <w:suppressLineNumbers/>
        <w:spacing w:after="0" w:line="240" w:lineRule="auto"/>
        <w:jc w:val="both"/>
        <w:rPr>
          <w:rFonts w:ascii="Book Antiqua" w:eastAsia="Times New Roman" w:hAnsi="Book Antiqua" w:cs="Times New Roman"/>
          <w:bCs/>
          <w:i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bCs/>
          <w:i/>
          <w:color w:val="000000"/>
          <w:sz w:val="24"/>
          <w:szCs w:val="24"/>
          <w:lang w:val="es-PR"/>
        </w:rPr>
        <w:t xml:space="preserve">DECRÉTASE POR LA ASAMBLEA LEGISLATIVA DE PUERTO RICO: </w:t>
      </w:r>
    </w:p>
    <w:p w14:paraId="3F0B7E31" w14:textId="77777777" w:rsidR="00621E4F" w:rsidRPr="008041B0" w:rsidRDefault="00621E4F" w:rsidP="00A6275B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Book Antiqua" w:eastAsia="Times New Roman" w:hAnsi="Book Antiqua" w:cs="Times New Roman"/>
          <w:color w:val="000000"/>
          <w:sz w:val="24"/>
          <w:szCs w:val="24"/>
          <w:lang w:val="es-PR"/>
        </w:rPr>
      </w:pPr>
    </w:p>
    <w:p w14:paraId="36F4F757" w14:textId="698D8E02" w:rsidR="00621E4F" w:rsidRPr="008041B0" w:rsidRDefault="00621E4F" w:rsidP="00621E4F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Artículo 1.-Se declara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 la </w:t>
      </w:r>
      <w:r w:rsidR="00455C2E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Carretera PR-39 conocida como la </w:t>
      </w:r>
      <w:r w:rsidR="00EA58DF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c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alle C</w:t>
      </w:r>
      <w:r w:rsidR="00455C2E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erra en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 Santurce del Municipio de San Juan como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 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“Centro Gastronómico y Cultural Metropolitano</w:t>
      </w:r>
      <w:r w:rsidR="00CD77C7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”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.</w:t>
      </w:r>
    </w:p>
    <w:p w14:paraId="6EC1A0C4" w14:textId="77777777" w:rsidR="00621E4F" w:rsidRPr="008041B0" w:rsidRDefault="00621E4F" w:rsidP="00621E4F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Artículo 2.-Se ordena a la Compañía de Turismo de Puerto Rico y al Instituto de Cultura Puertorriqueña a integrar 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la </w:t>
      </w:r>
      <w:r w:rsidR="00455C2E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Ca</w:t>
      </w:r>
      <w:r w:rsidR="00EA58DF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rretera PR-39 conocida como la c</w:t>
      </w:r>
      <w:r w:rsidR="00455C2E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alle Cerra en Santurce 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y sus comercios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 dentro de sus planes de desarrollo turístico y cultural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. Ambas entidades integrará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>n además dentro de dichos planes al Municipio Autónomo de San Juan.</w:t>
      </w:r>
    </w:p>
    <w:p w14:paraId="15416914" w14:textId="77777777" w:rsidR="00621E4F" w:rsidRPr="008041B0" w:rsidRDefault="00621E4F" w:rsidP="00621E4F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</w:pP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Artículo 3.-Se ordena a la Compañía de Turismo de Puerto Rico y al Instituto de Cultura Puertorriqueña a preparar un plan integrado conjunto de desarrollo que incluya 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lastRenderedPageBreak/>
        <w:t>una adecuada promoción, mercadeo y adiestramientos a los comerciantes del área, para adelantar los propósitos de esta Ley. Ambas entidades gubernamentales integrarán al Municipio de Autónomo de San Juan, y a las entidades públicas y privadas que entiendan necesarias para lograr el cometido de esta Ley. En dicho plan integrado se orientar</w:t>
      </w:r>
      <w:r w:rsidRPr="008041B0">
        <w:rPr>
          <w:rFonts w:ascii="Book Antiqua" w:eastAsia="Times New Roman" w:hAnsi="Book Antiqua" w:cs="Calibri"/>
          <w:bCs/>
          <w:color w:val="000000"/>
          <w:sz w:val="24"/>
          <w:szCs w:val="24"/>
          <w:lang w:val="es-ES"/>
        </w:rPr>
        <w:t>á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además de todo derecho contributivo, laboral o de cualquier índole al que pudieran acogerse. </w:t>
      </w:r>
    </w:p>
    <w:p w14:paraId="0968F112" w14:textId="46474F8F" w:rsidR="00621E4F" w:rsidRPr="008041B0" w:rsidRDefault="00621E4F" w:rsidP="00621E4F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</w:pP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Artículo 4.-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PR"/>
        </w:rPr>
        <w:t xml:space="preserve">Se faculta a la 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Compañía de Turismo de Puerto Rico y al Instituto de Cultura Puertorriqueña a adoptar toda la reglamentación necesaria para cumplir los propósitos de la presente Ley dentro del término de ciento 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ochenta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 (</w:t>
      </w:r>
      <w:r w:rsidR="00AC047A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18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0) días contados a partir de la aprobación de </w:t>
      </w:r>
      <w:r w:rsidR="008A4806"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>esta</w:t>
      </w:r>
      <w:r w:rsidRPr="008041B0">
        <w:rPr>
          <w:rFonts w:ascii="Book Antiqua" w:eastAsia="Times New Roman" w:hAnsi="Book Antiqua" w:cs="Times New Roman"/>
          <w:bCs/>
          <w:color w:val="000000"/>
          <w:sz w:val="24"/>
          <w:szCs w:val="24"/>
          <w:lang w:val="es-ES"/>
        </w:rPr>
        <w:t xml:space="preserve">. </w:t>
      </w:r>
    </w:p>
    <w:p w14:paraId="19F4F9FC" w14:textId="77777777" w:rsidR="00D31406" w:rsidRPr="00773F76" w:rsidRDefault="00621E4F" w:rsidP="00621E4F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Book Antiqua" w:eastAsia="Times New Roman" w:hAnsi="Book Antiqua" w:cs="Times New Roman"/>
          <w:bCs/>
          <w:sz w:val="24"/>
          <w:szCs w:val="24"/>
          <w:lang w:val="es-ES"/>
        </w:rPr>
      </w:pPr>
      <w:r w:rsidRPr="008041B0">
        <w:rPr>
          <w:rFonts w:ascii="Book Antiqua" w:eastAsia="Times New Roman" w:hAnsi="Book Antiqua" w:cs="Times New Roman"/>
          <w:bCs/>
          <w:sz w:val="24"/>
          <w:szCs w:val="24"/>
          <w:lang w:val="es-ES"/>
        </w:rPr>
        <w:t>Artículo 5.-Esta Ley comenzará a regir inmediatamente después de su aprobación.</w:t>
      </w:r>
    </w:p>
    <w:sectPr w:rsidR="00D31406" w:rsidRPr="00773F76" w:rsidSect="0078165D">
      <w:headerReference w:type="even" r:id="rId6"/>
      <w:headerReference w:type="default" r:id="rId7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64502" w14:textId="77777777" w:rsidR="00464255" w:rsidRDefault="00464255" w:rsidP="0050546E">
      <w:pPr>
        <w:spacing w:after="0" w:line="240" w:lineRule="auto"/>
      </w:pPr>
      <w:r>
        <w:separator/>
      </w:r>
    </w:p>
  </w:endnote>
  <w:endnote w:type="continuationSeparator" w:id="0">
    <w:p w14:paraId="3B292704" w14:textId="77777777" w:rsidR="00464255" w:rsidRDefault="00464255" w:rsidP="005054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270618" w14:textId="77777777" w:rsidR="00464255" w:rsidRDefault="00464255" w:rsidP="0050546E">
      <w:pPr>
        <w:spacing w:after="0" w:line="240" w:lineRule="auto"/>
      </w:pPr>
      <w:r>
        <w:separator/>
      </w:r>
    </w:p>
  </w:footnote>
  <w:footnote w:type="continuationSeparator" w:id="0">
    <w:p w14:paraId="64D63D89" w14:textId="77777777" w:rsidR="00464255" w:rsidRDefault="00464255" w:rsidP="005054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AEC1F" w14:textId="77777777" w:rsidR="0050546E" w:rsidRDefault="0050546E" w:rsidP="00110B8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B715554" w14:textId="77777777" w:rsidR="0050546E" w:rsidRDefault="0050546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8EC04" w14:textId="77777777" w:rsidR="0050546E" w:rsidRDefault="0050546E" w:rsidP="00110B8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041B0">
      <w:rPr>
        <w:rStyle w:val="PageNumber"/>
        <w:noProof/>
      </w:rPr>
      <w:t>3</w:t>
    </w:r>
    <w:r>
      <w:rPr>
        <w:rStyle w:val="PageNumber"/>
      </w:rPr>
      <w:fldChar w:fldCharType="end"/>
    </w:r>
  </w:p>
  <w:p w14:paraId="66535A13" w14:textId="77777777" w:rsidR="0050546E" w:rsidRDefault="0050546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546E"/>
    <w:rsid w:val="00077062"/>
    <w:rsid w:val="000B232D"/>
    <w:rsid w:val="001316E4"/>
    <w:rsid w:val="00131E04"/>
    <w:rsid w:val="001945BE"/>
    <w:rsid w:val="001F2DDD"/>
    <w:rsid w:val="00307CAE"/>
    <w:rsid w:val="00363A5C"/>
    <w:rsid w:val="00387EB6"/>
    <w:rsid w:val="003F1AE8"/>
    <w:rsid w:val="00455C2E"/>
    <w:rsid w:val="00464255"/>
    <w:rsid w:val="0050546E"/>
    <w:rsid w:val="00522C3D"/>
    <w:rsid w:val="00563C85"/>
    <w:rsid w:val="00611795"/>
    <w:rsid w:val="00621E4F"/>
    <w:rsid w:val="006A7AB2"/>
    <w:rsid w:val="006C01BC"/>
    <w:rsid w:val="007100FF"/>
    <w:rsid w:val="00773F76"/>
    <w:rsid w:val="007A59B3"/>
    <w:rsid w:val="008041B0"/>
    <w:rsid w:val="0081250B"/>
    <w:rsid w:val="00851CB6"/>
    <w:rsid w:val="00882B5F"/>
    <w:rsid w:val="008A054C"/>
    <w:rsid w:val="008A4806"/>
    <w:rsid w:val="008B276D"/>
    <w:rsid w:val="009205F6"/>
    <w:rsid w:val="00947D83"/>
    <w:rsid w:val="00950162"/>
    <w:rsid w:val="00A51424"/>
    <w:rsid w:val="00A6275B"/>
    <w:rsid w:val="00A62F6C"/>
    <w:rsid w:val="00AC047A"/>
    <w:rsid w:val="00B0352C"/>
    <w:rsid w:val="00B07E7A"/>
    <w:rsid w:val="00C13A7F"/>
    <w:rsid w:val="00C1468D"/>
    <w:rsid w:val="00CB6BE5"/>
    <w:rsid w:val="00CC18A1"/>
    <w:rsid w:val="00CD77C7"/>
    <w:rsid w:val="00D31406"/>
    <w:rsid w:val="00D76E1D"/>
    <w:rsid w:val="00DC49F8"/>
    <w:rsid w:val="00DF1219"/>
    <w:rsid w:val="00DF6227"/>
    <w:rsid w:val="00E156AF"/>
    <w:rsid w:val="00EA58DF"/>
    <w:rsid w:val="00EC2B3B"/>
    <w:rsid w:val="00F274CC"/>
    <w:rsid w:val="00F439AA"/>
    <w:rsid w:val="00FB3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E1809"/>
  <w15:chartTrackingRefBased/>
  <w15:docId w15:val="{9442F864-B087-4419-8BE7-D0A30DE63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0546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546E"/>
  </w:style>
  <w:style w:type="character" w:styleId="PageNumber">
    <w:name w:val="page number"/>
    <w:basedOn w:val="DefaultParagraphFont"/>
    <w:rsid w:val="0050546E"/>
  </w:style>
  <w:style w:type="paragraph" w:styleId="FootnoteText">
    <w:name w:val="footnote text"/>
    <w:basedOn w:val="Normal"/>
    <w:link w:val="FootnoteTextChar"/>
    <w:uiPriority w:val="99"/>
    <w:semiHidden/>
    <w:unhideWhenUsed/>
    <w:rsid w:val="0050546E"/>
    <w:pPr>
      <w:spacing w:after="200" w:line="276" w:lineRule="auto"/>
    </w:pPr>
    <w:rPr>
      <w:rFonts w:ascii="Calibri" w:eastAsia="Calibri" w:hAnsi="Calibri" w:cs="Times New Roman"/>
      <w:sz w:val="20"/>
      <w:szCs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0546E"/>
    <w:rPr>
      <w:rFonts w:ascii="Calibri" w:eastAsia="Calibri" w:hAnsi="Calibri" w:cs="Times New Roman"/>
      <w:sz w:val="20"/>
      <w:szCs w:val="20"/>
      <w:lang w:val="es-PR"/>
    </w:rPr>
  </w:style>
  <w:style w:type="character" w:styleId="FootnoteReference">
    <w:name w:val="footnote reference"/>
    <w:uiPriority w:val="99"/>
    <w:semiHidden/>
    <w:unhideWhenUsed/>
    <w:rsid w:val="0050546E"/>
    <w:rPr>
      <w:vertAlign w:val="superscript"/>
    </w:rPr>
  </w:style>
  <w:style w:type="character" w:styleId="LineNumber">
    <w:name w:val="line number"/>
    <w:basedOn w:val="DefaultParagraphFont"/>
    <w:uiPriority w:val="99"/>
    <w:semiHidden/>
    <w:unhideWhenUsed/>
    <w:rsid w:val="0050546E"/>
  </w:style>
  <w:style w:type="paragraph" w:styleId="BalloonText">
    <w:name w:val="Balloon Text"/>
    <w:basedOn w:val="Normal"/>
    <w:link w:val="BalloonTextChar"/>
    <w:uiPriority w:val="99"/>
    <w:semiHidden/>
    <w:unhideWhenUsed/>
    <w:rsid w:val="00804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1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84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722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Víctor S. Berríos Sierra</dc:creator>
  <cp:keywords/>
  <dc:description/>
  <cp:lastModifiedBy>Gladys J. Burgos Torres</cp:lastModifiedBy>
  <cp:revision>3</cp:revision>
  <cp:lastPrinted>2021-09-29T21:42:00Z</cp:lastPrinted>
  <dcterms:created xsi:type="dcterms:W3CDTF">2025-01-31T15:10:00Z</dcterms:created>
  <dcterms:modified xsi:type="dcterms:W3CDTF">2025-02-03T14:33:00Z</dcterms:modified>
</cp:coreProperties>
</file>