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B31D74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B31D74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B31D74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B31D74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B31D74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B31D74">
        <w:rPr>
          <w:rFonts w:ascii="Book Antiqua" w:hAnsi="Book Antiqua"/>
          <w:szCs w:val="24"/>
          <w:lang w:val="es-ES_tradnl"/>
        </w:rPr>
        <w:t>20m</w:t>
      </w:r>
      <w:r w:rsidR="002670C1" w:rsidRPr="00B31D74">
        <w:rPr>
          <w:rFonts w:ascii="Book Antiqua" w:hAnsi="Book Antiqua"/>
          <w:szCs w:val="24"/>
          <w:lang w:val="es-ES_tradnl"/>
        </w:rPr>
        <w:t>a. Asamblea</w:t>
      </w:r>
      <w:r w:rsidR="002670C1" w:rsidRPr="00B31D74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B31D74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 </w:t>
      </w:r>
      <w:r w:rsidR="00445CFE" w:rsidRPr="00B31D74">
        <w:rPr>
          <w:rFonts w:ascii="Book Antiqua" w:hAnsi="Book Antiqua"/>
          <w:szCs w:val="24"/>
          <w:lang w:val="es-ES_tradnl"/>
        </w:rPr>
        <w:t>1r</w:t>
      </w:r>
      <w:r w:rsidR="002670C1" w:rsidRPr="00B31D74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B31D74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B31D74">
        <w:rPr>
          <w:rFonts w:ascii="Book Antiqua" w:hAnsi="Book Antiqua"/>
          <w:szCs w:val="24"/>
          <w:lang w:val="es-ES_tradnl"/>
        </w:rPr>
        <w:tab/>
        <w:t>Legislativa</w:t>
      </w:r>
      <w:r w:rsidRPr="00B31D74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      </w:t>
      </w:r>
      <w:r w:rsidRPr="00B31D74">
        <w:rPr>
          <w:rFonts w:ascii="Book Antiqua" w:hAnsi="Book Antiqua"/>
          <w:szCs w:val="24"/>
          <w:lang w:val="es-ES_tradnl"/>
        </w:rPr>
        <w:t xml:space="preserve"> </w:t>
      </w:r>
      <w:r w:rsidR="00632DBA" w:rsidRPr="00B31D74">
        <w:rPr>
          <w:rFonts w:ascii="Book Antiqua" w:hAnsi="Book Antiqua"/>
          <w:szCs w:val="24"/>
          <w:lang w:val="es-ES_tradnl"/>
        </w:rPr>
        <w:t xml:space="preserve"> </w:t>
      </w:r>
      <w:r w:rsidRPr="00B31D74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B31D74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B31D74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B31D74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4B955167" w:rsidR="002670C1" w:rsidRPr="00B31D74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B31D74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90106E" w:rsidRPr="00B31D74">
        <w:rPr>
          <w:rFonts w:ascii="Book Antiqua" w:hAnsi="Book Antiqua" w:cs="Tahoma"/>
          <w:b/>
          <w:sz w:val="52"/>
          <w:szCs w:val="52"/>
          <w:lang w:val="es-ES_tradnl"/>
        </w:rPr>
        <w:t>92</w:t>
      </w:r>
    </w:p>
    <w:p w14:paraId="2AB71EBC" w14:textId="77777777" w:rsidR="001A14B6" w:rsidRPr="00B31D74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B31D74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B31D74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B31D74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B31D74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E13484C" w:rsidR="002670C1" w:rsidRPr="00B31D74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B31D74">
        <w:rPr>
          <w:rFonts w:ascii="Book Antiqua" w:hAnsi="Book Antiqua" w:cs="Tahoma"/>
          <w:lang w:val="es-ES_tradnl"/>
        </w:rPr>
        <w:t xml:space="preserve"> </w:t>
      </w:r>
      <w:r w:rsidR="00FE14A3">
        <w:rPr>
          <w:rFonts w:ascii="Book Antiqua" w:hAnsi="Book Antiqua" w:cs="Tahoma"/>
          <w:lang w:val="es-ES_tradnl"/>
        </w:rPr>
        <w:t>21</w:t>
      </w:r>
      <w:r w:rsidRPr="00B31D74">
        <w:rPr>
          <w:rFonts w:ascii="Book Antiqua" w:hAnsi="Book Antiqua" w:cs="Tahoma"/>
          <w:lang w:val="es-ES_tradnl"/>
        </w:rPr>
        <w:t xml:space="preserve"> de </w:t>
      </w:r>
      <w:r w:rsidR="00062F39" w:rsidRPr="00B31D74">
        <w:rPr>
          <w:rFonts w:ascii="Book Antiqua" w:hAnsi="Book Antiqua" w:cs="Tahoma"/>
          <w:lang w:val="es-ES_tradnl"/>
        </w:rPr>
        <w:t>marzo</w:t>
      </w:r>
      <w:r w:rsidRPr="00B31D74">
        <w:rPr>
          <w:rFonts w:ascii="Book Antiqua" w:hAnsi="Book Antiqua" w:cs="Tahoma"/>
          <w:lang w:val="es-ES_tradnl"/>
        </w:rPr>
        <w:t xml:space="preserve"> de </w:t>
      </w:r>
      <w:r w:rsidR="00333864" w:rsidRPr="00B31D74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B31D74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B31D74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B31D74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B31D74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B31D74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7BCC8E06" w:rsidR="00682883" w:rsidRPr="00B31D74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B31D74">
        <w:rPr>
          <w:rFonts w:ascii="Book Antiqua" w:hAnsi="Book Antiqua" w:cs="Tahoma"/>
          <w:lang w:val="es-ES_tradnl"/>
        </w:rPr>
        <w:tab/>
      </w:r>
      <w:r w:rsidR="008A4022" w:rsidRPr="00B31D74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B31D74">
        <w:rPr>
          <w:rFonts w:ascii="Book Antiqua" w:hAnsi="Book Antiqua" w:cs="Tahoma"/>
          <w:lang w:val="es-ES_tradnl"/>
        </w:rPr>
        <w:t>sideración de la R. de la C.</w:t>
      </w:r>
      <w:r w:rsidR="0090106E" w:rsidRPr="00B31D74">
        <w:rPr>
          <w:rFonts w:ascii="Book Antiqua" w:hAnsi="Book Antiqua" w:cs="Tahoma"/>
          <w:lang w:val="es-ES_tradnl"/>
        </w:rPr>
        <w:t xml:space="preserve"> 92</w:t>
      </w:r>
      <w:r w:rsidR="00FA5F29" w:rsidRPr="00B31D74">
        <w:rPr>
          <w:rFonts w:ascii="Book Antiqua" w:hAnsi="Book Antiqua" w:cs="Tahoma"/>
          <w:lang w:val="es-ES_tradnl"/>
        </w:rPr>
        <w:t xml:space="preserve">, </w:t>
      </w:r>
      <w:r w:rsidR="009E2C2B" w:rsidRPr="00B31D74">
        <w:rPr>
          <w:rFonts w:ascii="Book Antiqua" w:hAnsi="Book Antiqua" w:cs="Tahoma"/>
          <w:lang w:val="es-ES_tradnl"/>
        </w:rPr>
        <w:t>presentada por el</w:t>
      </w:r>
      <w:r w:rsidR="00272823" w:rsidRPr="00B31D74">
        <w:rPr>
          <w:rFonts w:ascii="Book Antiqua" w:hAnsi="Book Antiqua" w:cs="Tahoma"/>
          <w:lang w:val="es-ES_tradnl"/>
        </w:rPr>
        <w:t xml:space="preserve"> representante</w:t>
      </w:r>
      <w:r w:rsidR="00DF3E6F" w:rsidRPr="00B31D74">
        <w:rPr>
          <w:rFonts w:ascii="Book Antiqua" w:hAnsi="Book Antiqua" w:cs="Tahoma"/>
          <w:lang w:val="es-ES_tradnl"/>
        </w:rPr>
        <w:t xml:space="preserve"> </w:t>
      </w:r>
      <w:r w:rsidR="0090106E" w:rsidRPr="00B31D74">
        <w:rPr>
          <w:rFonts w:ascii="Book Antiqua" w:hAnsi="Book Antiqua" w:cs="Tahoma"/>
          <w:lang w:val="es-ES_tradnl"/>
        </w:rPr>
        <w:t>Charbonier Chinea</w:t>
      </w:r>
      <w:r w:rsidR="0033177A">
        <w:rPr>
          <w:rFonts w:ascii="Book Antiqua" w:hAnsi="Book Antiqua" w:cs="Tahoma"/>
          <w:lang w:val="es-ES_tradnl"/>
        </w:rPr>
        <w:t>,</w:t>
      </w:r>
      <w:r w:rsidR="009E2C2B" w:rsidRPr="00B31D74">
        <w:rPr>
          <w:rFonts w:ascii="Book Antiqua" w:hAnsi="Book Antiqua" w:cs="Tahoma"/>
          <w:lang w:val="es-ES_tradnl"/>
        </w:rPr>
        <w:t xml:space="preserve"> </w:t>
      </w:r>
      <w:r w:rsidR="00682883" w:rsidRPr="00B31D74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33177A">
        <w:rPr>
          <w:rFonts w:ascii="Book Antiqua" w:hAnsi="Book Antiqua" w:cs="Tahoma"/>
          <w:lang w:val="es-ES_tradnl"/>
        </w:rPr>
        <w:t>,</w:t>
      </w:r>
      <w:r w:rsidR="00682883" w:rsidRPr="00B31D74">
        <w:rPr>
          <w:rFonts w:ascii="Book Antiqua" w:hAnsi="Book Antiqua" w:cs="Tahoma"/>
          <w:lang w:val="es-ES_tradnl"/>
        </w:rPr>
        <w:t xml:space="preserve"> con las enmiendas contenidas en el entirillado electrónico que acompaña este </w:t>
      </w:r>
      <w:r w:rsidR="0033177A">
        <w:rPr>
          <w:rFonts w:ascii="Book Antiqua" w:hAnsi="Book Antiqua" w:cs="Tahoma"/>
          <w:lang w:val="es-ES_tradnl"/>
        </w:rPr>
        <w:t>I</w:t>
      </w:r>
      <w:r w:rsidR="00682883" w:rsidRPr="00B31D74">
        <w:rPr>
          <w:rFonts w:ascii="Book Antiqua" w:hAnsi="Book Antiqua" w:cs="Tahoma"/>
          <w:lang w:val="es-ES_tradnl"/>
        </w:rPr>
        <w:t>nforme, cuyo título lee:</w:t>
      </w:r>
    </w:p>
    <w:p w14:paraId="31C593C5" w14:textId="77777777" w:rsidR="00BC1CB2" w:rsidRPr="00B31D74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5F0ABB44" w:rsidR="008D4A0A" w:rsidRPr="00B31D74" w:rsidRDefault="00BC1CB2" w:rsidP="0090106E">
      <w:pPr>
        <w:ind w:left="567" w:hanging="567"/>
        <w:jc w:val="both"/>
        <w:rPr>
          <w:rFonts w:ascii="Book Antiqua" w:hAnsi="Book Antiqua"/>
          <w:lang w:val="es-ES_tradnl"/>
        </w:rPr>
      </w:pPr>
      <w:r w:rsidRPr="00B31D74">
        <w:rPr>
          <w:rFonts w:ascii="Book Antiqua" w:hAnsi="Book Antiqua" w:cs="Tahoma"/>
          <w:lang w:val="es-ES_tradnl"/>
        </w:rPr>
        <w:t xml:space="preserve"> </w:t>
      </w:r>
      <w:r w:rsidR="00E86FF9" w:rsidRPr="00B31D74">
        <w:rPr>
          <w:rFonts w:ascii="Book Antiqua" w:hAnsi="Book Antiqua" w:cs="Tahoma"/>
          <w:lang w:val="es-ES_tradnl"/>
        </w:rPr>
        <w:t>“</w:t>
      </w:r>
      <w:r w:rsidR="00E86FF9" w:rsidRPr="00B31D74">
        <w:rPr>
          <w:rFonts w:ascii="Book Antiqua" w:hAnsi="Book Antiqua"/>
          <w:lang w:val="es-ES_tradnl"/>
        </w:rPr>
        <w:t>Para</w:t>
      </w:r>
      <w:r w:rsidR="00E86FF9" w:rsidRPr="00B31D74">
        <w:rPr>
          <w:lang w:val="es-ES_tradnl"/>
        </w:rPr>
        <w:t xml:space="preserve"> </w:t>
      </w:r>
      <w:r w:rsidR="00041455" w:rsidRPr="00041455">
        <w:rPr>
          <w:rFonts w:ascii="Book Antiqua" w:hAnsi="Book Antiqua"/>
          <w:lang w:val="es-PR"/>
        </w:rPr>
        <w:t>ordenar a la Comisión de Seguridad Pública de la Cámara de Representantes de Puerto Rico, realizar una investigación exhaustiva sobre el manejo y distribución de los recaudos generados por concepto de licencias y multas relacionadas con el Negociado de la Policía de Puerto Rico conforme a lo dispuesto en la Ley 168-2019, según enmendada, conocida como “Ley de Armas de Puerto Rico de 2020”; examinar posibles medidas para optimizar su utilización; y para otros fines relacionados</w:t>
      </w:r>
      <w:r w:rsidR="0090106E" w:rsidRPr="00B31D74">
        <w:rPr>
          <w:rFonts w:ascii="Book Antiqua" w:hAnsi="Book Antiqua"/>
          <w:lang w:val="es-ES_tradnl"/>
        </w:rPr>
        <w:t>.</w:t>
      </w:r>
      <w:r w:rsidR="00FA5F29" w:rsidRPr="00B31D74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B31D74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B31D74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B31D74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B31D74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55AA8BA" w14:textId="6F44EC3F" w:rsidR="00A87247" w:rsidRPr="00B31D74" w:rsidRDefault="00CC4336" w:rsidP="00A87247">
      <w:pPr>
        <w:jc w:val="both"/>
        <w:rPr>
          <w:rFonts w:ascii="Book Antiqua" w:hAnsi="Book Antiqua"/>
          <w:lang w:val="es-ES_tradnl"/>
        </w:rPr>
      </w:pPr>
      <w:r w:rsidRPr="00B31D74">
        <w:rPr>
          <w:rFonts w:ascii="Book Antiqua" w:eastAsiaTheme="minorHAnsi" w:hAnsi="Book Antiqua"/>
          <w:lang w:val="es-ES_tradnl"/>
        </w:rPr>
        <w:t xml:space="preserve"> </w:t>
      </w:r>
      <w:r w:rsidR="000550FF">
        <w:rPr>
          <w:rFonts w:ascii="Book Antiqua" w:eastAsiaTheme="minorHAnsi" w:hAnsi="Book Antiqua"/>
          <w:lang w:val="es-ES_tradnl"/>
        </w:rPr>
        <w:tab/>
      </w:r>
      <w:r w:rsidR="00DE02EB" w:rsidRPr="00B31D74">
        <w:rPr>
          <w:rFonts w:ascii="Book Antiqua" w:hAnsi="Book Antiqua"/>
          <w:lang w:val="es-ES_tradnl"/>
        </w:rPr>
        <w:t>La</w:t>
      </w:r>
      <w:r w:rsidR="00194744" w:rsidRPr="00B31D74">
        <w:rPr>
          <w:rFonts w:ascii="Book Antiqua" w:hAnsi="Book Antiqua"/>
          <w:lang w:val="es-ES_tradnl"/>
        </w:rPr>
        <w:t xml:space="preserve"> Resolución de la Cámara Núm.</w:t>
      </w:r>
      <w:r w:rsidR="00A87247" w:rsidRPr="00B31D74">
        <w:rPr>
          <w:rFonts w:ascii="Book Antiqua" w:hAnsi="Book Antiqua"/>
          <w:lang w:val="es-ES_tradnl"/>
        </w:rPr>
        <w:t xml:space="preserve"> 92 tiene como propósito evaluar la administración y distribución de los fondos provenientes de licencias y multas conforme a la </w:t>
      </w:r>
      <w:r w:rsidR="00A87247" w:rsidRPr="00B31D74">
        <w:rPr>
          <w:rFonts w:ascii="Book Antiqua" w:hAnsi="Book Antiqua"/>
          <w:bCs/>
          <w:lang w:val="es-ES_tradnl"/>
        </w:rPr>
        <w:t xml:space="preserve">Ley 168-2019, </w:t>
      </w:r>
      <w:r w:rsidR="000550FF">
        <w:rPr>
          <w:rFonts w:ascii="Book Antiqua" w:hAnsi="Book Antiqua"/>
          <w:bCs/>
          <w:lang w:val="es-ES_tradnl"/>
        </w:rPr>
        <w:t xml:space="preserve">según enmendada, </w:t>
      </w:r>
      <w:r w:rsidR="00A87247" w:rsidRPr="00B31D74">
        <w:rPr>
          <w:rFonts w:ascii="Book Antiqua" w:hAnsi="Book Antiqua"/>
          <w:bCs/>
          <w:lang w:val="es-ES_tradnl"/>
        </w:rPr>
        <w:t xml:space="preserve">conocida como la </w:t>
      </w:r>
      <w:r w:rsidR="000550FF">
        <w:rPr>
          <w:rFonts w:ascii="Book Antiqua" w:hAnsi="Book Antiqua"/>
          <w:bCs/>
          <w:lang w:val="es-ES_tradnl"/>
        </w:rPr>
        <w:t>“</w:t>
      </w:r>
      <w:r w:rsidR="00A87247" w:rsidRPr="00B31D74">
        <w:rPr>
          <w:rFonts w:ascii="Book Antiqua" w:hAnsi="Book Antiqua"/>
          <w:bCs/>
          <w:lang w:val="es-ES_tradnl"/>
        </w:rPr>
        <w:t>Ley de Armas de Puerto Rico</w:t>
      </w:r>
      <w:r w:rsidR="000550FF">
        <w:rPr>
          <w:rFonts w:ascii="Book Antiqua" w:hAnsi="Book Antiqua"/>
          <w:bCs/>
          <w:lang w:val="es-ES_tradnl"/>
        </w:rPr>
        <w:t xml:space="preserve"> de 2020”</w:t>
      </w:r>
      <w:r w:rsidR="00A87247" w:rsidRPr="00B31D74">
        <w:rPr>
          <w:rFonts w:ascii="Book Antiqua" w:hAnsi="Book Antiqua"/>
          <w:lang w:val="es-ES_tradnl"/>
        </w:rPr>
        <w:t>. La medida busca determinar si estos fondos están siendo utilizados eficientemente para el sostenimiento de la Oficina de Licencias de Armas y otros programas del Negociado de la Policía de Puerto Rico.</w:t>
      </w:r>
    </w:p>
    <w:p w14:paraId="2A2DD50C" w14:textId="77777777" w:rsidR="00B31D74" w:rsidRPr="00B31D74" w:rsidRDefault="00B31D74" w:rsidP="00A87247">
      <w:pPr>
        <w:jc w:val="both"/>
        <w:rPr>
          <w:rFonts w:ascii="Book Antiqua" w:hAnsi="Book Antiqua"/>
          <w:lang w:val="es-ES_tradnl"/>
        </w:rPr>
      </w:pPr>
    </w:p>
    <w:p w14:paraId="0AEF84A1" w14:textId="06122A28" w:rsidR="00A87247" w:rsidRPr="00B31D74" w:rsidRDefault="00A87247" w:rsidP="00CB33BC">
      <w:pPr>
        <w:ind w:firstLine="708"/>
        <w:jc w:val="both"/>
        <w:rPr>
          <w:rFonts w:ascii="Book Antiqua" w:hAnsi="Book Antiqua"/>
          <w:lang w:val="es-ES_tradnl"/>
        </w:rPr>
      </w:pPr>
      <w:r w:rsidRPr="00B31D74">
        <w:rPr>
          <w:rFonts w:ascii="Book Antiqua" w:hAnsi="Book Antiqua"/>
          <w:lang w:val="es-ES_tradnl"/>
        </w:rPr>
        <w:lastRenderedPageBreak/>
        <w:t xml:space="preserve">El </w:t>
      </w:r>
      <w:r w:rsidRPr="00B31D74">
        <w:rPr>
          <w:rFonts w:ascii="Book Antiqua" w:hAnsi="Book Antiqua"/>
          <w:bCs/>
          <w:lang w:val="es-ES_tradnl"/>
        </w:rPr>
        <w:t>Artículo 2.04 de la Ley 168-2019</w:t>
      </w:r>
      <w:r w:rsidR="000550FF">
        <w:rPr>
          <w:rFonts w:ascii="Book Antiqua" w:hAnsi="Book Antiqua"/>
          <w:bCs/>
          <w:lang w:val="es-ES_tradnl"/>
        </w:rPr>
        <w:t>, ates citada,</w:t>
      </w:r>
      <w:r w:rsidRPr="00B31D74">
        <w:rPr>
          <w:rFonts w:ascii="Book Antiqua" w:hAnsi="Book Antiqua"/>
          <w:lang w:val="es-ES_tradnl"/>
        </w:rPr>
        <w:t xml:space="preserve"> establece que el </w:t>
      </w:r>
      <w:r w:rsidRPr="00B31D74">
        <w:rPr>
          <w:rFonts w:ascii="Book Antiqua" w:hAnsi="Book Antiqua"/>
          <w:bCs/>
          <w:lang w:val="es-ES_tradnl"/>
        </w:rPr>
        <w:t>Departamento de Hacienda transferirá al Negociado de la Policía los recaudos de licencias y multas</w:t>
      </w:r>
      <w:r w:rsidRPr="00B31D74">
        <w:rPr>
          <w:rFonts w:ascii="Book Antiqua" w:hAnsi="Book Antiqua"/>
          <w:lang w:val="es-ES_tradnl"/>
        </w:rPr>
        <w:t xml:space="preserve"> generados por la expedición de permisos de armas. Dichos fondos deben utilizarse </w:t>
      </w:r>
      <w:r w:rsidRPr="00B31D74">
        <w:rPr>
          <w:rFonts w:ascii="Book Antiqua" w:hAnsi="Book Antiqua"/>
          <w:bCs/>
          <w:lang w:val="es-ES_tradnl"/>
        </w:rPr>
        <w:t>exclusivamente</w:t>
      </w:r>
      <w:r w:rsidRPr="00B31D74">
        <w:rPr>
          <w:rFonts w:ascii="Book Antiqua" w:hAnsi="Book Antiqua"/>
          <w:lang w:val="es-ES_tradnl"/>
        </w:rPr>
        <w:t xml:space="preserve"> para:</w:t>
      </w:r>
      <w:r w:rsidR="00B31D74" w:rsidRPr="00B31D74">
        <w:rPr>
          <w:rFonts w:ascii="Book Antiqua" w:hAnsi="Book Antiqua"/>
          <w:lang w:val="es-ES_tradnl"/>
        </w:rPr>
        <w:t xml:space="preserve"> </w:t>
      </w:r>
      <w:r w:rsidR="00CB33BC">
        <w:rPr>
          <w:rFonts w:ascii="Book Antiqua" w:hAnsi="Book Antiqua"/>
          <w:lang w:val="es-ES_tradnl"/>
        </w:rPr>
        <w:t>l</w:t>
      </w:r>
      <w:r w:rsidRPr="00B31D74">
        <w:rPr>
          <w:rFonts w:ascii="Book Antiqua" w:hAnsi="Book Antiqua"/>
          <w:lang w:val="es-ES_tradnl"/>
        </w:rPr>
        <w:t>a operación continua del proceso de licencias de armas</w:t>
      </w:r>
      <w:r w:rsidR="00CB33BC">
        <w:rPr>
          <w:rFonts w:ascii="Book Antiqua" w:hAnsi="Book Antiqua"/>
          <w:lang w:val="es-ES_tradnl"/>
        </w:rPr>
        <w:t>; e</w:t>
      </w:r>
      <w:r w:rsidRPr="00B31D74">
        <w:rPr>
          <w:rFonts w:ascii="Book Antiqua" w:hAnsi="Book Antiqua"/>
          <w:lang w:val="es-ES_tradnl"/>
        </w:rPr>
        <w:t>l mantenimiento y funcionamiento de la Oficina de Licencias de Armas</w:t>
      </w:r>
      <w:r w:rsidR="00CB33BC">
        <w:rPr>
          <w:rFonts w:ascii="Book Antiqua" w:hAnsi="Book Antiqua"/>
          <w:lang w:val="es-ES_tradnl"/>
        </w:rPr>
        <w:t>; c</w:t>
      </w:r>
      <w:r w:rsidRPr="00B31D74">
        <w:rPr>
          <w:rFonts w:ascii="Book Antiqua" w:hAnsi="Book Antiqua"/>
          <w:lang w:val="es-ES_tradnl"/>
        </w:rPr>
        <w:t>ampañas de orientación pública sobre el uso y manejo de armas</w:t>
      </w:r>
      <w:r w:rsidR="00CB33BC">
        <w:rPr>
          <w:rFonts w:ascii="Book Antiqua" w:hAnsi="Book Antiqua"/>
          <w:lang w:val="es-ES_tradnl"/>
        </w:rPr>
        <w:t>; y para o</w:t>
      </w:r>
      <w:r w:rsidRPr="00B31D74">
        <w:rPr>
          <w:rFonts w:ascii="Book Antiqua" w:hAnsi="Book Antiqua"/>
          <w:lang w:val="es-ES_tradnl"/>
        </w:rPr>
        <w:t>tros conceptos autorizados por la Ley.</w:t>
      </w:r>
    </w:p>
    <w:p w14:paraId="26B80290" w14:textId="77777777" w:rsidR="00B31D74" w:rsidRPr="00B31D74" w:rsidRDefault="00B31D74" w:rsidP="00B31D74">
      <w:pPr>
        <w:ind w:left="720"/>
        <w:jc w:val="both"/>
        <w:rPr>
          <w:rFonts w:ascii="Book Antiqua" w:hAnsi="Book Antiqua"/>
          <w:lang w:val="es-ES_tradnl"/>
        </w:rPr>
      </w:pPr>
    </w:p>
    <w:p w14:paraId="21BFB96E" w14:textId="4880595C" w:rsidR="00A87247" w:rsidRPr="00B31D74" w:rsidRDefault="00A87247" w:rsidP="00690336">
      <w:pPr>
        <w:ind w:firstLine="708"/>
        <w:jc w:val="both"/>
        <w:rPr>
          <w:rFonts w:ascii="Book Antiqua" w:hAnsi="Book Antiqua"/>
          <w:lang w:val="es-ES_tradnl"/>
        </w:rPr>
      </w:pPr>
      <w:r w:rsidRPr="00B31D74">
        <w:rPr>
          <w:rFonts w:ascii="Book Antiqua" w:hAnsi="Book Antiqua"/>
          <w:lang w:val="es-ES_tradnl"/>
        </w:rPr>
        <w:t xml:space="preserve">No obstante, </w:t>
      </w:r>
      <w:r w:rsidRPr="00B31D74">
        <w:rPr>
          <w:rFonts w:ascii="Book Antiqua" w:hAnsi="Book Antiqua"/>
          <w:bCs/>
          <w:lang w:val="es-ES_tradnl"/>
        </w:rPr>
        <w:t>existen preocupaciones sobre la eficiencia en el uso de estos recursos</w:t>
      </w:r>
      <w:r w:rsidRPr="00B31D74">
        <w:rPr>
          <w:rFonts w:ascii="Book Antiqua" w:hAnsi="Book Antiqua"/>
          <w:lang w:val="es-ES_tradnl"/>
        </w:rPr>
        <w:t xml:space="preserve">, lo que ha generado reclamos de la ciudadanía y de sectores de la seguridad pública. Por ello, la presente medida propone </w:t>
      </w:r>
      <w:r w:rsidRPr="00B31D74">
        <w:rPr>
          <w:rFonts w:ascii="Book Antiqua" w:hAnsi="Book Antiqua"/>
          <w:bCs/>
          <w:lang w:val="es-ES_tradnl"/>
        </w:rPr>
        <w:t>examinar alternativas para optimizar la utilización de estos fondos</w:t>
      </w:r>
      <w:r w:rsidRPr="00B31D74">
        <w:rPr>
          <w:rFonts w:ascii="Book Antiqua" w:hAnsi="Book Antiqua"/>
          <w:lang w:val="es-ES_tradnl"/>
        </w:rPr>
        <w:t>, asegurando que contribuyan a mejorar los servicios del Negociado de la Policía y agilizar el procesamiento de licencias.</w:t>
      </w:r>
    </w:p>
    <w:p w14:paraId="5339797E" w14:textId="101436CA" w:rsidR="00A87247" w:rsidRPr="00B31D74" w:rsidRDefault="00A87247" w:rsidP="00A87247">
      <w:pPr>
        <w:jc w:val="both"/>
        <w:rPr>
          <w:rFonts w:ascii="Book Antiqua" w:hAnsi="Book Antiqua"/>
          <w:lang w:val="es-ES_tradnl"/>
        </w:rPr>
      </w:pPr>
    </w:p>
    <w:p w14:paraId="68D01DEB" w14:textId="659D6E5A" w:rsidR="006150BB" w:rsidRPr="00B31D74" w:rsidRDefault="006150BB" w:rsidP="00B31D74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B31D74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318AB4C" w14:textId="6D46CD13" w:rsidR="006150BB" w:rsidRPr="00B31D74" w:rsidRDefault="006150BB" w:rsidP="00690336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B31D74">
        <w:rPr>
          <w:rFonts w:ascii="Book Antiqua" w:hAnsi="Book Antiqua"/>
          <w:sz w:val="24"/>
          <w:szCs w:val="24"/>
          <w:lang w:val="es-ES_tradnl"/>
        </w:rPr>
        <w:t>En atención a lo expuesto, la Comisió</w:t>
      </w:r>
      <w:r w:rsidR="00620C45">
        <w:rPr>
          <w:rFonts w:ascii="Book Antiqua" w:hAnsi="Book Antiqua"/>
          <w:sz w:val="24"/>
          <w:szCs w:val="24"/>
          <w:lang w:val="es-ES_tradnl"/>
        </w:rPr>
        <w:t>n</w:t>
      </w:r>
      <w:r w:rsidRPr="00B31D74">
        <w:rPr>
          <w:rFonts w:ascii="Book Antiqua" w:hAnsi="Book Antiqua"/>
          <w:sz w:val="24"/>
          <w:szCs w:val="24"/>
          <w:lang w:val="es-ES_tradnl"/>
        </w:rPr>
        <w:t xml:space="preserve">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la misma.</w:t>
      </w:r>
    </w:p>
    <w:p w14:paraId="34703DCE" w14:textId="3DF87FAC" w:rsidR="006150BB" w:rsidRPr="00B31D74" w:rsidRDefault="006150BB" w:rsidP="00690336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B31D74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B31D74" w:rsidRPr="00B31D74">
        <w:rPr>
          <w:rFonts w:ascii="Book Antiqua" w:hAnsi="Book Antiqua"/>
          <w:sz w:val="24"/>
          <w:szCs w:val="24"/>
          <w:lang w:val="es-ES_tradnl"/>
        </w:rPr>
        <w:t>92</w:t>
      </w:r>
      <w:r w:rsidR="00690336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B31D74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B31D74">
        <w:rPr>
          <w:rFonts w:ascii="Book Antiqua" w:hAnsi="Book Antiqua"/>
          <w:sz w:val="24"/>
          <w:szCs w:val="24"/>
          <w:lang w:val="es-ES_tradnl"/>
        </w:rPr>
        <w:t xml:space="preserve"> enmiendas</w:t>
      </w:r>
      <w:r w:rsidR="00690336">
        <w:rPr>
          <w:rFonts w:ascii="Book Antiqua" w:hAnsi="Book Antiqua"/>
          <w:sz w:val="24"/>
          <w:szCs w:val="24"/>
          <w:lang w:val="es-ES_tradnl"/>
        </w:rPr>
        <w:t xml:space="preserve"> incluidas en el entirillado electrónico que acompaña este Informe</w:t>
      </w:r>
      <w:r w:rsidRPr="00B31D74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50FFCE58" w14:textId="77777777" w:rsidR="006150BB" w:rsidRPr="00B31D74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B31D74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B31D74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B31D74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B31D74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B31D74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C06768D" w14:textId="77777777" w:rsidR="003F3D8D" w:rsidRPr="00B31D74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B31D74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B31D74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B31D74">
        <w:rPr>
          <w:rFonts w:ascii="Book Antiqua" w:hAnsi="Book Antiqua" w:cs="Tahoma"/>
          <w:lang w:val="es-ES_tradnl"/>
        </w:rPr>
        <w:br/>
        <w:t>Presidente</w:t>
      </w:r>
      <w:r w:rsidRPr="00B31D74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B31D74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7EF67" w14:textId="77777777" w:rsidR="007D6598" w:rsidRDefault="007D6598" w:rsidP="00614C2C">
      <w:r>
        <w:separator/>
      </w:r>
    </w:p>
  </w:endnote>
  <w:endnote w:type="continuationSeparator" w:id="0">
    <w:p w14:paraId="4D3FEF0B" w14:textId="77777777" w:rsidR="007D6598" w:rsidRDefault="007D6598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A87247" w:rsidRDefault="00A8724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1D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A87247" w:rsidRDefault="00A872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2A321" w14:textId="77777777" w:rsidR="007D6598" w:rsidRDefault="007D6598" w:rsidP="00614C2C">
      <w:r>
        <w:separator/>
      </w:r>
    </w:p>
  </w:footnote>
  <w:footnote w:type="continuationSeparator" w:id="0">
    <w:p w14:paraId="3DEBB749" w14:textId="77777777" w:rsidR="007D6598" w:rsidRDefault="007D6598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6F605F"/>
    <w:multiLevelType w:val="multilevel"/>
    <w:tmpl w:val="F188B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BA27CED"/>
    <w:multiLevelType w:val="multilevel"/>
    <w:tmpl w:val="DC986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0686304">
    <w:abstractNumId w:val="7"/>
  </w:num>
  <w:num w:numId="2" w16cid:durableId="1774593795">
    <w:abstractNumId w:val="14"/>
  </w:num>
  <w:num w:numId="3" w16cid:durableId="945111251">
    <w:abstractNumId w:val="3"/>
  </w:num>
  <w:num w:numId="4" w16cid:durableId="699548876">
    <w:abstractNumId w:val="1"/>
  </w:num>
  <w:num w:numId="5" w16cid:durableId="126632563">
    <w:abstractNumId w:val="8"/>
  </w:num>
  <w:num w:numId="6" w16cid:durableId="148861403">
    <w:abstractNumId w:val="4"/>
  </w:num>
  <w:num w:numId="7" w16cid:durableId="1520659425">
    <w:abstractNumId w:val="6"/>
  </w:num>
  <w:num w:numId="8" w16cid:durableId="483620950">
    <w:abstractNumId w:val="9"/>
  </w:num>
  <w:num w:numId="9" w16cid:durableId="911890168">
    <w:abstractNumId w:val="10"/>
  </w:num>
  <w:num w:numId="10" w16cid:durableId="2003850800">
    <w:abstractNumId w:val="0"/>
  </w:num>
  <w:num w:numId="11" w16cid:durableId="2067602550">
    <w:abstractNumId w:val="2"/>
  </w:num>
  <w:num w:numId="12" w16cid:durableId="524752514">
    <w:abstractNumId w:val="13"/>
  </w:num>
  <w:num w:numId="13" w16cid:durableId="1040936480">
    <w:abstractNumId w:val="12"/>
  </w:num>
  <w:num w:numId="14" w16cid:durableId="649016044">
    <w:abstractNumId w:val="11"/>
  </w:num>
  <w:num w:numId="15" w16cid:durableId="13840162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31006"/>
    <w:rsid w:val="00041455"/>
    <w:rsid w:val="00050B98"/>
    <w:rsid w:val="000550FF"/>
    <w:rsid w:val="000606B3"/>
    <w:rsid w:val="000608DB"/>
    <w:rsid w:val="00062F39"/>
    <w:rsid w:val="00075A15"/>
    <w:rsid w:val="000836CB"/>
    <w:rsid w:val="00083DFD"/>
    <w:rsid w:val="00093EC8"/>
    <w:rsid w:val="000A3CD4"/>
    <w:rsid w:val="000C6264"/>
    <w:rsid w:val="000E15AD"/>
    <w:rsid w:val="000F1167"/>
    <w:rsid w:val="00133986"/>
    <w:rsid w:val="0014288C"/>
    <w:rsid w:val="00173884"/>
    <w:rsid w:val="001763F4"/>
    <w:rsid w:val="00194744"/>
    <w:rsid w:val="001A14B6"/>
    <w:rsid w:val="001A7203"/>
    <w:rsid w:val="001D3E64"/>
    <w:rsid w:val="001E38DF"/>
    <w:rsid w:val="001E3A99"/>
    <w:rsid w:val="001E5575"/>
    <w:rsid w:val="00220B04"/>
    <w:rsid w:val="00224DE4"/>
    <w:rsid w:val="002252A6"/>
    <w:rsid w:val="002345C3"/>
    <w:rsid w:val="0023528E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177A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E4C3E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B3850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2FBF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0C45"/>
    <w:rsid w:val="0062204F"/>
    <w:rsid w:val="00624D05"/>
    <w:rsid w:val="00632DBA"/>
    <w:rsid w:val="00644454"/>
    <w:rsid w:val="006456B8"/>
    <w:rsid w:val="006469A2"/>
    <w:rsid w:val="00682883"/>
    <w:rsid w:val="00690336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6598"/>
    <w:rsid w:val="007D7209"/>
    <w:rsid w:val="007F0E20"/>
    <w:rsid w:val="007F3B99"/>
    <w:rsid w:val="008171E8"/>
    <w:rsid w:val="00846B7C"/>
    <w:rsid w:val="00851127"/>
    <w:rsid w:val="008A1F08"/>
    <w:rsid w:val="008A4022"/>
    <w:rsid w:val="008B6BF6"/>
    <w:rsid w:val="008C4EC6"/>
    <w:rsid w:val="008C757B"/>
    <w:rsid w:val="008D4A0A"/>
    <w:rsid w:val="008E0870"/>
    <w:rsid w:val="008E31FE"/>
    <w:rsid w:val="0090106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87247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1D7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321E8"/>
    <w:rsid w:val="00C456AB"/>
    <w:rsid w:val="00C52FD2"/>
    <w:rsid w:val="00C83EB5"/>
    <w:rsid w:val="00C86EBB"/>
    <w:rsid w:val="00CA370E"/>
    <w:rsid w:val="00CB0A0E"/>
    <w:rsid w:val="00CB1E5A"/>
    <w:rsid w:val="00CB33BC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239D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C4A75"/>
    <w:rsid w:val="00FD186E"/>
    <w:rsid w:val="00FE14A3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7B6971A1-3D46-413E-9CAE-C52B5D37D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Nilmaris Miranda Ruiz</cp:lastModifiedBy>
  <cp:revision>3</cp:revision>
  <cp:lastPrinted>2025-02-17T12:55:00Z</cp:lastPrinted>
  <dcterms:created xsi:type="dcterms:W3CDTF">2025-03-21T18:51:00Z</dcterms:created>
  <dcterms:modified xsi:type="dcterms:W3CDTF">2025-03-21T18:56:00Z</dcterms:modified>
</cp:coreProperties>
</file>