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041F" w14:textId="668379B8" w:rsidR="00030973" w:rsidRPr="00030973" w:rsidRDefault="00030973" w:rsidP="00030973">
      <w:pPr>
        <w:jc w:val="center"/>
        <w:rPr>
          <w:rFonts w:ascii="Book Antiqua" w:eastAsia="Book Antiqua" w:hAnsi="Book Antiqua" w:cs="Book Antiqua"/>
        </w:rPr>
      </w:pPr>
      <w:r w:rsidRPr="00030973">
        <w:rPr>
          <w:rFonts w:ascii="Book Antiqua" w:hAnsi="Book Antiqua"/>
          <w:bCs/>
          <w:sz w:val="28"/>
          <w:szCs w:val="28"/>
        </w:rPr>
        <w:t>GOBIERNO DE PUERTO RICO</w:t>
      </w:r>
    </w:p>
    <w:p w14:paraId="7E0CEB28" w14:textId="77777777" w:rsidR="00030973" w:rsidRPr="00030973" w:rsidRDefault="00030973" w:rsidP="00030973">
      <w:pPr>
        <w:tabs>
          <w:tab w:val="left" w:pos="5080"/>
        </w:tabs>
        <w:jc w:val="center"/>
        <w:rPr>
          <w:rFonts w:ascii="Book Antiqua" w:hAnsi="Book Antiqua"/>
          <w:szCs w:val="24"/>
        </w:rPr>
      </w:pPr>
    </w:p>
    <w:p w14:paraId="50A64BD3" w14:textId="42DD1398" w:rsidR="00030973" w:rsidRPr="00030973" w:rsidRDefault="00030973" w:rsidP="00030973">
      <w:pPr>
        <w:tabs>
          <w:tab w:val="left" w:pos="648"/>
          <w:tab w:val="right" w:pos="8640"/>
          <w:tab w:val="left" w:pos="9180"/>
        </w:tabs>
        <w:rPr>
          <w:rFonts w:ascii="Book Antiqua" w:hAnsi="Book Antiqua"/>
          <w:szCs w:val="24"/>
        </w:rPr>
      </w:pPr>
      <w:r w:rsidRPr="00030973">
        <w:rPr>
          <w:rFonts w:ascii="Book Antiqua" w:hAnsi="Book Antiqua"/>
          <w:szCs w:val="24"/>
        </w:rPr>
        <w:t>20ma. Asamblea</w:t>
      </w:r>
      <w:r w:rsidRPr="00030973">
        <w:rPr>
          <w:rFonts w:ascii="Book Antiqua" w:hAnsi="Book Antiqua"/>
          <w:szCs w:val="24"/>
        </w:rPr>
        <w:tab/>
        <w:t xml:space="preserve">             </w:t>
      </w:r>
      <w:r>
        <w:rPr>
          <w:rFonts w:ascii="Book Antiqua" w:hAnsi="Book Antiqua"/>
          <w:szCs w:val="24"/>
        </w:rPr>
        <w:t xml:space="preserve">   </w:t>
      </w:r>
      <w:r w:rsidRPr="00030973">
        <w:rPr>
          <w:rFonts w:ascii="Book Antiqua" w:hAnsi="Book Antiqua"/>
          <w:szCs w:val="24"/>
        </w:rPr>
        <w:t>2da. Sesión</w:t>
      </w:r>
    </w:p>
    <w:p w14:paraId="16B7C5E1" w14:textId="77777777" w:rsidR="00030973" w:rsidRPr="00030973" w:rsidRDefault="00030973" w:rsidP="00030973">
      <w:pPr>
        <w:tabs>
          <w:tab w:val="left" w:pos="540"/>
          <w:tab w:val="left" w:pos="6930"/>
          <w:tab w:val="right" w:pos="7776"/>
          <w:tab w:val="left" w:pos="7848"/>
        </w:tabs>
        <w:rPr>
          <w:rFonts w:ascii="Book Antiqua" w:hAnsi="Book Antiqua"/>
          <w:szCs w:val="24"/>
        </w:rPr>
      </w:pPr>
      <w:r w:rsidRPr="00030973">
        <w:rPr>
          <w:rFonts w:ascii="Book Antiqua" w:hAnsi="Book Antiqua"/>
          <w:szCs w:val="24"/>
        </w:rPr>
        <w:tab/>
        <w:t>Legislativa</w:t>
      </w:r>
      <w:r w:rsidRPr="00030973">
        <w:rPr>
          <w:rFonts w:ascii="Book Antiqua" w:hAnsi="Book Antiqua"/>
          <w:szCs w:val="24"/>
        </w:rPr>
        <w:tab/>
        <w:t xml:space="preserve">            Ordinaria</w:t>
      </w:r>
    </w:p>
    <w:p w14:paraId="232F159E" w14:textId="77777777" w:rsidR="00030973" w:rsidRPr="00030973" w:rsidRDefault="00030973" w:rsidP="00030973">
      <w:pPr>
        <w:rPr>
          <w:rFonts w:ascii="Book Antiqua" w:hAnsi="Book Antiqua"/>
          <w:szCs w:val="24"/>
        </w:rPr>
      </w:pPr>
    </w:p>
    <w:p w14:paraId="605D0FCF" w14:textId="5CE1808D" w:rsidR="00030973" w:rsidRPr="00030973" w:rsidRDefault="00030973" w:rsidP="00030973">
      <w:pPr>
        <w:jc w:val="center"/>
        <w:rPr>
          <w:rFonts w:ascii="Book Antiqua" w:hAnsi="Book Antiqua"/>
          <w:smallCaps/>
          <w:sz w:val="36"/>
          <w:szCs w:val="36"/>
        </w:rPr>
      </w:pPr>
      <w:r w:rsidRPr="00030973">
        <w:rPr>
          <w:rFonts w:ascii="Book Antiqua" w:hAnsi="Book Antiqua"/>
          <w:b/>
          <w:caps/>
          <w:sz w:val="36"/>
          <w:szCs w:val="36"/>
        </w:rPr>
        <w:t>CÁMARA DE REPRESENTANTES</w:t>
      </w:r>
    </w:p>
    <w:p w14:paraId="6D3467FD" w14:textId="77777777" w:rsidR="00030973" w:rsidRPr="00030973" w:rsidRDefault="00030973" w:rsidP="00030973">
      <w:pPr>
        <w:jc w:val="center"/>
        <w:rPr>
          <w:rFonts w:ascii="Book Antiqua" w:hAnsi="Book Antiqua" w:cs="Tahoma"/>
          <w:b/>
          <w:sz w:val="20"/>
        </w:rPr>
      </w:pPr>
    </w:p>
    <w:p w14:paraId="0E86556A" w14:textId="77777777" w:rsidR="00030973" w:rsidRPr="00030973" w:rsidRDefault="00030973" w:rsidP="00030973">
      <w:pPr>
        <w:jc w:val="center"/>
        <w:rPr>
          <w:rFonts w:ascii="Book Antiqua" w:hAnsi="Book Antiqua" w:cs="Tahoma"/>
          <w:b/>
          <w:sz w:val="20"/>
        </w:rPr>
      </w:pPr>
    </w:p>
    <w:p w14:paraId="52878AC4" w14:textId="77777777" w:rsidR="00030973" w:rsidRPr="00030973" w:rsidRDefault="00030973" w:rsidP="00030973">
      <w:pPr>
        <w:jc w:val="center"/>
        <w:rPr>
          <w:rFonts w:ascii="Book Antiqua" w:hAnsi="Book Antiqua" w:cs="Tahoma"/>
          <w:b/>
          <w:sz w:val="52"/>
          <w:szCs w:val="52"/>
        </w:rPr>
      </w:pPr>
      <w:r w:rsidRPr="00030973">
        <w:rPr>
          <w:rFonts w:ascii="Book Antiqua" w:hAnsi="Book Antiqua" w:cs="Tahoma"/>
          <w:b/>
          <w:sz w:val="52"/>
          <w:szCs w:val="52"/>
        </w:rPr>
        <w:t>R. DE LA C. 97</w:t>
      </w:r>
    </w:p>
    <w:p w14:paraId="34E35114" w14:textId="77777777" w:rsidR="00030973" w:rsidRPr="00030973" w:rsidRDefault="00030973" w:rsidP="00030973">
      <w:pPr>
        <w:jc w:val="center"/>
        <w:rPr>
          <w:rFonts w:ascii="Book Antiqua" w:hAnsi="Book Antiqua" w:cs="Tahoma"/>
          <w:b/>
          <w:sz w:val="52"/>
          <w:szCs w:val="52"/>
        </w:rPr>
      </w:pPr>
    </w:p>
    <w:p w14:paraId="0FAA37DF" w14:textId="77777777" w:rsidR="00030973" w:rsidRPr="00030973" w:rsidRDefault="00030973" w:rsidP="00030973">
      <w:pPr>
        <w:jc w:val="center"/>
        <w:rPr>
          <w:rFonts w:ascii="Book Antiqua" w:hAnsi="Book Antiqua" w:cs="Tahoma"/>
          <w:b/>
          <w:sz w:val="28"/>
          <w:szCs w:val="28"/>
        </w:rPr>
      </w:pPr>
      <w:r w:rsidRPr="00030973">
        <w:rPr>
          <w:rFonts w:ascii="Book Antiqua" w:hAnsi="Book Antiqua" w:cs="Tahoma"/>
          <w:b/>
          <w:sz w:val="28"/>
          <w:szCs w:val="28"/>
        </w:rPr>
        <w:t>PRIMER INFORME PARCIAL</w:t>
      </w:r>
    </w:p>
    <w:p w14:paraId="102E240E" w14:textId="77777777" w:rsidR="00030973" w:rsidRPr="00030973" w:rsidRDefault="00030973" w:rsidP="00030973">
      <w:pPr>
        <w:jc w:val="center"/>
        <w:rPr>
          <w:rFonts w:ascii="Book Antiqua" w:hAnsi="Book Antiqua" w:cs="Tahoma"/>
          <w:b/>
          <w:sz w:val="28"/>
          <w:szCs w:val="28"/>
        </w:rPr>
      </w:pPr>
    </w:p>
    <w:p w14:paraId="5529EFD9" w14:textId="5F1EE307" w:rsidR="00030973" w:rsidRPr="00030973" w:rsidRDefault="006546ED" w:rsidP="00030973">
      <w:pPr>
        <w:jc w:val="center"/>
        <w:rPr>
          <w:rFonts w:ascii="Book Antiqua" w:hAnsi="Book Antiqua" w:cs="Tahoma"/>
          <w:szCs w:val="24"/>
        </w:rPr>
      </w:pPr>
      <w:r>
        <w:rPr>
          <w:rFonts w:ascii="Book Antiqua" w:hAnsi="Book Antiqua" w:cs="Tahoma"/>
          <w:szCs w:val="24"/>
        </w:rPr>
        <w:t>19</w:t>
      </w:r>
      <w:r w:rsidR="00030973" w:rsidRPr="00030973">
        <w:rPr>
          <w:rFonts w:ascii="Book Antiqua" w:hAnsi="Book Antiqua" w:cs="Tahoma"/>
          <w:szCs w:val="24"/>
        </w:rPr>
        <w:t xml:space="preserve"> de agosto de 2025</w:t>
      </w:r>
    </w:p>
    <w:p w14:paraId="44E32B9A" w14:textId="77777777" w:rsidR="00030973" w:rsidRPr="00030973" w:rsidRDefault="00030973" w:rsidP="00030973">
      <w:pPr>
        <w:jc w:val="both"/>
        <w:rPr>
          <w:rFonts w:ascii="Book Antiqua" w:hAnsi="Book Antiqua" w:cs="Tahoma"/>
          <w:sz w:val="20"/>
        </w:rPr>
      </w:pPr>
    </w:p>
    <w:p w14:paraId="5A0C8FA1" w14:textId="77777777" w:rsidR="00030973" w:rsidRPr="00030973" w:rsidRDefault="00030973" w:rsidP="00030973">
      <w:pPr>
        <w:jc w:val="both"/>
        <w:rPr>
          <w:rFonts w:ascii="Book Antiqua" w:hAnsi="Book Antiqua" w:cs="Tahoma"/>
          <w:sz w:val="20"/>
        </w:rPr>
      </w:pPr>
    </w:p>
    <w:p w14:paraId="2EEF07C7" w14:textId="77777777" w:rsidR="00030973" w:rsidRPr="00030973" w:rsidRDefault="00030973" w:rsidP="00030973">
      <w:pPr>
        <w:jc w:val="both"/>
        <w:rPr>
          <w:rFonts w:ascii="Book Antiqua" w:hAnsi="Book Antiqua" w:cs="Tahoma"/>
          <w:b/>
          <w:szCs w:val="24"/>
        </w:rPr>
      </w:pPr>
      <w:r w:rsidRPr="00030973">
        <w:rPr>
          <w:rFonts w:ascii="Book Antiqua" w:hAnsi="Book Antiqua" w:cs="Tahoma"/>
          <w:b/>
          <w:szCs w:val="24"/>
        </w:rPr>
        <w:t>A LA CÁMARA DE REPRESENTANTES DE PUERTO RICO:</w:t>
      </w:r>
    </w:p>
    <w:p w14:paraId="230A338A" w14:textId="77777777" w:rsidR="00030973" w:rsidRPr="00030973" w:rsidRDefault="00030973" w:rsidP="00030973">
      <w:pPr>
        <w:jc w:val="both"/>
        <w:rPr>
          <w:rFonts w:ascii="Book Antiqua" w:hAnsi="Book Antiqua" w:cs="Tahoma"/>
          <w:szCs w:val="24"/>
        </w:rPr>
      </w:pPr>
    </w:p>
    <w:p w14:paraId="5967EB3B" w14:textId="77777777" w:rsidR="00030973" w:rsidRPr="00030973" w:rsidRDefault="00030973" w:rsidP="00030973">
      <w:pPr>
        <w:jc w:val="both"/>
        <w:rPr>
          <w:rFonts w:ascii="Book Antiqua" w:hAnsi="Book Antiqua" w:cs="Tahoma"/>
          <w:szCs w:val="24"/>
          <w:lang w:val="es-ES"/>
        </w:rPr>
      </w:pPr>
      <w:r w:rsidRPr="00030973">
        <w:rPr>
          <w:rFonts w:ascii="Book Antiqua" w:hAnsi="Book Antiqua" w:cs="Tahoma"/>
          <w:szCs w:val="24"/>
        </w:rPr>
        <w:tab/>
        <w:t>La Comisión</w:t>
      </w:r>
      <w:r w:rsidRPr="00030973">
        <w:rPr>
          <w:rFonts w:ascii="Book Antiqua" w:hAnsi="Book Antiqua"/>
          <w:lang w:val="es-ES"/>
        </w:rPr>
        <w:t xml:space="preserve"> </w:t>
      </w:r>
      <w:r w:rsidRPr="00030973">
        <w:rPr>
          <w:rFonts w:ascii="Book Antiqua" w:hAnsi="Book Antiqua" w:cs="Tahoma"/>
          <w:szCs w:val="24"/>
          <w:lang w:val="es-ES"/>
        </w:rPr>
        <w:t xml:space="preserve">La Comisión de Transportación e Infraestructura de la Cámara de Representantes de Puerto Rico, previo estudio y análisis de la </w:t>
      </w:r>
      <w:r w:rsidRPr="00030973">
        <w:rPr>
          <w:rFonts w:ascii="Book Antiqua" w:hAnsi="Book Antiqua" w:cs="Tahoma"/>
          <w:bCs/>
          <w:szCs w:val="24"/>
          <w:lang w:val="es-ES"/>
        </w:rPr>
        <w:t>Resolución de la Cámara Núm. 97</w:t>
      </w:r>
      <w:r w:rsidRPr="00030973">
        <w:rPr>
          <w:rFonts w:ascii="Book Antiqua" w:hAnsi="Book Antiqua" w:cs="Tahoma"/>
          <w:szCs w:val="24"/>
          <w:lang w:val="es-ES"/>
        </w:rPr>
        <w:t xml:space="preserve">, somete a este Alto Cuerpo el presente Informe Parcial con sus hallazgos, recomendaciones y conclusiones, solicitando su aprobación. </w:t>
      </w:r>
    </w:p>
    <w:p w14:paraId="02B815D2" w14:textId="77777777" w:rsidR="00030973" w:rsidRPr="00030973" w:rsidRDefault="00030973" w:rsidP="00030973">
      <w:pPr>
        <w:jc w:val="both"/>
        <w:rPr>
          <w:rFonts w:ascii="Book Antiqua" w:hAnsi="Book Antiqua"/>
        </w:rPr>
      </w:pPr>
      <w:r w:rsidRPr="00030973">
        <w:rPr>
          <w:rFonts w:ascii="Book Antiqua" w:hAnsi="Book Antiqua" w:cs="Tahoma"/>
          <w:szCs w:val="24"/>
        </w:rPr>
        <w:t xml:space="preserve"> </w:t>
      </w:r>
    </w:p>
    <w:p w14:paraId="6B29D587" w14:textId="77777777" w:rsidR="00030973" w:rsidRPr="00030973" w:rsidRDefault="00030973" w:rsidP="00030973">
      <w:pPr>
        <w:jc w:val="both"/>
        <w:rPr>
          <w:rFonts w:ascii="Book Antiqua" w:hAnsi="Book Antiqua"/>
          <w:bCs/>
          <w:szCs w:val="24"/>
        </w:rPr>
      </w:pPr>
    </w:p>
    <w:p w14:paraId="3EF19DBF" w14:textId="77777777" w:rsidR="00030973" w:rsidRPr="00030973" w:rsidRDefault="00030973" w:rsidP="00030973">
      <w:pPr>
        <w:jc w:val="center"/>
        <w:rPr>
          <w:rFonts w:ascii="Book Antiqua" w:hAnsi="Book Antiqua" w:cs="Tahoma"/>
          <w:b/>
          <w:szCs w:val="24"/>
        </w:rPr>
      </w:pPr>
      <w:r w:rsidRPr="00030973">
        <w:rPr>
          <w:rFonts w:ascii="Book Antiqua" w:hAnsi="Book Antiqua" w:cs="Tahoma"/>
          <w:b/>
          <w:szCs w:val="24"/>
        </w:rPr>
        <w:t>ALCANCE DE LA MEDIDA</w:t>
      </w:r>
    </w:p>
    <w:p w14:paraId="563D82F9" w14:textId="77777777" w:rsidR="00030973" w:rsidRPr="00030973" w:rsidRDefault="00030973" w:rsidP="00030973">
      <w:pPr>
        <w:spacing w:after="160" w:line="278" w:lineRule="auto"/>
        <w:rPr>
          <w:rFonts w:ascii="Book Antiqua" w:eastAsia="Calibri" w:hAnsi="Book Antiqua"/>
          <w:szCs w:val="24"/>
        </w:rPr>
      </w:pPr>
      <w:r w:rsidRPr="00030973">
        <w:rPr>
          <w:rFonts w:ascii="Book Antiqua" w:eastAsia="Calibri" w:hAnsi="Book Antiqua"/>
          <w:szCs w:val="24"/>
        </w:rPr>
        <w:t xml:space="preserve">     </w:t>
      </w:r>
      <w:r w:rsidRPr="00030973">
        <w:rPr>
          <w:rFonts w:ascii="Book Antiqua" w:eastAsia="Calibri" w:hAnsi="Book Antiqua"/>
          <w:szCs w:val="24"/>
        </w:rPr>
        <w:tab/>
      </w:r>
    </w:p>
    <w:p w14:paraId="10D67B74"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La Resolución de la Cámara Núm. 97 parte del reconocimiento de que el Gobierno de Puerto Rico tiene el deber de garantizar a la ciudadanía una infraestructura de transportación moderna, segura y eficiente, que contribuya al bienestar general y al desarrollo económico del país.</w:t>
      </w:r>
    </w:p>
    <w:p w14:paraId="0F4AC15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p>
    <w:p w14:paraId="41E738C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Sin embargo, la red vial y de transporte ha enfrentado serios desafíos, agravados por los efectos de los huracanes Irma y María (2017), así como los terremotos de 2020. Actualmente, múltiples proyectos de reconstrucción se encuentran en distintas etapas de desarrollo, respaldados por una significativa inversión de fondos federales, lo cual exige un monitoreo constante para asegurar su cumplimiento y efectividad.</w:t>
      </w:r>
    </w:p>
    <w:p w14:paraId="5E795FBD"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p>
    <w:p w14:paraId="715AB9C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 xml:space="preserve">Ante este panorama, resulta imprescindible evaluar de forma continua la planificación, ejecución y desempeño de las agencias responsables del sistema de </w:t>
      </w:r>
      <w:r w:rsidRPr="00030973">
        <w:rPr>
          <w:rFonts w:ascii="Book Antiqua" w:hAnsi="Book Antiqua"/>
          <w:bCs/>
          <w:lang w:val="es-PR"/>
        </w:rPr>
        <w:lastRenderedPageBreak/>
        <w:t>transportación. Esta investigación permite identificar obstáculos, proponer mejoras y garantizar un sistema integrado que facilite la movilidad de personas y mercancías.</w:t>
      </w:r>
    </w:p>
    <w:p w14:paraId="40956174" w14:textId="77777777" w:rsidR="00030973" w:rsidRPr="00030973" w:rsidRDefault="00030973" w:rsidP="00030973">
      <w:pPr>
        <w:autoSpaceDE w:val="0"/>
        <w:autoSpaceDN w:val="0"/>
        <w:adjustRightInd w:val="0"/>
        <w:spacing w:line="276" w:lineRule="auto"/>
        <w:jc w:val="both"/>
        <w:rPr>
          <w:rFonts w:ascii="Book Antiqua" w:hAnsi="Book Antiqua"/>
          <w:bCs/>
          <w:lang w:val="es-PR"/>
        </w:rPr>
      </w:pPr>
    </w:p>
    <w:p w14:paraId="3DC88378"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La Cámara de Representantes considera urgente que la Comisión de Transportación e Infraestructura realice estos estudios, con el fin de emitir recomendaciones dirigidas a optimizar los recursos públicos y mejorar la calidad de vida en Puerto Rico.</w:t>
      </w:r>
    </w:p>
    <w:p w14:paraId="506874C0" w14:textId="77777777" w:rsidR="00030973" w:rsidRPr="00030973" w:rsidRDefault="00030973" w:rsidP="00030973">
      <w:pPr>
        <w:autoSpaceDE w:val="0"/>
        <w:autoSpaceDN w:val="0"/>
        <w:adjustRightInd w:val="0"/>
        <w:spacing w:line="276" w:lineRule="auto"/>
        <w:jc w:val="both"/>
        <w:rPr>
          <w:rFonts w:ascii="Book Antiqua" w:hAnsi="Book Antiqua"/>
          <w:b/>
          <w:lang w:val="es-PR"/>
        </w:rPr>
      </w:pPr>
    </w:p>
    <w:p w14:paraId="5253C1A4"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rPr>
        <w:t>AN</w:t>
      </w:r>
      <w:r w:rsidRPr="00030973">
        <w:rPr>
          <w:rFonts w:ascii="Book Antiqua" w:hAnsi="Book Antiqua"/>
          <w:b/>
          <w:lang w:val="es-PR"/>
        </w:rPr>
        <w:t>ÁLISIS DE LA MEDIDA</w:t>
      </w:r>
    </w:p>
    <w:p w14:paraId="72388CE3" w14:textId="77777777" w:rsidR="00030973" w:rsidRPr="00030973" w:rsidRDefault="00030973" w:rsidP="00030973">
      <w:pPr>
        <w:autoSpaceDE w:val="0"/>
        <w:autoSpaceDN w:val="0"/>
        <w:adjustRightInd w:val="0"/>
        <w:spacing w:line="276" w:lineRule="auto"/>
        <w:jc w:val="center"/>
        <w:rPr>
          <w:rFonts w:ascii="Book Antiqua" w:eastAsia="Aptos" w:hAnsi="Book Antiqua"/>
          <w:kern w:val="2"/>
          <w:szCs w:val="24"/>
          <w:lang w:val="es-PR"/>
          <w14:ligatures w14:val="standardContextual"/>
        </w:rPr>
      </w:pPr>
    </w:p>
    <w:p w14:paraId="7E81D846"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30973">
        <w:rPr>
          <w:rFonts w:ascii="Book Antiqua" w:eastAsia="Aptos" w:hAnsi="Book Antiqua"/>
          <w:kern w:val="2"/>
          <w:szCs w:val="24"/>
          <w:lang w:val="es-PR"/>
          <w14:ligatures w14:val="standardContextual"/>
        </w:rPr>
        <w:t xml:space="preserve">La Comisión de Transportación e Infraestructura, en cumplimiento con el mandato conferido por la Resolución de la Cámara 97, realizó una visita oficial a la planta procesadora de neumáticos desechados de la empresa Once and </w:t>
      </w:r>
      <w:proofErr w:type="spellStart"/>
      <w:r w:rsidRPr="00030973">
        <w:rPr>
          <w:rFonts w:ascii="Book Antiqua" w:eastAsia="Aptos" w:hAnsi="Book Antiqua"/>
          <w:kern w:val="2"/>
          <w:szCs w:val="24"/>
          <w:lang w:val="es-PR"/>
          <w14:ligatures w14:val="standardContextual"/>
        </w:rPr>
        <w:t>For</w:t>
      </w:r>
      <w:proofErr w:type="spellEnd"/>
      <w:r w:rsidRPr="00030973">
        <w:rPr>
          <w:rFonts w:ascii="Book Antiqua" w:eastAsia="Aptos" w:hAnsi="Book Antiqua"/>
          <w:kern w:val="2"/>
          <w:szCs w:val="24"/>
          <w:lang w:val="es-PR"/>
          <w14:ligatures w14:val="standardContextual"/>
        </w:rPr>
        <w:t xml:space="preserve"> </w:t>
      </w:r>
      <w:proofErr w:type="spellStart"/>
      <w:r w:rsidRPr="00030973">
        <w:rPr>
          <w:rFonts w:ascii="Book Antiqua" w:eastAsia="Aptos" w:hAnsi="Book Antiqua"/>
          <w:kern w:val="2"/>
          <w:szCs w:val="24"/>
          <w:lang w:val="es-PR"/>
          <w14:ligatures w14:val="standardContextual"/>
        </w:rPr>
        <w:t>All</w:t>
      </w:r>
      <w:proofErr w:type="spellEnd"/>
      <w:r w:rsidRPr="00030973">
        <w:rPr>
          <w:rFonts w:ascii="Book Antiqua" w:eastAsia="Aptos" w:hAnsi="Book Antiqua"/>
          <w:kern w:val="2"/>
          <w:szCs w:val="24"/>
          <w:lang w:val="es-PR"/>
          <w14:ligatures w14:val="standardContextual"/>
        </w:rPr>
        <w:t xml:space="preserve"> Tires, localizada en el municipio de Yabucoa. </w:t>
      </w:r>
    </w:p>
    <w:p w14:paraId="5652E05A"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4475BE54"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30973">
        <w:rPr>
          <w:rFonts w:ascii="Book Antiqua" w:eastAsia="Aptos" w:hAnsi="Book Antiqua"/>
          <w:kern w:val="2"/>
          <w:szCs w:val="24"/>
          <w:lang w:val="es-PR"/>
          <w14:ligatures w14:val="standardContextual"/>
        </w:rPr>
        <w:t>La visita tuvo como propósito examinar el proceso de reciclaje mediante pulverización que allí se lleva a cabo, identificar sus aportaciones al manejo adecuado de residuos sólidos y su potencial uso en la infraestructura vial del país, así como conocer de primera mano los retos operacionales y regulatorios que enfrenta esta industria emergente.</w:t>
      </w:r>
      <w:r w:rsidRPr="00030973">
        <w:rPr>
          <w:rFonts w:ascii="Book Antiqua" w:eastAsia="Aptos" w:hAnsi="Book Antiqua"/>
          <w:kern w:val="2"/>
          <w:szCs w:val="24"/>
          <w:lang w:val="es-PR"/>
          <w14:ligatures w14:val="standardContextual"/>
        </w:rPr>
        <w:br/>
      </w:r>
    </w:p>
    <w:p w14:paraId="741369FD"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30973">
        <w:rPr>
          <w:rFonts w:ascii="Book Antiqua" w:eastAsia="Aptos" w:hAnsi="Book Antiqua"/>
          <w:kern w:val="2"/>
          <w:szCs w:val="24"/>
          <w:lang w:val="es-PR"/>
          <w14:ligatures w14:val="standardContextual"/>
        </w:rPr>
        <w:t>Como parte de la información recopilada durante la visita, la empresa compartió con esta Comisión una presentación introductoria sobre los beneficios del uso de neumáticos reciclados en la producción de asfalto. A continuación, se resume su contenido:</w:t>
      </w:r>
    </w:p>
    <w:p w14:paraId="27D60812"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59006970" w14:textId="77777777" w:rsidR="00030973" w:rsidRPr="00030973" w:rsidRDefault="00030973" w:rsidP="00030973">
      <w:pPr>
        <w:autoSpaceDE w:val="0"/>
        <w:autoSpaceDN w:val="0"/>
        <w:adjustRightInd w:val="0"/>
        <w:spacing w:line="276" w:lineRule="auto"/>
        <w:ind w:left="720"/>
        <w:contextualSpacing/>
        <w:jc w:val="both"/>
        <w:rPr>
          <w:rFonts w:ascii="Book Antiqua" w:eastAsia="Aptos" w:hAnsi="Book Antiqua"/>
          <w:kern w:val="2"/>
          <w:szCs w:val="24"/>
          <w:lang w:val="es-PR"/>
          <w14:ligatures w14:val="standardContextual"/>
        </w:rPr>
      </w:pPr>
      <w:r w:rsidRPr="00030973">
        <w:rPr>
          <w:rFonts w:ascii="Book Antiqua" w:eastAsia="Aptos" w:hAnsi="Book Antiqua"/>
          <w:kern w:val="2"/>
          <w:szCs w:val="24"/>
          <w:lang w:val="es-PR"/>
          <w14:ligatures w14:val="standardContextual"/>
        </w:rPr>
        <w:t xml:space="preserve">“El uso de neumáticos reciclados en la producción de asfalto en Puerto Rico representa una solución innovadora para enfrentar la acumulación masiva de neumáticos desechados, un problema ambiental y de salud pública que afecta a la Isla. Actualmente, estos residuos se acumulan en vertederos ilegales, cuerpos de agua y talleres, generando focos de contaminación y riesgos de incendio. Reciclarlos y utilizarlos en mezclas asfálticas permitiría reducir significativamente su volumen y mejorar su manejo. Además, el asfalto modificado con residuos de neumáticos presenta ventajas técnicas importantes. Es más duradero y resistente al desgaste, a las grietas y a las deformaciones causadas por el clima tropical, lo que reduce la necesidad de reparaciones frecuentes y los costos de mantenimiento de las carreteras. También mejora la seguridad vial, especialmente durante la </w:t>
      </w:r>
      <w:r w:rsidRPr="00030973">
        <w:rPr>
          <w:rFonts w:ascii="Book Antiqua" w:eastAsia="Aptos" w:hAnsi="Book Antiqua"/>
          <w:kern w:val="2"/>
          <w:szCs w:val="24"/>
          <w:lang w:val="es-PR"/>
          <w14:ligatures w14:val="standardContextual"/>
        </w:rPr>
        <w:lastRenderedPageBreak/>
        <w:t>temporada de lluvias, al ofrecer mayor agarre y mejor drenaje. Otro beneficio clave es la reducción del ruido del tráfico, lo que impacta positivamente en la calidad de vida de las comunidades urbanas. Asimismo, el uso de este tipo de asfalto contribuye a disminuir la dependencia del petróleo y de materiales vírgenes, reduciendo las emisiones de carbono y promoviendo una economía más sustentable. La implementación de esta tecnología puede fortalecer la economía local mediante la creación de empleos y el desarrollo de una industria de reciclaje robusta en la Isla. Estados como Florida, Texas y California, así como países como España, Brasil y China, ya han demostrado su efectividad. Puerto Rico tiene la oportunidad de seguir estos modelos, ajustando sus estándares técnicos a la realidad climática y vial del país. En conclusión, incorporar neumáticos reciclados en la producción de asfalto no solo resolvería un problema ambiental urgente, sino que también fortalecería la infraestructura vial, impulsaría la economía circular y mejoraría la calidad de vida de la ciudadanía.”</w:t>
      </w:r>
    </w:p>
    <w:p w14:paraId="7FD9D1CA" w14:textId="77777777" w:rsidR="00030973" w:rsidRP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625225FF"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lang w:val="es-PR"/>
        </w:rPr>
        <w:t>RECOMENDACIÓN</w:t>
      </w:r>
    </w:p>
    <w:p w14:paraId="04888BF8"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p>
    <w:p w14:paraId="056E64E4" w14:textId="77777777" w:rsidR="00030973" w:rsidRPr="00030973" w:rsidRDefault="00030973" w:rsidP="00030973">
      <w:pPr>
        <w:autoSpaceDE w:val="0"/>
        <w:autoSpaceDN w:val="0"/>
        <w:adjustRightInd w:val="0"/>
        <w:spacing w:line="276" w:lineRule="auto"/>
        <w:jc w:val="both"/>
        <w:rPr>
          <w:rFonts w:ascii="Book Antiqua" w:hAnsi="Book Antiqua"/>
          <w:bCs/>
          <w:lang w:val="es-PR"/>
        </w:rPr>
      </w:pPr>
      <w:r w:rsidRPr="00030973">
        <w:rPr>
          <w:rFonts w:ascii="Book Antiqua" w:hAnsi="Book Antiqua"/>
          <w:bCs/>
          <w:lang w:val="es-PR"/>
        </w:rPr>
        <w:t>Con base en los hallazgos de la visita oficial y el insumo recibido por la empresa, esta Comisión somete las siguientes recomendaciones:</w:t>
      </w:r>
    </w:p>
    <w:p w14:paraId="7721305A" w14:textId="77777777" w:rsidR="00030973" w:rsidRPr="00030973" w:rsidRDefault="00030973" w:rsidP="00030973">
      <w:pPr>
        <w:autoSpaceDE w:val="0"/>
        <w:autoSpaceDN w:val="0"/>
        <w:adjustRightInd w:val="0"/>
        <w:spacing w:line="276" w:lineRule="auto"/>
        <w:jc w:val="both"/>
        <w:rPr>
          <w:rFonts w:ascii="Book Antiqua" w:hAnsi="Book Antiqua"/>
          <w:bCs/>
          <w:lang w:val="es-PR"/>
        </w:rPr>
      </w:pPr>
    </w:p>
    <w:p w14:paraId="4F48EF5F" w14:textId="77777777" w:rsidR="00030973" w:rsidRPr="00030973" w:rsidRDefault="00030973" w:rsidP="00030973">
      <w:pPr>
        <w:numPr>
          <w:ilvl w:val="0"/>
          <w:numId w:val="3"/>
        </w:numPr>
        <w:autoSpaceDE w:val="0"/>
        <w:autoSpaceDN w:val="0"/>
        <w:adjustRightInd w:val="0"/>
        <w:spacing w:after="160" w:line="276" w:lineRule="auto"/>
        <w:jc w:val="both"/>
        <w:rPr>
          <w:rFonts w:ascii="Book Antiqua" w:hAnsi="Book Antiqua"/>
          <w:b/>
          <w:lang w:val="es-PR"/>
        </w:rPr>
      </w:pPr>
      <w:r w:rsidRPr="00030973">
        <w:rPr>
          <w:rFonts w:ascii="Book Antiqua" w:hAnsi="Book Antiqua"/>
          <w:b/>
          <w:lang w:val="es-PR"/>
        </w:rPr>
        <w:t>Aumento de la Tarifa por Pulverización de Neumáticos Desechados</w:t>
      </w:r>
      <w:r w:rsidRPr="00030973">
        <w:rPr>
          <w:rFonts w:ascii="Book Antiqua" w:hAnsi="Book Antiqua"/>
          <w:b/>
          <w:lang w:val="es-PR"/>
        </w:rPr>
        <w:br/>
      </w:r>
    </w:p>
    <w:p w14:paraId="3C13E0F6" w14:textId="77777777" w:rsidR="00030973" w:rsidRPr="00030973" w:rsidRDefault="00030973" w:rsidP="00030973">
      <w:pPr>
        <w:autoSpaceDE w:val="0"/>
        <w:autoSpaceDN w:val="0"/>
        <w:adjustRightInd w:val="0"/>
        <w:spacing w:line="276" w:lineRule="auto"/>
        <w:ind w:left="720"/>
        <w:jc w:val="both"/>
        <w:rPr>
          <w:rFonts w:ascii="Book Antiqua" w:hAnsi="Book Antiqua"/>
          <w:bCs/>
          <w:lang w:val="es-PR"/>
        </w:rPr>
      </w:pPr>
      <w:r w:rsidRPr="00030973">
        <w:rPr>
          <w:rFonts w:ascii="Book Antiqua" w:hAnsi="Book Antiqua"/>
          <w:bCs/>
          <w:lang w:val="es-PR"/>
        </w:rPr>
        <w:t>Conforme a la Regla 703(B) del Reglamento Núm. 2024-11-005, promulgado por el DRNA el 22 de noviembre de 2024, se permite una banda de ajuste de hasta tres centavos (3¢) en la tarifa actual. Por tanto, se recomienda que el DRNA aumente la tarifa para el procesamiento de neumáticos mediante pulverización de 9.5 ¢/lb a 12.5 ¢/lb. Este ajuste reconoce la inversión significativa en personal especializado, maquinaria, tecnología y procesos industriales que realizan las empresas que reciclan localmente el neumático y lo convierten en producto final manufacturado en Puerto Rico.</w:t>
      </w:r>
    </w:p>
    <w:p w14:paraId="61AA01DA" w14:textId="77777777" w:rsidR="00030973" w:rsidRPr="00030973" w:rsidRDefault="00030973" w:rsidP="00030973">
      <w:pPr>
        <w:autoSpaceDE w:val="0"/>
        <w:autoSpaceDN w:val="0"/>
        <w:adjustRightInd w:val="0"/>
        <w:spacing w:line="276" w:lineRule="auto"/>
        <w:ind w:left="720"/>
        <w:jc w:val="both"/>
        <w:rPr>
          <w:rFonts w:ascii="Book Antiqua" w:hAnsi="Book Antiqua"/>
          <w:bCs/>
          <w:lang w:val="es-PR"/>
        </w:rPr>
      </w:pPr>
    </w:p>
    <w:p w14:paraId="5215E2C8" w14:textId="77777777" w:rsidR="00030973" w:rsidRPr="00030973" w:rsidRDefault="00030973" w:rsidP="00030973">
      <w:pPr>
        <w:numPr>
          <w:ilvl w:val="0"/>
          <w:numId w:val="3"/>
        </w:numPr>
        <w:autoSpaceDE w:val="0"/>
        <w:autoSpaceDN w:val="0"/>
        <w:adjustRightInd w:val="0"/>
        <w:spacing w:after="160" w:line="276" w:lineRule="auto"/>
        <w:jc w:val="both"/>
        <w:rPr>
          <w:rFonts w:ascii="Book Antiqua" w:hAnsi="Book Antiqua"/>
          <w:b/>
          <w:lang w:val="es-PR"/>
        </w:rPr>
      </w:pPr>
      <w:r w:rsidRPr="00030973">
        <w:rPr>
          <w:rFonts w:ascii="Book Antiqua" w:hAnsi="Book Antiqua"/>
          <w:b/>
          <w:lang w:val="es-PR"/>
        </w:rPr>
        <w:t>Diferenciación en Tarifas entre Empresas Recicladoras y Exportadoras</w:t>
      </w:r>
      <w:r w:rsidRPr="00030973">
        <w:rPr>
          <w:rFonts w:ascii="Book Antiqua" w:hAnsi="Book Antiqua"/>
          <w:b/>
          <w:lang w:val="es-PR"/>
        </w:rPr>
        <w:br/>
      </w:r>
    </w:p>
    <w:p w14:paraId="2CAA03A6" w14:textId="77777777" w:rsidR="00030973" w:rsidRPr="00030973" w:rsidRDefault="00030973" w:rsidP="00030973">
      <w:pPr>
        <w:autoSpaceDE w:val="0"/>
        <w:autoSpaceDN w:val="0"/>
        <w:adjustRightInd w:val="0"/>
        <w:spacing w:line="276" w:lineRule="auto"/>
        <w:ind w:left="720"/>
        <w:jc w:val="both"/>
        <w:rPr>
          <w:rFonts w:ascii="Book Antiqua" w:hAnsi="Book Antiqua"/>
          <w:bCs/>
          <w:lang w:val="es-PR"/>
        </w:rPr>
      </w:pPr>
      <w:r w:rsidRPr="00030973">
        <w:rPr>
          <w:rFonts w:ascii="Book Antiqua" w:hAnsi="Book Antiqua"/>
          <w:bCs/>
          <w:lang w:val="es-PR"/>
        </w:rPr>
        <w:t>Se recomienda que el DRNA implemente una política tarifaria que diferencie entre las empresas que solo empacan y exportan neumáticos desechados, y aquellas que realizan el reciclaje completo en la Isla, promoviendo así la economía circular y el desarrollo de industria local.</w:t>
      </w:r>
    </w:p>
    <w:p w14:paraId="115ACDDA" w14:textId="77777777" w:rsidR="00030973" w:rsidRPr="00030973" w:rsidRDefault="00030973" w:rsidP="00030973">
      <w:pPr>
        <w:autoSpaceDE w:val="0"/>
        <w:autoSpaceDN w:val="0"/>
        <w:adjustRightInd w:val="0"/>
        <w:spacing w:line="276" w:lineRule="auto"/>
        <w:ind w:left="720"/>
        <w:jc w:val="both"/>
        <w:rPr>
          <w:rFonts w:ascii="Book Antiqua" w:hAnsi="Book Antiqua"/>
          <w:bCs/>
          <w:lang w:val="es-PR"/>
        </w:rPr>
      </w:pPr>
    </w:p>
    <w:p w14:paraId="6397CFCD" w14:textId="77777777" w:rsidR="00030973" w:rsidRPr="00030973" w:rsidRDefault="00030973" w:rsidP="00030973">
      <w:pPr>
        <w:numPr>
          <w:ilvl w:val="0"/>
          <w:numId w:val="3"/>
        </w:numPr>
        <w:autoSpaceDE w:val="0"/>
        <w:autoSpaceDN w:val="0"/>
        <w:adjustRightInd w:val="0"/>
        <w:spacing w:after="160" w:line="276" w:lineRule="auto"/>
        <w:jc w:val="both"/>
        <w:rPr>
          <w:rFonts w:ascii="Book Antiqua" w:hAnsi="Book Antiqua"/>
          <w:b/>
          <w:lang w:val="es-PR"/>
        </w:rPr>
      </w:pPr>
      <w:r w:rsidRPr="00030973">
        <w:rPr>
          <w:rFonts w:ascii="Book Antiqua" w:hAnsi="Book Antiqua"/>
          <w:b/>
          <w:lang w:val="es-PR"/>
        </w:rPr>
        <w:t>Revisión del Método de Pago</w:t>
      </w:r>
    </w:p>
    <w:p w14:paraId="520BE0BC" w14:textId="77777777" w:rsidR="00030973" w:rsidRPr="00030973" w:rsidRDefault="00030973" w:rsidP="00030973">
      <w:pPr>
        <w:autoSpaceDE w:val="0"/>
        <w:autoSpaceDN w:val="0"/>
        <w:adjustRightInd w:val="0"/>
        <w:spacing w:line="276" w:lineRule="auto"/>
        <w:ind w:left="720"/>
        <w:jc w:val="both"/>
        <w:rPr>
          <w:rFonts w:ascii="Book Antiqua" w:hAnsi="Book Antiqua"/>
          <w:bCs/>
          <w:lang w:val="es-PR"/>
        </w:rPr>
      </w:pPr>
    </w:p>
    <w:p w14:paraId="2CB97067" w14:textId="77777777" w:rsidR="00030973" w:rsidRPr="00030973" w:rsidRDefault="00030973" w:rsidP="00030973">
      <w:pPr>
        <w:autoSpaceDE w:val="0"/>
        <w:autoSpaceDN w:val="0"/>
        <w:adjustRightInd w:val="0"/>
        <w:spacing w:line="276" w:lineRule="auto"/>
        <w:ind w:left="720"/>
        <w:jc w:val="both"/>
        <w:rPr>
          <w:rFonts w:ascii="Book Antiqua" w:hAnsi="Book Antiqua"/>
          <w:b/>
          <w:lang w:val="es-PR"/>
        </w:rPr>
      </w:pPr>
      <w:r w:rsidRPr="00030973">
        <w:rPr>
          <w:rFonts w:ascii="Book Antiqua" w:hAnsi="Book Antiqua"/>
          <w:bCs/>
          <w:lang w:val="es-PR"/>
        </w:rPr>
        <w:t>Se considera irrazonable el modelo actual de pago que exige a las empresas recicladoras esperar hasta la venta del producto final para presentar facturas de compraventa y así procesar su solicitud de pago ante el DRNA. Por lo tanto, se recomienda eliminar este requisito y sustituirlo por un sistema de pago más ágil y equitativo. En su lugar, la empresa recicladora deberá presentar la boleta oficial con el ponche del DRNA y la firma autorizada del funcionario correspondiente, como constancia del procesamiento del material, permitiendo así la solicitud inmediata del pago al momento de procesar el neumático y no tras su comercialización.</w:t>
      </w:r>
    </w:p>
    <w:p w14:paraId="6119ECAB" w14:textId="77777777" w:rsidR="00030973" w:rsidRPr="00030973" w:rsidRDefault="00030973" w:rsidP="00030973">
      <w:pPr>
        <w:autoSpaceDE w:val="0"/>
        <w:autoSpaceDN w:val="0"/>
        <w:adjustRightInd w:val="0"/>
        <w:spacing w:line="276" w:lineRule="auto"/>
        <w:jc w:val="both"/>
        <w:rPr>
          <w:rFonts w:ascii="Book Antiqua" w:hAnsi="Book Antiqua"/>
          <w:b/>
          <w:lang w:val="es-PR"/>
        </w:rPr>
      </w:pPr>
    </w:p>
    <w:p w14:paraId="3A994060"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lang w:val="es-PR"/>
        </w:rPr>
        <w:t>CONCLUSION</w:t>
      </w:r>
    </w:p>
    <w:p w14:paraId="24477E11"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p>
    <w:p w14:paraId="65BC07D3" w14:textId="77777777" w:rsidR="00030973" w:rsidRPr="00030973" w:rsidRDefault="00030973" w:rsidP="00030973">
      <w:pPr>
        <w:autoSpaceDE w:val="0"/>
        <w:autoSpaceDN w:val="0"/>
        <w:adjustRightInd w:val="0"/>
        <w:spacing w:line="276" w:lineRule="auto"/>
        <w:jc w:val="both"/>
        <w:rPr>
          <w:rFonts w:ascii="Book Antiqua" w:hAnsi="Book Antiqua"/>
          <w:lang w:val="es-PR"/>
        </w:rPr>
      </w:pPr>
      <w:r w:rsidRPr="00030973">
        <w:rPr>
          <w:rFonts w:ascii="Book Antiqua" w:hAnsi="Book Antiqua"/>
          <w:b/>
          <w:lang w:val="es-PR"/>
        </w:rPr>
        <w:tab/>
      </w:r>
      <w:r w:rsidRPr="00030973">
        <w:rPr>
          <w:rFonts w:ascii="Book Antiqua" w:hAnsi="Book Antiqua"/>
          <w:szCs w:val="24"/>
          <w:lang w:val="es-PR"/>
        </w:rPr>
        <w:t xml:space="preserve">De conformidad al mandato de la R. de la C. 97, la Comisión de Transportación e Infraestructura, </w:t>
      </w:r>
      <w:r w:rsidRPr="00030973">
        <w:rPr>
          <w:rFonts w:ascii="Book Antiqua" w:hAnsi="Book Antiqua"/>
          <w:lang w:val="es-PR"/>
        </w:rPr>
        <w:t>tiene a bien rendir el Primer Informe Parcial, dando fiel cumplimiento a los alcances de dicha Resolución para el conocimiento y las acciones ulteriores que correspondan de parte de este Augusto Cuerpo, la Comisión y sus miembros.</w:t>
      </w:r>
    </w:p>
    <w:p w14:paraId="79850596"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7F3446D2" w14:textId="77777777" w:rsidR="00030973" w:rsidRPr="00030973" w:rsidRDefault="00030973" w:rsidP="00030973">
      <w:pPr>
        <w:autoSpaceDE w:val="0"/>
        <w:autoSpaceDN w:val="0"/>
        <w:adjustRightInd w:val="0"/>
        <w:spacing w:line="276" w:lineRule="auto"/>
        <w:ind w:firstLine="720"/>
        <w:jc w:val="both"/>
        <w:rPr>
          <w:rFonts w:ascii="Book Antiqua" w:hAnsi="Book Antiqua"/>
          <w:lang w:val="es-PR"/>
        </w:rPr>
      </w:pPr>
      <w:r w:rsidRPr="00030973">
        <w:rPr>
          <w:rFonts w:ascii="Book Antiqua" w:hAnsi="Book Antiqua"/>
          <w:lang w:val="es-PR"/>
        </w:rPr>
        <w:t xml:space="preserve">Se ordena al </w:t>
      </w:r>
      <w:proofErr w:type="gramStart"/>
      <w:r w:rsidRPr="00030973">
        <w:rPr>
          <w:rFonts w:ascii="Book Antiqua" w:hAnsi="Book Antiqua"/>
          <w:lang w:val="es-PR"/>
        </w:rPr>
        <w:t>Secretario</w:t>
      </w:r>
      <w:proofErr w:type="gramEnd"/>
      <w:r w:rsidRPr="00030973">
        <w:rPr>
          <w:rFonts w:ascii="Book Antiqua" w:hAnsi="Book Antiqua"/>
          <w:lang w:val="es-PR"/>
        </w:rPr>
        <w:t xml:space="preserve"> de la Cámara de Representantes del Gobierno de Puerto Rico, enviar copia de este informe al Departamento de Transportación y Obras Públicas, a la Autoridad de Carreteras y Transportación y al Departamento de Recursos Naturales y Ambientales.</w:t>
      </w:r>
    </w:p>
    <w:p w14:paraId="138DE5E5" w14:textId="77777777" w:rsidR="00030973" w:rsidRPr="00030973" w:rsidRDefault="00030973" w:rsidP="00030973">
      <w:pPr>
        <w:autoSpaceDE w:val="0"/>
        <w:autoSpaceDN w:val="0"/>
        <w:adjustRightInd w:val="0"/>
        <w:spacing w:line="276" w:lineRule="auto"/>
        <w:jc w:val="both"/>
        <w:rPr>
          <w:rFonts w:ascii="Book Antiqua" w:hAnsi="Book Antiqua"/>
          <w:highlight w:val="yellow"/>
        </w:rPr>
      </w:pPr>
      <w:r w:rsidRPr="00030973">
        <w:rPr>
          <w:rFonts w:ascii="Book Antiqua" w:hAnsi="Book Antiqua"/>
          <w:lang w:val="es-PR"/>
        </w:rPr>
        <w:tab/>
      </w:r>
    </w:p>
    <w:p w14:paraId="45B9428E" w14:textId="77777777" w:rsidR="00030973" w:rsidRPr="00030973" w:rsidRDefault="00030973" w:rsidP="00030973">
      <w:pPr>
        <w:autoSpaceDE w:val="0"/>
        <w:autoSpaceDN w:val="0"/>
        <w:adjustRightInd w:val="0"/>
        <w:spacing w:line="276" w:lineRule="auto"/>
        <w:ind w:firstLine="720"/>
        <w:jc w:val="both"/>
        <w:rPr>
          <w:rFonts w:ascii="Book Antiqua" w:hAnsi="Book Antiqua"/>
          <w:lang w:val="es-PR"/>
        </w:rPr>
      </w:pPr>
      <w:r w:rsidRPr="00030973">
        <w:rPr>
          <w:rFonts w:ascii="Book Antiqua" w:hAnsi="Book Antiqua"/>
          <w:lang w:val="es-PR"/>
        </w:rPr>
        <w:t xml:space="preserve">Por lo antes expuesto, la Comisión de Transportación e Infraestructura de la Cámara de Representantes de Puerto Rico, previo estudio y consideración de la </w:t>
      </w:r>
      <w:r w:rsidRPr="00030973">
        <w:rPr>
          <w:rFonts w:ascii="Book Antiqua" w:hAnsi="Book Antiqua"/>
          <w:bCs/>
          <w:lang w:val="es-PR"/>
        </w:rPr>
        <w:t>R. de la C. 97</w:t>
      </w:r>
      <w:r w:rsidRPr="00030973">
        <w:rPr>
          <w:rFonts w:ascii="Book Antiqua" w:hAnsi="Book Antiqua"/>
          <w:lang w:val="es-PR"/>
        </w:rPr>
        <w:t>, tiene a bien someter el Primer Informe Parcial sobre dicha medida, con sus hallazgos, recomendaciones y conclusiones, solicitando su aprobación.</w:t>
      </w:r>
    </w:p>
    <w:p w14:paraId="6F3B1C8C" w14:textId="77777777" w:rsidR="00030973" w:rsidRPr="00030973" w:rsidRDefault="00030973" w:rsidP="00030973">
      <w:pPr>
        <w:autoSpaceDE w:val="0"/>
        <w:autoSpaceDN w:val="0"/>
        <w:adjustRightInd w:val="0"/>
        <w:spacing w:line="276" w:lineRule="auto"/>
        <w:jc w:val="both"/>
        <w:rPr>
          <w:rFonts w:ascii="Book Antiqua" w:hAnsi="Book Antiqua"/>
          <w:highlight w:val="yellow"/>
          <w:lang w:val="es-PR"/>
        </w:rPr>
      </w:pPr>
    </w:p>
    <w:p w14:paraId="49C31454"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5BEFC2E4" w14:textId="77777777" w:rsidR="00030973" w:rsidRPr="00030973" w:rsidRDefault="00030973" w:rsidP="00030973">
      <w:pPr>
        <w:autoSpaceDE w:val="0"/>
        <w:autoSpaceDN w:val="0"/>
        <w:adjustRightInd w:val="0"/>
        <w:spacing w:line="276" w:lineRule="auto"/>
        <w:jc w:val="both"/>
        <w:rPr>
          <w:rFonts w:ascii="Book Antiqua" w:hAnsi="Book Antiqua"/>
          <w:lang w:val="es-PR"/>
        </w:rPr>
      </w:pPr>
      <w:r w:rsidRPr="00030973">
        <w:rPr>
          <w:rFonts w:ascii="Book Antiqua" w:hAnsi="Book Antiqua"/>
          <w:lang w:val="es-PR"/>
        </w:rPr>
        <w:t>RESPETUOSAMENTE SOMETIDO,</w:t>
      </w:r>
    </w:p>
    <w:p w14:paraId="18147FA5"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6571961C"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675A5F93" w14:textId="77777777" w:rsidR="00030973" w:rsidRPr="00030973" w:rsidRDefault="00030973" w:rsidP="00030973">
      <w:pPr>
        <w:spacing w:line="276" w:lineRule="auto"/>
        <w:jc w:val="both"/>
        <w:rPr>
          <w:rFonts w:ascii="Book Antiqua" w:hAnsi="Book Antiqua"/>
          <w:bCs/>
          <w:lang w:val="es-PR"/>
        </w:rPr>
      </w:pPr>
      <w:r w:rsidRPr="00030973">
        <w:rPr>
          <w:rFonts w:ascii="Book Antiqua" w:hAnsi="Book Antiqua"/>
          <w:bCs/>
          <w:lang w:val="es-PR"/>
        </w:rPr>
        <w:t xml:space="preserve">Hon. Jose A. Hernandez Concepción </w:t>
      </w:r>
    </w:p>
    <w:p w14:paraId="1111751A" w14:textId="77777777" w:rsidR="00030973" w:rsidRPr="00030973" w:rsidRDefault="00030973" w:rsidP="00030973">
      <w:pPr>
        <w:spacing w:line="276" w:lineRule="auto"/>
        <w:jc w:val="both"/>
        <w:rPr>
          <w:rFonts w:ascii="Book Antiqua" w:hAnsi="Book Antiqua"/>
          <w:bCs/>
          <w:lang w:val="es-PR"/>
        </w:rPr>
      </w:pPr>
      <w:r w:rsidRPr="00030973">
        <w:rPr>
          <w:rFonts w:ascii="Book Antiqua" w:hAnsi="Book Antiqua"/>
          <w:bCs/>
          <w:lang w:val="es-PR"/>
        </w:rPr>
        <w:t>Presidente</w:t>
      </w:r>
    </w:p>
    <w:p w14:paraId="3FF89B18" w14:textId="34A06D4F" w:rsidR="00500BFE" w:rsidRPr="00C70202" w:rsidRDefault="00030973" w:rsidP="00C70202">
      <w:pPr>
        <w:spacing w:after="160" w:line="278" w:lineRule="auto"/>
        <w:rPr>
          <w:rFonts w:ascii="Book Antiqua" w:eastAsia="Calibri" w:hAnsi="Book Antiqua"/>
          <w:bCs/>
          <w:szCs w:val="24"/>
          <w:lang w:val="es-PR"/>
        </w:rPr>
      </w:pPr>
      <w:r w:rsidRPr="00030973">
        <w:rPr>
          <w:rFonts w:ascii="Book Antiqua" w:hAnsi="Book Antiqua"/>
          <w:bCs/>
          <w:lang w:val="es-PR"/>
        </w:rPr>
        <w:t>Comisión de Transportacion e Infraestructura</w:t>
      </w:r>
    </w:p>
    <w:sectPr w:rsidR="00500BFE" w:rsidRPr="00C70202">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C4625" w14:textId="77777777" w:rsidR="00D66842" w:rsidRDefault="00D66842">
      <w:r>
        <w:separator/>
      </w:r>
    </w:p>
  </w:endnote>
  <w:endnote w:type="continuationSeparator" w:id="0">
    <w:p w14:paraId="2768D0BE" w14:textId="77777777" w:rsidR="00D66842" w:rsidRDefault="00D6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23A0982-19F0-4514-9928-D2E53C03603D}"/>
  </w:font>
  <w:font w:name="Helvetica">
    <w:panose1 w:val="020B0604020202020204"/>
    <w:charset w:val="00"/>
    <w:family w:val="swiss"/>
    <w:pitch w:val="variable"/>
    <w:sig w:usb0="E0002EFF" w:usb1="C000785B" w:usb2="00000009" w:usb3="00000000" w:csb0="000001FF" w:csb1="00000000"/>
    <w:embedRegular r:id="rId2" w:fontKey="{957E7A1C-C0F6-412C-A252-7B62E559DCDC}"/>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37A89685-49CD-48D3-B6E8-11D41AD11E40}"/>
  </w:font>
  <w:font w:name="Georgia">
    <w:panose1 w:val="02040502050405020303"/>
    <w:charset w:val="00"/>
    <w:family w:val="roman"/>
    <w:pitch w:val="variable"/>
    <w:sig w:usb0="00000287" w:usb1="00000000" w:usb2="00000000" w:usb3="00000000" w:csb0="0000009F" w:csb1="00000000"/>
    <w:embedRegular r:id="rId4" w:fontKey="{FF280631-228E-445D-8FA9-DD09ACE60F15}"/>
    <w:embedItalic r:id="rId5" w:fontKey="{B3BA4E8A-1050-46C2-A053-978B3CCDF14A}"/>
  </w:font>
  <w:font w:name="Book Antiqua">
    <w:panose1 w:val="02040602050305030304"/>
    <w:charset w:val="00"/>
    <w:family w:val="roman"/>
    <w:pitch w:val="variable"/>
    <w:sig w:usb0="00000287" w:usb1="00000000" w:usb2="00000000" w:usb3="00000000" w:csb0="0000009F" w:csb1="00000000"/>
    <w:embedRegular r:id="rId6" w:fontKey="{69DBC0A4-DA89-4C4E-B42E-6C944C084EDF}"/>
    <w:embedBold r:id="rId7" w:fontKey="{35CAF753-1C71-4DE5-AEDB-445126FDDD12}"/>
  </w:font>
  <w:font w:name="Tahoma">
    <w:panose1 w:val="020B0604030504040204"/>
    <w:charset w:val="00"/>
    <w:family w:val="swiss"/>
    <w:pitch w:val="variable"/>
    <w:sig w:usb0="E1002EFF" w:usb1="C000605B" w:usb2="00000029" w:usb3="00000000" w:csb0="000101FF" w:csb1="00000000"/>
    <w:embedRegular r:id="rId8" w:fontKey="{CC7A1BD7-8B89-460B-B50F-0424E43923DD}"/>
    <w:embedBold r:id="rId9" w:fontKey="{0DD6A647-4CC2-48F0-B55A-B906AC418A98}"/>
  </w:font>
  <w:font w:name="Aptos">
    <w:charset w:val="00"/>
    <w:family w:val="swiss"/>
    <w:pitch w:val="variable"/>
    <w:sig w:usb0="20000287" w:usb1="00000003" w:usb2="00000000" w:usb3="00000000" w:csb0="0000019F" w:csb1="00000000"/>
    <w:embedRegular r:id="rId10" w:fontKey="{D496C0AE-0E7C-4AC9-AFE5-23829806582D}"/>
  </w:font>
  <w:font w:name="Lustria">
    <w:altName w:val="Calibri"/>
    <w:charset w:val="00"/>
    <w:family w:val="auto"/>
    <w:pitch w:val="default"/>
    <w:embedRegular r:id="rId11" w:fontKey="{ABD13EBF-C5EC-49A8-94C3-780843327F18}"/>
    <w:embedBoldItalic r:id="rId12" w:fontKey="{4B1C651E-D466-4E42-B171-40139EE8435A}"/>
  </w:font>
  <w:font w:name="Cambria">
    <w:panose1 w:val="02040503050406030204"/>
    <w:charset w:val="00"/>
    <w:family w:val="roman"/>
    <w:pitch w:val="variable"/>
    <w:sig w:usb0="E00006FF" w:usb1="420024FF" w:usb2="02000000" w:usb3="00000000" w:csb0="0000019F" w:csb1="00000000"/>
    <w:embedRegular r:id="rId13" w:fontKey="{8D7E4A1E-8CDE-4E8F-A2DC-5FB804345FF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82C52" w14:textId="77777777" w:rsidR="00D66842" w:rsidRDefault="00D66842">
      <w:r>
        <w:separator/>
      </w:r>
    </w:p>
  </w:footnote>
  <w:footnote w:type="continuationSeparator" w:id="0">
    <w:p w14:paraId="6B8981B9" w14:textId="77777777" w:rsidR="00D66842" w:rsidRDefault="00D66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DD59BE6" w:rsidR="003867AC" w:rsidRDefault="00030973">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Primer </w:t>
    </w:r>
    <w:r w:rsidR="0085373F">
      <w:rPr>
        <w:rFonts w:ascii="Lustria" w:eastAsia="Lustria" w:hAnsi="Lustria" w:cs="Lustria"/>
        <w:b/>
        <w:i/>
        <w:sz w:val="22"/>
        <w:szCs w:val="22"/>
      </w:rPr>
      <w:t>Informe</w:t>
    </w:r>
    <w:r w:rsidR="00F615C8">
      <w:rPr>
        <w:rFonts w:ascii="Lustria" w:eastAsia="Lustria" w:hAnsi="Lustria" w:cs="Lustria"/>
        <w:b/>
        <w:i/>
        <w:sz w:val="22"/>
        <w:szCs w:val="22"/>
      </w:rPr>
      <w:t xml:space="preserve"> P</w:t>
    </w:r>
    <w:r>
      <w:rPr>
        <w:rFonts w:ascii="Lustria" w:eastAsia="Lustria" w:hAnsi="Lustria" w:cs="Lustria"/>
        <w:b/>
        <w:i/>
        <w:sz w:val="22"/>
        <w:szCs w:val="22"/>
      </w:rPr>
      <w:t>arcial</w:t>
    </w:r>
    <w:r w:rsidR="004E176A">
      <w:rPr>
        <w:rFonts w:ascii="Lustria" w:eastAsia="Lustria" w:hAnsi="Lustria" w:cs="Lustria"/>
        <w:b/>
        <w:i/>
        <w:sz w:val="22"/>
        <w:szCs w:val="22"/>
      </w:rPr>
      <w:t xml:space="preserve"> </w:t>
    </w:r>
    <w:r w:rsidR="0085373F">
      <w:rPr>
        <w:rFonts w:ascii="Lustria" w:eastAsia="Lustria" w:hAnsi="Lustria" w:cs="Lustria"/>
        <w:b/>
        <w:i/>
        <w:sz w:val="22"/>
        <w:szCs w:val="22"/>
      </w:rPr>
      <w:t xml:space="preserve">sobre el </w:t>
    </w:r>
    <w:r>
      <w:rPr>
        <w:rFonts w:ascii="Lustria" w:eastAsia="Lustria" w:hAnsi="Lustria" w:cs="Lustria"/>
        <w:b/>
        <w:i/>
        <w:sz w:val="22"/>
        <w:szCs w:val="22"/>
      </w:rPr>
      <w:t>R</w:t>
    </w:r>
    <w:r w:rsidR="0085373F">
      <w:rPr>
        <w:rFonts w:ascii="Lustria" w:eastAsia="Lustria" w:hAnsi="Lustria" w:cs="Lustria"/>
        <w:b/>
        <w:i/>
        <w:sz w:val="22"/>
        <w:szCs w:val="22"/>
      </w:rPr>
      <w:t>. de</w:t>
    </w:r>
    <w:r>
      <w:rPr>
        <w:rFonts w:ascii="Lustria" w:eastAsia="Lustria" w:hAnsi="Lustria" w:cs="Lustria"/>
        <w:b/>
        <w:i/>
        <w:sz w:val="22"/>
        <w:szCs w:val="22"/>
      </w:rPr>
      <w:t xml:space="preserve"> la C.</w:t>
    </w:r>
    <w:r w:rsidR="0085373F">
      <w:rPr>
        <w:rFonts w:ascii="Lustria" w:eastAsia="Lustria" w:hAnsi="Lustria" w:cs="Lustria"/>
        <w:b/>
        <w:i/>
        <w:sz w:val="22"/>
        <w:szCs w:val="22"/>
      </w:rPr>
      <w:t xml:space="preserve"> </w:t>
    </w:r>
    <w:r>
      <w:rPr>
        <w:rFonts w:ascii="Lustria" w:eastAsia="Lustria" w:hAnsi="Lustria" w:cs="Lustria"/>
        <w:b/>
        <w:i/>
        <w:sz w:val="22"/>
        <w:szCs w:val="22"/>
      </w:rPr>
      <w:t>97</w:t>
    </w:r>
    <w:r w:rsidR="0085373F">
      <w:rPr>
        <w:rFonts w:ascii="Lustria" w:eastAsia="Lustria" w:hAnsi="Lustria" w:cs="Lustria"/>
        <w:b/>
        <w:i/>
        <w:sz w:val="22"/>
        <w:szCs w:val="22"/>
      </w:rPr>
      <w:tab/>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1E4D67"/>
    <w:multiLevelType w:val="multilevel"/>
    <w:tmpl w:val="4384A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089543">
    <w:abstractNumId w:val="0"/>
  </w:num>
  <w:num w:numId="2" w16cid:durableId="1351835181">
    <w:abstractNumId w:val="1"/>
  </w:num>
  <w:num w:numId="3" w16cid:durableId="1042634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740C"/>
    <w:rsid w:val="00030973"/>
    <w:rsid w:val="00051D05"/>
    <w:rsid w:val="000562AB"/>
    <w:rsid w:val="00074013"/>
    <w:rsid w:val="00080F3B"/>
    <w:rsid w:val="000A752D"/>
    <w:rsid w:val="000C098A"/>
    <w:rsid w:val="000F7A24"/>
    <w:rsid w:val="00101FB4"/>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66B2F"/>
    <w:rsid w:val="00274850"/>
    <w:rsid w:val="002D4DC3"/>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A6565"/>
    <w:rsid w:val="004D3D36"/>
    <w:rsid w:val="004E176A"/>
    <w:rsid w:val="004E28E4"/>
    <w:rsid w:val="00500BFE"/>
    <w:rsid w:val="00501798"/>
    <w:rsid w:val="005059B4"/>
    <w:rsid w:val="00506A3D"/>
    <w:rsid w:val="005227C0"/>
    <w:rsid w:val="00523B9F"/>
    <w:rsid w:val="005456F5"/>
    <w:rsid w:val="00550313"/>
    <w:rsid w:val="00557604"/>
    <w:rsid w:val="005858EA"/>
    <w:rsid w:val="00596F5B"/>
    <w:rsid w:val="005A1843"/>
    <w:rsid w:val="005E4A2F"/>
    <w:rsid w:val="00604497"/>
    <w:rsid w:val="00605CE1"/>
    <w:rsid w:val="0060692B"/>
    <w:rsid w:val="00634A11"/>
    <w:rsid w:val="006354F3"/>
    <w:rsid w:val="00642646"/>
    <w:rsid w:val="006546ED"/>
    <w:rsid w:val="0068352C"/>
    <w:rsid w:val="006908FA"/>
    <w:rsid w:val="006A552A"/>
    <w:rsid w:val="006A7E5E"/>
    <w:rsid w:val="006D11F6"/>
    <w:rsid w:val="006D297F"/>
    <w:rsid w:val="006E029C"/>
    <w:rsid w:val="00700566"/>
    <w:rsid w:val="0071797E"/>
    <w:rsid w:val="00735C8F"/>
    <w:rsid w:val="00766B8B"/>
    <w:rsid w:val="00771802"/>
    <w:rsid w:val="0077204A"/>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40A79"/>
    <w:rsid w:val="009742B0"/>
    <w:rsid w:val="009821D1"/>
    <w:rsid w:val="009A30EC"/>
    <w:rsid w:val="009E0BE7"/>
    <w:rsid w:val="009E7555"/>
    <w:rsid w:val="00A11D0B"/>
    <w:rsid w:val="00A2169D"/>
    <w:rsid w:val="00A24012"/>
    <w:rsid w:val="00A27CCB"/>
    <w:rsid w:val="00A43849"/>
    <w:rsid w:val="00A52329"/>
    <w:rsid w:val="00A54084"/>
    <w:rsid w:val="00A57E02"/>
    <w:rsid w:val="00A62FD8"/>
    <w:rsid w:val="00A95142"/>
    <w:rsid w:val="00AB45BB"/>
    <w:rsid w:val="00AC7FD7"/>
    <w:rsid w:val="00AD05EA"/>
    <w:rsid w:val="00AE1FD3"/>
    <w:rsid w:val="00AE44CF"/>
    <w:rsid w:val="00B43BBC"/>
    <w:rsid w:val="00B45C76"/>
    <w:rsid w:val="00B46ABC"/>
    <w:rsid w:val="00B52476"/>
    <w:rsid w:val="00B57A56"/>
    <w:rsid w:val="00B803A7"/>
    <w:rsid w:val="00B93150"/>
    <w:rsid w:val="00B97590"/>
    <w:rsid w:val="00BA4DF7"/>
    <w:rsid w:val="00BE2F13"/>
    <w:rsid w:val="00C023B0"/>
    <w:rsid w:val="00C13D9D"/>
    <w:rsid w:val="00C1423C"/>
    <w:rsid w:val="00C41F71"/>
    <w:rsid w:val="00C667AF"/>
    <w:rsid w:val="00C70202"/>
    <w:rsid w:val="00C7132A"/>
    <w:rsid w:val="00C73728"/>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66842"/>
    <w:rsid w:val="00D82337"/>
    <w:rsid w:val="00D83118"/>
    <w:rsid w:val="00D94DD2"/>
    <w:rsid w:val="00DB02F9"/>
    <w:rsid w:val="00DB46A4"/>
    <w:rsid w:val="00DD6D1E"/>
    <w:rsid w:val="00DE6658"/>
    <w:rsid w:val="00DF212A"/>
    <w:rsid w:val="00E135D5"/>
    <w:rsid w:val="00E16D68"/>
    <w:rsid w:val="00E24AC1"/>
    <w:rsid w:val="00E3056E"/>
    <w:rsid w:val="00E374AE"/>
    <w:rsid w:val="00E43AB8"/>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615C8"/>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1130</Words>
  <Characters>6446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Kristal Rivera Sanchez</cp:lastModifiedBy>
  <cp:revision>2</cp:revision>
  <cp:lastPrinted>2025-08-19T12:41:00Z</cp:lastPrinted>
  <dcterms:created xsi:type="dcterms:W3CDTF">2025-08-19T17:08:00Z</dcterms:created>
  <dcterms:modified xsi:type="dcterms:W3CDTF">2025-08-19T17:08:00Z</dcterms:modified>
</cp:coreProperties>
</file>