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DA2EC" w14:textId="221E32F2" w:rsidR="00F73AF8" w:rsidRPr="00F73AF8" w:rsidRDefault="00F73AF8" w:rsidP="00F73AF8">
      <w:pPr>
        <w:spacing w:line="276" w:lineRule="auto"/>
        <w:jc w:val="center"/>
        <w:rPr>
          <w:rFonts w:ascii="Book Antiqua" w:hAnsi="Book Antiqua"/>
          <w:lang w:val="es-ES"/>
        </w:rPr>
      </w:pPr>
      <w:r w:rsidRPr="00F73AF8">
        <w:rPr>
          <w:rFonts w:ascii="Book Antiqua" w:hAnsi="Book Antiqua"/>
          <w:b/>
          <w:bCs/>
          <w:sz w:val="28"/>
          <w:szCs w:val="28"/>
          <w:lang w:val="es-ES"/>
        </w:rPr>
        <w:t>GOBIERNO DE PUERTO RICO</w:t>
      </w:r>
    </w:p>
    <w:p w14:paraId="4E6014B8" w14:textId="5865E16F" w:rsidR="00F73AF8" w:rsidRPr="00F73AF8" w:rsidRDefault="00F73AF8" w:rsidP="00F73AF8">
      <w:pPr>
        <w:tabs>
          <w:tab w:val="right" w:pos="8640"/>
        </w:tabs>
        <w:spacing w:after="0" w:line="276" w:lineRule="auto"/>
        <w:rPr>
          <w:rFonts w:ascii="Book Antiqua" w:hAnsi="Book Antiqua"/>
          <w:sz w:val="24"/>
          <w:szCs w:val="24"/>
          <w:lang w:val="es-ES"/>
        </w:rPr>
      </w:pPr>
      <w:r w:rsidRPr="00F73AF8">
        <w:rPr>
          <w:rFonts w:ascii="Book Antiqua" w:hAnsi="Book Antiqua"/>
          <w:sz w:val="24"/>
          <w:szCs w:val="24"/>
          <w:lang w:val="es-ES"/>
        </w:rPr>
        <w:t xml:space="preserve">20ma. Asamblea                                                                                          </w:t>
      </w:r>
      <w:r>
        <w:rPr>
          <w:rFonts w:ascii="Book Antiqua" w:hAnsi="Book Antiqua"/>
          <w:sz w:val="24"/>
          <w:szCs w:val="24"/>
          <w:lang w:val="es-ES"/>
        </w:rPr>
        <w:t xml:space="preserve">     </w:t>
      </w:r>
      <w:r w:rsidRPr="00F73AF8">
        <w:rPr>
          <w:rFonts w:ascii="Book Antiqua" w:hAnsi="Book Antiqua"/>
          <w:sz w:val="24"/>
          <w:szCs w:val="24"/>
          <w:lang w:val="es-ES"/>
        </w:rPr>
        <w:t>3ra. Sesión</w:t>
      </w:r>
    </w:p>
    <w:p w14:paraId="5F763FB3" w14:textId="4AC713AC" w:rsidR="00F73AF8" w:rsidRPr="00F73AF8" w:rsidRDefault="00F73AF8" w:rsidP="00F73AF8">
      <w:pPr>
        <w:tabs>
          <w:tab w:val="left" w:pos="540"/>
          <w:tab w:val="right" w:pos="8640"/>
        </w:tabs>
        <w:spacing w:after="0" w:line="276" w:lineRule="auto"/>
        <w:rPr>
          <w:rFonts w:ascii="Book Antiqua" w:hAnsi="Book Antiqua"/>
          <w:sz w:val="24"/>
          <w:szCs w:val="24"/>
          <w:lang w:val="es-ES"/>
        </w:rPr>
      </w:pPr>
      <w:r w:rsidRPr="00F73AF8">
        <w:rPr>
          <w:rFonts w:ascii="Book Antiqua" w:hAnsi="Book Antiqua"/>
          <w:sz w:val="24"/>
          <w:szCs w:val="24"/>
          <w:lang w:val="es-ES"/>
        </w:rPr>
        <w:tab/>
        <w:t xml:space="preserve"> Legislativa</w:t>
      </w:r>
      <w:r w:rsidRPr="00F73AF8">
        <w:rPr>
          <w:rFonts w:ascii="Book Antiqua" w:hAnsi="Book Antiqua"/>
          <w:sz w:val="24"/>
          <w:szCs w:val="24"/>
          <w:lang w:val="es-ES"/>
        </w:rPr>
        <w:tab/>
        <w:t xml:space="preserve">     </w:t>
      </w:r>
      <w:r>
        <w:rPr>
          <w:rFonts w:ascii="Book Antiqua" w:hAnsi="Book Antiqua"/>
          <w:sz w:val="24"/>
          <w:szCs w:val="24"/>
          <w:lang w:val="es-ES"/>
        </w:rPr>
        <w:t xml:space="preserve">                         </w:t>
      </w:r>
      <w:r w:rsidRPr="00F73AF8">
        <w:rPr>
          <w:rFonts w:ascii="Book Antiqua" w:hAnsi="Book Antiqua"/>
          <w:sz w:val="24"/>
          <w:szCs w:val="24"/>
          <w:lang w:val="es-ES"/>
        </w:rPr>
        <w:t>Ordinaria</w:t>
      </w:r>
    </w:p>
    <w:p w14:paraId="2CB508C1" w14:textId="77777777" w:rsidR="00F73AF8" w:rsidRPr="00F73AF8" w:rsidRDefault="00F73AF8" w:rsidP="00F73AF8">
      <w:pPr>
        <w:tabs>
          <w:tab w:val="left" w:pos="540"/>
          <w:tab w:val="right" w:pos="8640"/>
        </w:tabs>
        <w:spacing w:after="0" w:line="276" w:lineRule="auto"/>
        <w:rPr>
          <w:rFonts w:ascii="Book Antiqua" w:hAnsi="Book Antiqua"/>
          <w:lang w:val="es-ES"/>
        </w:rPr>
      </w:pPr>
    </w:p>
    <w:p w14:paraId="567693FD" w14:textId="6A175BE8" w:rsidR="00F73AF8" w:rsidRPr="00F73AF8" w:rsidRDefault="00F73AF8" w:rsidP="00F73AF8">
      <w:pPr>
        <w:spacing w:line="276" w:lineRule="auto"/>
        <w:jc w:val="center"/>
        <w:rPr>
          <w:rFonts w:ascii="Book Antiqua" w:hAnsi="Book Antiqua"/>
          <w:lang w:val="es-ES"/>
        </w:rPr>
      </w:pPr>
      <w:r w:rsidRPr="00F73AF8">
        <w:rPr>
          <w:rFonts w:ascii="Book Antiqua" w:hAnsi="Book Antiqua"/>
          <w:b/>
          <w:bCs/>
          <w:caps/>
          <w:sz w:val="36"/>
          <w:szCs w:val="36"/>
          <w:lang w:val="es-ES"/>
        </w:rPr>
        <w:t>CÁMARA DE REPRESENTANTES</w:t>
      </w:r>
    </w:p>
    <w:p w14:paraId="1E182236" w14:textId="519D9BCF" w:rsidR="00F73AF8" w:rsidRPr="00F73AF8" w:rsidRDefault="00F73AF8" w:rsidP="00F73AF8">
      <w:pPr>
        <w:spacing w:before="200" w:after="200" w:line="276" w:lineRule="auto"/>
        <w:jc w:val="center"/>
        <w:rPr>
          <w:rFonts w:ascii="Book Antiqua" w:hAnsi="Book Antiqua"/>
          <w:lang w:val="es-ES"/>
        </w:rPr>
      </w:pPr>
      <w:r>
        <w:rPr>
          <w:rFonts w:ascii="Book Antiqua" w:hAnsi="Book Antiqua"/>
          <w:b/>
          <w:bCs/>
          <w:sz w:val="52"/>
          <w:szCs w:val="52"/>
          <w:lang w:val="es-ES"/>
        </w:rPr>
        <w:t xml:space="preserve">  </w:t>
      </w:r>
      <w:r w:rsidRPr="00F73AF8">
        <w:rPr>
          <w:rFonts w:ascii="Book Antiqua" w:hAnsi="Book Antiqua"/>
          <w:b/>
          <w:bCs/>
          <w:sz w:val="52"/>
          <w:szCs w:val="52"/>
          <w:lang w:val="es-ES"/>
        </w:rPr>
        <w:t>R. de la C. 99</w:t>
      </w:r>
    </w:p>
    <w:p w14:paraId="1EE5282B" w14:textId="53CB4132" w:rsidR="00F73AF8" w:rsidRDefault="00F73AF8" w:rsidP="00F73AF8">
      <w:pPr>
        <w:spacing w:before="200" w:after="200" w:line="240" w:lineRule="auto"/>
        <w:jc w:val="center"/>
        <w:rPr>
          <w:rFonts w:ascii="Book Antiqua" w:hAnsi="Book Antiqua"/>
          <w:b/>
          <w:bCs/>
          <w:sz w:val="28"/>
          <w:szCs w:val="28"/>
          <w:lang w:val="es-ES"/>
        </w:rPr>
      </w:pPr>
      <w:r>
        <w:rPr>
          <w:rFonts w:ascii="Book Antiqua" w:hAnsi="Book Antiqua"/>
          <w:b/>
          <w:bCs/>
          <w:sz w:val="28"/>
          <w:szCs w:val="28"/>
          <w:lang w:val="es-ES"/>
        </w:rPr>
        <w:t xml:space="preserve">     </w:t>
      </w:r>
      <w:r w:rsidRPr="00F73AF8">
        <w:rPr>
          <w:rFonts w:ascii="Book Antiqua" w:hAnsi="Book Antiqua"/>
          <w:b/>
          <w:bCs/>
          <w:sz w:val="28"/>
          <w:szCs w:val="28"/>
          <w:lang w:val="es-ES"/>
        </w:rPr>
        <w:t>PRIMER INFORME PARCIAL</w:t>
      </w:r>
    </w:p>
    <w:p w14:paraId="4777B93E" w14:textId="77777777" w:rsidR="00F73AF8" w:rsidRPr="00F73AF8" w:rsidRDefault="00F73AF8" w:rsidP="00F73AF8">
      <w:pPr>
        <w:spacing w:before="200" w:after="0" w:line="240" w:lineRule="auto"/>
        <w:jc w:val="center"/>
        <w:rPr>
          <w:rFonts w:ascii="Book Antiqua" w:hAnsi="Book Antiqua"/>
          <w:sz w:val="28"/>
          <w:szCs w:val="28"/>
          <w:lang w:val="es-ES"/>
        </w:rPr>
      </w:pPr>
    </w:p>
    <w:p w14:paraId="12505A3D" w14:textId="057E9A09" w:rsidR="00F73AF8" w:rsidRDefault="00CB7686" w:rsidP="00F73AF8">
      <w:pPr>
        <w:spacing w:after="200" w:line="240" w:lineRule="auto"/>
        <w:jc w:val="center"/>
        <w:rPr>
          <w:rFonts w:ascii="Book Antiqua" w:hAnsi="Book Antiqua"/>
          <w:sz w:val="24"/>
          <w:szCs w:val="24"/>
          <w:lang w:val="es-ES"/>
        </w:rPr>
      </w:pPr>
      <w:r>
        <w:rPr>
          <w:rFonts w:ascii="Book Antiqua" w:hAnsi="Book Antiqua"/>
          <w:b/>
          <w:bCs/>
          <w:sz w:val="24"/>
          <w:szCs w:val="24"/>
          <w:lang w:val="es-ES"/>
        </w:rPr>
        <w:t>4</w:t>
      </w:r>
      <w:r w:rsidR="00F73AF8" w:rsidRPr="00F73AF8">
        <w:rPr>
          <w:rFonts w:ascii="Book Antiqua" w:hAnsi="Book Antiqua"/>
          <w:b/>
          <w:bCs/>
          <w:sz w:val="24"/>
          <w:szCs w:val="24"/>
          <w:lang w:val="es-ES"/>
        </w:rPr>
        <w:t xml:space="preserve"> </w:t>
      </w:r>
      <w:r w:rsidR="00F73AF8" w:rsidRPr="00F73AF8">
        <w:rPr>
          <w:rFonts w:ascii="Book Antiqua" w:hAnsi="Book Antiqua"/>
          <w:sz w:val="24"/>
          <w:szCs w:val="24"/>
          <w:lang w:val="es-ES"/>
        </w:rPr>
        <w:t>DE MAYO DE 2026</w:t>
      </w:r>
    </w:p>
    <w:p w14:paraId="033E5BAD" w14:textId="77777777" w:rsidR="00F73AF8" w:rsidRPr="00F73AF8" w:rsidRDefault="00F73AF8" w:rsidP="00F73AF8">
      <w:pPr>
        <w:spacing w:after="200" w:line="240" w:lineRule="auto"/>
        <w:jc w:val="center"/>
        <w:rPr>
          <w:rFonts w:ascii="Book Antiqua" w:hAnsi="Book Antiqua"/>
          <w:sz w:val="24"/>
          <w:szCs w:val="24"/>
          <w:lang w:val="es-ES"/>
        </w:rPr>
      </w:pPr>
    </w:p>
    <w:p w14:paraId="2FA28D62" w14:textId="77777777" w:rsidR="00F73AF8" w:rsidRPr="00F73AF8" w:rsidRDefault="00F73AF8" w:rsidP="00F73AF8">
      <w:pPr>
        <w:spacing w:after="200" w:line="276" w:lineRule="auto"/>
        <w:rPr>
          <w:rFonts w:ascii="Book Antiqua" w:hAnsi="Book Antiqua"/>
          <w:sz w:val="24"/>
          <w:szCs w:val="24"/>
          <w:lang w:val="es-ES"/>
        </w:rPr>
      </w:pPr>
      <w:r w:rsidRPr="00F73AF8">
        <w:rPr>
          <w:rFonts w:ascii="Book Antiqua" w:hAnsi="Book Antiqua"/>
          <w:b/>
          <w:bCs/>
          <w:sz w:val="24"/>
          <w:szCs w:val="24"/>
          <w:lang w:val="es-ES"/>
        </w:rPr>
        <w:t>A LA CÁMARA DE REPRESENTANTES DE PUERTO RICO:</w:t>
      </w:r>
    </w:p>
    <w:p w14:paraId="0A16BD6D"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 xml:space="preserve">La Comisión de la Región Norte de la Cámara de Representantes, previo estudio y consideración de la R. de la C. 99, presentada por los representantes Méndez Núñez y Nieves Rosario, tiene a bien someter ante este Alto Cuerpo el primer informe parcial con sus hallazgos, conclusiones y recomendaciones. </w:t>
      </w:r>
    </w:p>
    <w:p w14:paraId="256DA364"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 xml:space="preserve">La R. de la C. 99 ordena a esta Comisión llevar a cabo una exhaustiva investigación sobre todo asunto relacionado con el desarrollo socioeconómico de los municipios de </w:t>
      </w:r>
      <w:proofErr w:type="spellStart"/>
      <w:r w:rsidRPr="00F73AF8">
        <w:rPr>
          <w:rFonts w:ascii="Book Antiqua" w:hAnsi="Book Antiqua"/>
          <w:sz w:val="24"/>
          <w:szCs w:val="24"/>
          <w:lang w:val="es-ES"/>
        </w:rPr>
        <w:t>Toa</w:t>
      </w:r>
      <w:proofErr w:type="spellEnd"/>
      <w:r w:rsidRPr="00F73AF8">
        <w:rPr>
          <w:rFonts w:ascii="Book Antiqua" w:hAnsi="Book Antiqua"/>
          <w:sz w:val="24"/>
          <w:szCs w:val="24"/>
          <w:lang w:val="es-ES"/>
        </w:rPr>
        <w:t xml:space="preserve"> Alta, </w:t>
      </w:r>
      <w:proofErr w:type="spellStart"/>
      <w:r w:rsidRPr="00F73AF8">
        <w:rPr>
          <w:rFonts w:ascii="Book Antiqua" w:hAnsi="Book Antiqua"/>
          <w:sz w:val="24"/>
          <w:szCs w:val="24"/>
          <w:lang w:val="es-ES"/>
        </w:rPr>
        <w:t>Toa</w:t>
      </w:r>
      <w:proofErr w:type="spellEnd"/>
      <w:r w:rsidRPr="00F73AF8">
        <w:rPr>
          <w:rFonts w:ascii="Book Antiqua" w:hAnsi="Book Antiqua"/>
          <w:sz w:val="24"/>
          <w:szCs w:val="24"/>
          <w:lang w:val="es-ES"/>
        </w:rPr>
        <w:t xml:space="preserve"> Baja, Dorado, Vega Alta, Vega Baja, Manatí, Barceloneta, Florida, Arecibo, Hatillo, Camuy y Quebradillas; sobre los programas gubernamentales que inciden sobre los municipios bajo su jurisdicción; sobre los servicios que prestan dichos gobiernos municipales a su ciudadanía; y sobre la rendición de cuentas de las asignaciones de fondos estatales y federales destinados a impactar a los municipios de la Región Norte; y para otros fines relacionados.</w:t>
      </w:r>
    </w:p>
    <w:p w14:paraId="7A21EDEB" w14:textId="77777777" w:rsidR="00F73AF8" w:rsidRPr="00F73AF8" w:rsidRDefault="00F73AF8" w:rsidP="00F73AF8">
      <w:pPr>
        <w:spacing w:before="200" w:after="200" w:line="276" w:lineRule="auto"/>
        <w:jc w:val="center"/>
        <w:rPr>
          <w:rFonts w:ascii="Book Antiqua" w:hAnsi="Book Antiqua"/>
          <w:sz w:val="24"/>
          <w:szCs w:val="24"/>
          <w:lang w:val="es-ES"/>
        </w:rPr>
      </w:pPr>
      <w:r w:rsidRPr="00F73AF8">
        <w:rPr>
          <w:rFonts w:ascii="Book Antiqua" w:hAnsi="Book Antiqua"/>
          <w:b/>
          <w:bCs/>
          <w:sz w:val="24"/>
          <w:szCs w:val="24"/>
          <w:lang w:val="es-ES"/>
        </w:rPr>
        <w:t>ALCANCE Y ANÁLISIS DE LA MEDIDA</w:t>
      </w:r>
    </w:p>
    <w:p w14:paraId="02B1523A"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La Resolución de la Cámara 99 fue presentada el 31 de enero de 2025 por los representantes Méndez Núñez y Nieves Rosario, y aprobada por la Cámara de Representantes en su texto de aprobación final el 13 de febrero de 2025. La medida confiere a la Comisión un mandato investigativo amplio sobre todo asunto que incida en el desarrollo socioeconómico de los doce (12) municipios que componen la zona norte de Puerto Rico.</w:t>
      </w:r>
    </w:p>
    <w:p w14:paraId="67AC264D" w14:textId="71043DD4"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lastRenderedPageBreak/>
        <w:t>La Exposición de Motivos de la Resolución destaca que la misión del Estado</w:t>
      </w:r>
      <w:r>
        <w:rPr>
          <w:rFonts w:ascii="Book Antiqua" w:hAnsi="Book Antiqua"/>
          <w:sz w:val="24"/>
          <w:szCs w:val="24"/>
          <w:lang w:val="es-ES"/>
        </w:rPr>
        <w:t xml:space="preserve"> </w:t>
      </w:r>
      <w:r w:rsidRPr="00F73AF8">
        <w:rPr>
          <w:rFonts w:ascii="Book Antiqua" w:hAnsi="Book Antiqua"/>
          <w:sz w:val="24"/>
          <w:szCs w:val="24"/>
          <w:lang w:val="es-ES"/>
        </w:rPr>
        <w:t>es garantizar a sus constituyentes el más alto grado de calidad de vida posible, abarcando áreas como la salud, la educación, la seguridad y la economía. Destaca la necesidad de formular legislación que atienda los temas sociales, económicos, turísticos, ambientales, de vivienda, recreativos, educativos, de transporte e infraestructura, de salud, de seguridad pública y servicios para adultos mayores y personas con discapacidad. Asimismo, enfatiza el compromiso de medir la reconstrucción en obra terminada y no meramente en fondos asignados u obligados, así como la urgencia de reducir la burocracia y agilizar los procesos de los proyectos de reconstrucción.</w:t>
      </w:r>
    </w:p>
    <w:p w14:paraId="524650C2" w14:textId="77777777" w:rsidR="00F73AF8" w:rsidRPr="00F73AF8" w:rsidRDefault="00F73AF8" w:rsidP="00F73AF8">
      <w:pPr>
        <w:spacing w:after="200" w:line="276" w:lineRule="auto"/>
        <w:jc w:val="both"/>
        <w:rPr>
          <w:rFonts w:ascii="Book Antiqua" w:hAnsi="Book Antiqua"/>
          <w:sz w:val="24"/>
          <w:szCs w:val="24"/>
          <w:lang w:val="es-ES"/>
        </w:rPr>
      </w:pPr>
      <w:r w:rsidRPr="00F73AF8">
        <w:rPr>
          <w:rFonts w:ascii="Book Antiqua" w:hAnsi="Book Antiqua"/>
          <w:sz w:val="24"/>
          <w:szCs w:val="24"/>
          <w:lang w:val="es-ES"/>
        </w:rPr>
        <w:t>Específicamente, la medida dispone, en lo pertinente, lo siguiente:</w:t>
      </w:r>
    </w:p>
    <w:p w14:paraId="6E950BD3" w14:textId="77777777" w:rsidR="00F73AF8" w:rsidRPr="00F73AF8" w:rsidRDefault="00F73AF8" w:rsidP="00F73AF8">
      <w:pPr>
        <w:pStyle w:val="ListParagraph"/>
        <w:numPr>
          <w:ilvl w:val="0"/>
          <w:numId w:val="28"/>
        </w:numPr>
        <w:spacing w:after="200" w:line="276" w:lineRule="auto"/>
        <w:contextualSpacing w:val="0"/>
        <w:jc w:val="both"/>
        <w:rPr>
          <w:rFonts w:ascii="Book Antiqua" w:hAnsi="Book Antiqua"/>
          <w:sz w:val="24"/>
          <w:szCs w:val="24"/>
          <w:lang w:val="es-ES"/>
        </w:rPr>
      </w:pPr>
      <w:r w:rsidRPr="00F73AF8">
        <w:rPr>
          <w:rFonts w:ascii="Book Antiqua" w:hAnsi="Book Antiqua"/>
          <w:sz w:val="24"/>
          <w:szCs w:val="24"/>
          <w:lang w:val="es-ES"/>
        </w:rPr>
        <w:t>Investigar todo asunto relacionado con el desarrollo socioeconómico de los municipios de la Región Norte y los programas gubernamentales que inciden sobre dichos municipios.</w:t>
      </w:r>
    </w:p>
    <w:p w14:paraId="66F38653" w14:textId="77777777" w:rsidR="00F73AF8" w:rsidRPr="00F73AF8" w:rsidRDefault="00F73AF8" w:rsidP="00F73AF8">
      <w:pPr>
        <w:pStyle w:val="ListParagraph"/>
        <w:numPr>
          <w:ilvl w:val="0"/>
          <w:numId w:val="28"/>
        </w:numPr>
        <w:spacing w:after="200" w:line="276" w:lineRule="auto"/>
        <w:contextualSpacing w:val="0"/>
        <w:jc w:val="both"/>
        <w:rPr>
          <w:rFonts w:ascii="Book Antiqua" w:hAnsi="Book Antiqua"/>
          <w:sz w:val="24"/>
          <w:szCs w:val="24"/>
          <w:lang w:val="es-ES"/>
        </w:rPr>
      </w:pPr>
      <w:r w:rsidRPr="00F73AF8">
        <w:rPr>
          <w:rFonts w:ascii="Book Antiqua" w:hAnsi="Book Antiqua"/>
          <w:sz w:val="24"/>
          <w:szCs w:val="24"/>
          <w:lang w:val="es-ES"/>
        </w:rPr>
        <w:t>Investigar y exigir rendición de cuentas de todas las asignaciones de fondos estatales y federales destinados a impactar a los municipios bajo la jurisdicción de la Comisión.</w:t>
      </w:r>
    </w:p>
    <w:p w14:paraId="277514EA" w14:textId="77777777" w:rsidR="00F73AF8" w:rsidRPr="00F73AF8" w:rsidRDefault="00F73AF8" w:rsidP="00F73AF8">
      <w:pPr>
        <w:pStyle w:val="ListParagraph"/>
        <w:numPr>
          <w:ilvl w:val="0"/>
          <w:numId w:val="28"/>
        </w:numPr>
        <w:spacing w:after="200" w:line="276" w:lineRule="auto"/>
        <w:contextualSpacing w:val="0"/>
        <w:jc w:val="both"/>
        <w:rPr>
          <w:rFonts w:ascii="Book Antiqua" w:hAnsi="Book Antiqua"/>
          <w:sz w:val="24"/>
          <w:szCs w:val="24"/>
          <w:lang w:val="es-ES"/>
        </w:rPr>
      </w:pPr>
      <w:r w:rsidRPr="00F73AF8">
        <w:rPr>
          <w:rFonts w:ascii="Book Antiqua" w:hAnsi="Book Antiqua"/>
          <w:sz w:val="24"/>
          <w:szCs w:val="24"/>
          <w:lang w:val="es-ES"/>
        </w:rPr>
        <w:t>Citar a cualquier persona natural o jurídica, entidad gubernamental u organización con o sin fines de lucro que guarde relación con los asuntos bajo investigación, así como realizar estudios, investigaciones, reuniones, citaciones, solicitudes de producción de documentos, requerimientos e informes que se estimen necesarios.</w:t>
      </w:r>
    </w:p>
    <w:p w14:paraId="449F71D4" w14:textId="2985E191" w:rsidR="00F73AF8" w:rsidRPr="00F73AF8" w:rsidRDefault="00F73AF8" w:rsidP="00F73AF8">
      <w:pPr>
        <w:spacing w:after="200" w:line="276" w:lineRule="auto"/>
        <w:ind w:firstLine="360"/>
        <w:jc w:val="both"/>
        <w:rPr>
          <w:rFonts w:ascii="Book Antiqua" w:hAnsi="Book Antiqua"/>
          <w:sz w:val="24"/>
          <w:szCs w:val="24"/>
          <w:lang w:val="es-ES"/>
        </w:rPr>
      </w:pPr>
      <w:r w:rsidRPr="00F73AF8">
        <w:rPr>
          <w:rFonts w:ascii="Book Antiqua" w:hAnsi="Book Antiqua"/>
          <w:sz w:val="24"/>
          <w:szCs w:val="24"/>
          <w:lang w:val="es-ES"/>
        </w:rPr>
        <w:t xml:space="preserve">Para cumplir con el mandato de la medida, la Comisión celebró una Vista Pública el martes, 17 de marzo de 2026, en el </w:t>
      </w:r>
      <w:r>
        <w:rPr>
          <w:rFonts w:ascii="Book Antiqua" w:hAnsi="Book Antiqua"/>
          <w:sz w:val="24"/>
          <w:szCs w:val="24"/>
          <w:lang w:val="es-ES"/>
        </w:rPr>
        <w:t>salón de Audiencias 6</w:t>
      </w:r>
      <w:r w:rsidRPr="00F73AF8">
        <w:rPr>
          <w:rFonts w:ascii="Book Antiqua" w:hAnsi="Book Antiqua"/>
          <w:sz w:val="24"/>
          <w:szCs w:val="24"/>
          <w:lang w:val="es-ES"/>
        </w:rPr>
        <w:t xml:space="preserve">. </w:t>
      </w:r>
      <w:r>
        <w:rPr>
          <w:rFonts w:ascii="Book Antiqua" w:hAnsi="Book Antiqua"/>
          <w:sz w:val="24"/>
          <w:szCs w:val="24"/>
          <w:lang w:val="es-ES"/>
        </w:rPr>
        <w:t>El</w:t>
      </w:r>
      <w:r w:rsidRPr="00F73AF8">
        <w:rPr>
          <w:rFonts w:ascii="Book Antiqua" w:hAnsi="Book Antiqua"/>
          <w:sz w:val="24"/>
          <w:szCs w:val="24"/>
          <w:lang w:val="es-ES"/>
        </w:rPr>
        <w:t xml:space="preserve"> propósito </w:t>
      </w:r>
      <w:r>
        <w:rPr>
          <w:rFonts w:ascii="Book Antiqua" w:hAnsi="Book Antiqua"/>
          <w:sz w:val="24"/>
          <w:szCs w:val="24"/>
          <w:lang w:val="es-ES"/>
        </w:rPr>
        <w:t xml:space="preserve">de </w:t>
      </w:r>
      <w:proofErr w:type="gramStart"/>
      <w:r>
        <w:rPr>
          <w:rFonts w:ascii="Book Antiqua" w:hAnsi="Book Antiqua"/>
          <w:sz w:val="24"/>
          <w:szCs w:val="24"/>
          <w:lang w:val="es-ES"/>
        </w:rPr>
        <w:t>la misma</w:t>
      </w:r>
      <w:proofErr w:type="gramEnd"/>
      <w:r>
        <w:rPr>
          <w:rFonts w:ascii="Book Antiqua" w:hAnsi="Book Antiqua"/>
          <w:sz w:val="24"/>
          <w:szCs w:val="24"/>
          <w:lang w:val="es-ES"/>
        </w:rPr>
        <w:t xml:space="preserve"> es </w:t>
      </w:r>
      <w:r w:rsidRPr="00F73AF8">
        <w:rPr>
          <w:rFonts w:ascii="Book Antiqua" w:hAnsi="Book Antiqua"/>
          <w:sz w:val="24"/>
          <w:szCs w:val="24"/>
          <w:lang w:val="es-ES"/>
        </w:rPr>
        <w:t xml:space="preserve">atender la situación crítica que enfrenta </w:t>
      </w:r>
      <w:r>
        <w:rPr>
          <w:rFonts w:ascii="Book Antiqua" w:hAnsi="Book Antiqua"/>
          <w:sz w:val="24"/>
          <w:szCs w:val="24"/>
          <w:lang w:val="es-ES"/>
        </w:rPr>
        <w:t>el municipio de Barceloneta</w:t>
      </w:r>
      <w:r w:rsidRPr="00F73AF8">
        <w:rPr>
          <w:rFonts w:ascii="Book Antiqua" w:hAnsi="Book Antiqua"/>
          <w:sz w:val="24"/>
          <w:szCs w:val="24"/>
          <w:lang w:val="es-ES"/>
        </w:rPr>
        <w:t xml:space="preserve"> en cuanto al servicio de agua potable suministrado por la Autoridad de Acueductos y Alcantarillados (AAA) y al servicio de energía eléctrica suministrado por LUMA Energy.</w:t>
      </w:r>
    </w:p>
    <w:p w14:paraId="33DEB3A6" w14:textId="77777777" w:rsidR="00F73AF8" w:rsidRPr="00F73AF8" w:rsidRDefault="00F73AF8" w:rsidP="00F73AF8">
      <w:pPr>
        <w:spacing w:after="100" w:line="276" w:lineRule="auto"/>
        <w:rPr>
          <w:rFonts w:ascii="Book Antiqua" w:hAnsi="Book Antiqua"/>
          <w:sz w:val="24"/>
          <w:szCs w:val="24"/>
          <w:lang w:val="es-ES"/>
        </w:rPr>
      </w:pPr>
      <w:r w:rsidRPr="00F73AF8">
        <w:rPr>
          <w:rFonts w:ascii="Book Antiqua" w:hAnsi="Book Antiqua"/>
          <w:b/>
          <w:bCs/>
          <w:sz w:val="24"/>
          <w:szCs w:val="24"/>
          <w:lang w:val="es-ES"/>
        </w:rPr>
        <w:t>Deponentes:</w:t>
      </w:r>
    </w:p>
    <w:p w14:paraId="019EB4C9" w14:textId="4BB82F3F" w:rsidR="00F73AF8" w:rsidRPr="00F73AF8" w:rsidRDefault="00F73AF8" w:rsidP="00F73AF8">
      <w:pPr>
        <w:spacing w:after="200" w:line="276" w:lineRule="auto"/>
        <w:jc w:val="both"/>
        <w:rPr>
          <w:rFonts w:ascii="Book Antiqua" w:hAnsi="Book Antiqua"/>
          <w:sz w:val="24"/>
          <w:szCs w:val="24"/>
          <w:lang w:val="es-ES"/>
        </w:rPr>
      </w:pPr>
      <w:r w:rsidRPr="00F73AF8">
        <w:rPr>
          <w:rFonts w:ascii="Book Antiqua" w:hAnsi="Book Antiqua"/>
          <w:sz w:val="24"/>
          <w:szCs w:val="24"/>
          <w:lang w:val="es-ES"/>
        </w:rPr>
        <w:t xml:space="preserve">Por el Gobierno Municipal de Barceloneta: </w:t>
      </w:r>
      <w:r w:rsidR="0074164F">
        <w:rPr>
          <w:rFonts w:ascii="Book Antiqua" w:hAnsi="Book Antiqua"/>
          <w:sz w:val="24"/>
          <w:szCs w:val="24"/>
          <w:lang w:val="es-ES"/>
        </w:rPr>
        <w:t>c</w:t>
      </w:r>
      <w:r w:rsidRPr="00F73AF8">
        <w:rPr>
          <w:rFonts w:ascii="Book Antiqua" w:hAnsi="Book Antiqua"/>
          <w:sz w:val="24"/>
          <w:szCs w:val="24"/>
          <w:lang w:val="es-ES"/>
        </w:rPr>
        <w:t xml:space="preserve">ompareció </w:t>
      </w:r>
      <w:r w:rsidR="006C1A1E">
        <w:rPr>
          <w:rFonts w:ascii="Book Antiqua" w:hAnsi="Book Antiqua"/>
          <w:sz w:val="24"/>
          <w:szCs w:val="24"/>
          <w:lang w:val="es-ES"/>
        </w:rPr>
        <w:t>el señor Lisandro Reyes</w:t>
      </w:r>
      <w:r w:rsidRPr="00F73AF8">
        <w:rPr>
          <w:rFonts w:ascii="Book Antiqua" w:hAnsi="Book Antiqua"/>
          <w:sz w:val="24"/>
          <w:szCs w:val="24"/>
          <w:lang w:val="es-ES"/>
        </w:rPr>
        <w:t xml:space="preserve">, </w:t>
      </w:r>
      <w:proofErr w:type="gramStart"/>
      <w:r w:rsidR="006C1A1E">
        <w:rPr>
          <w:rFonts w:ascii="Book Antiqua" w:hAnsi="Book Antiqua"/>
          <w:sz w:val="24"/>
          <w:szCs w:val="24"/>
          <w:lang w:val="es-ES"/>
        </w:rPr>
        <w:t>Vice Alcalde</w:t>
      </w:r>
      <w:proofErr w:type="gramEnd"/>
      <w:r w:rsidR="006C1A1E">
        <w:rPr>
          <w:rFonts w:ascii="Book Antiqua" w:hAnsi="Book Antiqua"/>
          <w:sz w:val="24"/>
          <w:szCs w:val="24"/>
          <w:lang w:val="es-ES"/>
        </w:rPr>
        <w:t>.</w:t>
      </w:r>
    </w:p>
    <w:p w14:paraId="408A2F74" w14:textId="42A9E1EE" w:rsidR="00F73AF8" w:rsidRPr="00F73AF8" w:rsidRDefault="00F73AF8" w:rsidP="00F73AF8">
      <w:pPr>
        <w:spacing w:after="200" w:line="276" w:lineRule="auto"/>
        <w:jc w:val="both"/>
        <w:rPr>
          <w:rFonts w:ascii="Book Antiqua" w:hAnsi="Book Antiqua"/>
          <w:sz w:val="24"/>
          <w:szCs w:val="24"/>
          <w:lang w:val="es-ES"/>
        </w:rPr>
      </w:pPr>
      <w:r w:rsidRPr="00F73AF8">
        <w:rPr>
          <w:rFonts w:ascii="Book Antiqua" w:hAnsi="Book Antiqua"/>
          <w:sz w:val="24"/>
          <w:szCs w:val="24"/>
          <w:lang w:val="es-ES"/>
        </w:rPr>
        <w:t xml:space="preserve">Por LUMA Energy: </w:t>
      </w:r>
      <w:r w:rsidR="0074164F">
        <w:rPr>
          <w:rFonts w:ascii="Book Antiqua" w:hAnsi="Book Antiqua"/>
          <w:sz w:val="24"/>
          <w:szCs w:val="24"/>
          <w:lang w:val="es-ES"/>
        </w:rPr>
        <w:t>c</w:t>
      </w:r>
      <w:r w:rsidRPr="00F73AF8">
        <w:rPr>
          <w:rFonts w:ascii="Book Antiqua" w:hAnsi="Book Antiqua"/>
          <w:sz w:val="24"/>
          <w:szCs w:val="24"/>
          <w:lang w:val="es-ES"/>
        </w:rPr>
        <w:t xml:space="preserve">ompareció el Sr. Michael A. Juarbe Laffitte, </w:t>
      </w:r>
      <w:proofErr w:type="gramStart"/>
      <w:r w:rsidRPr="00F73AF8">
        <w:rPr>
          <w:rFonts w:ascii="Book Antiqua" w:hAnsi="Book Antiqua"/>
          <w:sz w:val="24"/>
          <w:szCs w:val="24"/>
          <w:lang w:val="es-ES"/>
        </w:rPr>
        <w:t>Vicepresidente</w:t>
      </w:r>
      <w:proofErr w:type="gramEnd"/>
      <w:r w:rsidRPr="00F73AF8">
        <w:rPr>
          <w:rFonts w:ascii="Book Antiqua" w:hAnsi="Book Antiqua"/>
          <w:sz w:val="24"/>
          <w:szCs w:val="24"/>
          <w:lang w:val="es-ES"/>
        </w:rPr>
        <w:t xml:space="preserve"> de Asuntos de Gobierno y Política Pública, en representación del operador del sistema de transmisión y distribución eléctrica.</w:t>
      </w:r>
    </w:p>
    <w:p w14:paraId="104B43F8" w14:textId="795826FA" w:rsidR="00F73AF8" w:rsidRPr="00F73AF8" w:rsidRDefault="00F73AF8" w:rsidP="00F73AF8">
      <w:pPr>
        <w:spacing w:after="200" w:line="276" w:lineRule="auto"/>
        <w:jc w:val="both"/>
        <w:rPr>
          <w:rFonts w:ascii="Book Antiqua" w:hAnsi="Book Antiqua"/>
          <w:sz w:val="24"/>
          <w:szCs w:val="24"/>
          <w:lang w:val="es-ES"/>
        </w:rPr>
      </w:pPr>
      <w:r w:rsidRPr="00F73AF8">
        <w:rPr>
          <w:rFonts w:ascii="Book Antiqua" w:hAnsi="Book Antiqua"/>
          <w:sz w:val="24"/>
          <w:szCs w:val="24"/>
          <w:lang w:val="es-ES"/>
        </w:rPr>
        <w:lastRenderedPageBreak/>
        <w:t xml:space="preserve">Por la Autoridad de Acueductos y Alcantarillados (AAA): </w:t>
      </w:r>
      <w:r w:rsidR="0074164F">
        <w:rPr>
          <w:rFonts w:ascii="Book Antiqua" w:hAnsi="Book Antiqua"/>
          <w:sz w:val="24"/>
          <w:szCs w:val="24"/>
          <w:lang w:val="es-ES"/>
        </w:rPr>
        <w:t xml:space="preserve">compareció </w:t>
      </w:r>
      <w:r w:rsidRPr="00F73AF8">
        <w:rPr>
          <w:rFonts w:ascii="Book Antiqua" w:hAnsi="Book Antiqua"/>
          <w:sz w:val="24"/>
          <w:szCs w:val="24"/>
          <w:lang w:val="es-ES"/>
        </w:rPr>
        <w:t>el</w:t>
      </w:r>
      <w:r w:rsidR="0074164F">
        <w:rPr>
          <w:rFonts w:ascii="Book Antiqua" w:hAnsi="Book Antiqua"/>
          <w:sz w:val="24"/>
          <w:szCs w:val="24"/>
          <w:lang w:val="es-ES"/>
        </w:rPr>
        <w:t xml:space="preserve"> Señor Luis Miranda, </w:t>
      </w:r>
      <w:proofErr w:type="gramStart"/>
      <w:r w:rsidR="0074164F">
        <w:rPr>
          <w:rFonts w:ascii="Book Antiqua" w:hAnsi="Book Antiqua"/>
          <w:sz w:val="24"/>
          <w:szCs w:val="24"/>
          <w:lang w:val="es-ES"/>
        </w:rPr>
        <w:t>Director</w:t>
      </w:r>
      <w:proofErr w:type="gramEnd"/>
      <w:r w:rsidR="0074164F">
        <w:rPr>
          <w:rFonts w:ascii="Book Antiqua" w:hAnsi="Book Antiqua"/>
          <w:sz w:val="24"/>
          <w:szCs w:val="24"/>
          <w:lang w:val="es-ES"/>
        </w:rPr>
        <w:t xml:space="preserve"> Región Norte con el</w:t>
      </w:r>
      <w:r w:rsidRPr="00F73AF8">
        <w:rPr>
          <w:rFonts w:ascii="Book Antiqua" w:hAnsi="Book Antiqua"/>
          <w:sz w:val="24"/>
          <w:szCs w:val="24"/>
          <w:lang w:val="es-ES"/>
        </w:rPr>
        <w:t xml:space="preserve"> memorial explicativo suscrito por el Ing. Luis R. González Delgado, </w:t>
      </w:r>
      <w:proofErr w:type="gramStart"/>
      <w:r w:rsidRPr="00F73AF8">
        <w:rPr>
          <w:rFonts w:ascii="Book Antiqua" w:hAnsi="Book Antiqua"/>
          <w:sz w:val="24"/>
          <w:szCs w:val="24"/>
          <w:lang w:val="es-ES"/>
        </w:rPr>
        <w:t>Presidente Ejecutivo</w:t>
      </w:r>
      <w:proofErr w:type="gramEnd"/>
      <w:r w:rsidRPr="00F73AF8">
        <w:rPr>
          <w:rFonts w:ascii="Book Antiqua" w:hAnsi="Book Antiqua"/>
          <w:sz w:val="24"/>
          <w:szCs w:val="24"/>
          <w:lang w:val="es-ES"/>
        </w:rPr>
        <w:t xml:space="preserve">. </w:t>
      </w:r>
    </w:p>
    <w:p w14:paraId="327B4355" w14:textId="77777777" w:rsidR="00F73AF8" w:rsidRPr="00F73AF8" w:rsidRDefault="00F73AF8" w:rsidP="00F73AF8">
      <w:pPr>
        <w:spacing w:before="200" w:after="200" w:line="276" w:lineRule="auto"/>
        <w:jc w:val="center"/>
        <w:rPr>
          <w:rFonts w:ascii="Book Antiqua" w:hAnsi="Book Antiqua"/>
          <w:sz w:val="24"/>
          <w:szCs w:val="24"/>
          <w:lang w:val="es-ES"/>
        </w:rPr>
      </w:pPr>
      <w:r w:rsidRPr="00F73AF8">
        <w:rPr>
          <w:rFonts w:ascii="Book Antiqua" w:hAnsi="Book Antiqua"/>
          <w:b/>
          <w:bCs/>
          <w:sz w:val="24"/>
          <w:szCs w:val="24"/>
          <w:lang w:val="es-ES"/>
        </w:rPr>
        <w:t>MEMORIALES</w:t>
      </w:r>
    </w:p>
    <w:p w14:paraId="3DD2DD3C" w14:textId="77777777" w:rsidR="00F73AF8" w:rsidRPr="00F73AF8" w:rsidRDefault="00F73AF8" w:rsidP="00F73AF8">
      <w:pPr>
        <w:spacing w:after="120" w:line="276" w:lineRule="auto"/>
        <w:rPr>
          <w:rFonts w:ascii="Book Antiqua" w:hAnsi="Book Antiqua"/>
          <w:sz w:val="24"/>
          <w:szCs w:val="24"/>
          <w:lang w:val="es-ES"/>
        </w:rPr>
      </w:pPr>
      <w:r w:rsidRPr="00F73AF8">
        <w:rPr>
          <w:rFonts w:ascii="Book Antiqua" w:hAnsi="Book Antiqua"/>
          <w:b/>
          <w:bCs/>
          <w:sz w:val="24"/>
          <w:szCs w:val="24"/>
          <w:lang w:val="es-ES"/>
        </w:rPr>
        <w:t>A. Gobierno Municipal de Barceloneta</w:t>
      </w:r>
    </w:p>
    <w:p w14:paraId="5D7E19F7"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 xml:space="preserve">El Gobierno Municipal de Barceloneta presentó su memorial explicativo con fecha del 16 de marzo de 2026, suscrito por la Hon. Wanda J. Soler Rosario, </w:t>
      </w:r>
      <w:proofErr w:type="gramStart"/>
      <w:r w:rsidRPr="00F73AF8">
        <w:rPr>
          <w:rFonts w:ascii="Book Antiqua" w:hAnsi="Book Antiqua"/>
          <w:sz w:val="24"/>
          <w:szCs w:val="24"/>
          <w:lang w:val="es-ES"/>
        </w:rPr>
        <w:t>Alcaldesa</w:t>
      </w:r>
      <w:proofErr w:type="gramEnd"/>
      <w:r w:rsidRPr="00F73AF8">
        <w:rPr>
          <w:rFonts w:ascii="Book Antiqua" w:hAnsi="Book Antiqua"/>
          <w:sz w:val="24"/>
          <w:szCs w:val="24"/>
          <w:lang w:val="es-ES"/>
        </w:rPr>
        <w:t>. La Administración Municipal endosó la R. de la C. 99 y compareció para exponer la situación crítica que enfrenta la Ciudad Industrial en materia de falta de agua potable y servicio eléctrico, describiendo una crisis recurrente que ha obligado al municipio a tomar medidas drásticas, incluyendo la activación de estados de emergencia.</w:t>
      </w:r>
    </w:p>
    <w:p w14:paraId="49B70A65"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 xml:space="preserve">En cuanto al servicio eléctrico, el memorial indicó que las interrupciones en la Ciudad Industrial son constantes y que cada vez que ocurre un apagón los pozos de agua potable quedan fuera de servicio porque no cuentan con generadores eléctricos, con excepción del pozo de Tiburón, que es el único que tiene generador. Las comunidades identificadas como más afectadas son: Magueyes, Palmas Altas, Punta Palmas, La Boca, </w:t>
      </w:r>
      <w:proofErr w:type="spellStart"/>
      <w:r w:rsidRPr="00F73AF8">
        <w:rPr>
          <w:rFonts w:ascii="Book Antiqua" w:hAnsi="Book Antiqua"/>
          <w:sz w:val="24"/>
          <w:szCs w:val="24"/>
          <w:lang w:val="es-ES"/>
        </w:rPr>
        <w:t>Catañito</w:t>
      </w:r>
      <w:proofErr w:type="spellEnd"/>
      <w:r w:rsidRPr="00F73AF8">
        <w:rPr>
          <w:rFonts w:ascii="Book Antiqua" w:hAnsi="Book Antiqua"/>
          <w:sz w:val="24"/>
          <w:szCs w:val="24"/>
          <w:lang w:val="es-ES"/>
        </w:rPr>
        <w:t>, Sabana Paick, Pueblo y Cerro Morales, cuyos residentes sufren interrupciones frecuentes, prácticamente a diario.</w:t>
      </w:r>
    </w:p>
    <w:p w14:paraId="0E16B397"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 xml:space="preserve">En cuanto al servicio de agua potable, el memorial señaló que, aunque el sistema en ocasiones cuenta con suministro, la misma no llega a las residencias por falta de presión en el sistema, lo que ha provocado el cierre de facilidades recreativas, comercios y áreas comunes. Se destacó particularmente la comunidad de Sabana Paick, donde los residentes de las partes altas deben levantarse en la madrugada a recoger agua porque durante el transcurso del día no cuentan con servicio. Asimismo, se citó la comunidad de </w:t>
      </w:r>
      <w:proofErr w:type="spellStart"/>
      <w:r w:rsidRPr="00F73AF8">
        <w:rPr>
          <w:rFonts w:ascii="Book Antiqua" w:hAnsi="Book Antiqua"/>
          <w:sz w:val="24"/>
          <w:szCs w:val="24"/>
          <w:lang w:val="es-ES"/>
        </w:rPr>
        <w:t>Catañito</w:t>
      </w:r>
      <w:proofErr w:type="spellEnd"/>
      <w:r w:rsidRPr="00F73AF8">
        <w:rPr>
          <w:rFonts w:ascii="Book Antiqua" w:hAnsi="Book Antiqua"/>
          <w:sz w:val="24"/>
          <w:szCs w:val="24"/>
          <w:lang w:val="es-ES"/>
        </w:rPr>
        <w:t>, que ha experimentado intermitencia en el servicio en más de siete (7) ocasiones solo los fines de semana, contradiciendo la posición reiterada de la AAA de que el caudal de agua es suficiente.</w:t>
      </w:r>
    </w:p>
    <w:p w14:paraId="17F454BE"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 xml:space="preserve">La Administración Municipal indicó que se han cerrado cuatro (4) pozos de agua potable en la Ciudad Industrial durante las últimas tres (3) décadas. Aunque entiende que ese suplido fue sustituido por el </w:t>
      </w:r>
      <w:proofErr w:type="spellStart"/>
      <w:r w:rsidRPr="00F73AF8">
        <w:rPr>
          <w:rFonts w:ascii="Book Antiqua" w:hAnsi="Book Antiqua"/>
          <w:sz w:val="24"/>
          <w:szCs w:val="24"/>
          <w:lang w:val="es-ES"/>
        </w:rPr>
        <w:t>Superacueducto</w:t>
      </w:r>
      <w:proofErr w:type="spellEnd"/>
      <w:r w:rsidRPr="00F73AF8">
        <w:rPr>
          <w:rFonts w:ascii="Book Antiqua" w:hAnsi="Book Antiqua"/>
          <w:sz w:val="24"/>
          <w:szCs w:val="24"/>
          <w:lang w:val="es-ES"/>
        </w:rPr>
        <w:t xml:space="preserve">, cuestionó si la cantidad de agua es suficiente dado el crecimiento residencial drástico de los últimos treinta años y la apertura de nuevos comercios. La situación ha llevado al municipio a activar estados de emergencia por falta de agua potable, incurriendo en gastos recurrentes tales como </w:t>
      </w:r>
      <w:r w:rsidRPr="00F73AF8">
        <w:rPr>
          <w:rFonts w:ascii="Book Antiqua" w:hAnsi="Book Antiqua"/>
          <w:sz w:val="24"/>
          <w:szCs w:val="24"/>
          <w:lang w:val="es-ES"/>
        </w:rPr>
        <w:lastRenderedPageBreak/>
        <w:t>alquiler de camiones cisterna, solicitud de colaboración a pueblos vecinos, compra de agua potable para repartir en las comunidades y otorgamiento de cisternas a residentes.</w:t>
      </w:r>
    </w:p>
    <w:p w14:paraId="1363A8EF"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 xml:space="preserve">Como recomendaciones, la Administración Municipal solicitó: (1) la instalación de generadores eléctricos en los cuatro (4) pozos de agua potable que carecen de los mismos para contrarrestar el desempeño de LUMA; (2) la realización de una auditoría exhaustiva del agua que generan los pozos y del suplido del </w:t>
      </w:r>
      <w:proofErr w:type="spellStart"/>
      <w:r w:rsidRPr="00F73AF8">
        <w:rPr>
          <w:rFonts w:ascii="Book Antiqua" w:hAnsi="Book Antiqua"/>
          <w:sz w:val="24"/>
          <w:szCs w:val="24"/>
          <w:lang w:val="es-ES"/>
        </w:rPr>
        <w:t>Superacueducto</w:t>
      </w:r>
      <w:proofErr w:type="spellEnd"/>
      <w:r w:rsidRPr="00F73AF8">
        <w:rPr>
          <w:rFonts w:ascii="Book Antiqua" w:hAnsi="Book Antiqua"/>
          <w:sz w:val="24"/>
          <w:szCs w:val="24"/>
          <w:lang w:val="es-ES"/>
        </w:rPr>
        <w:t>, para determinar la capacidad disponible versus la necesidad real de residentes y comercios; y (3) la implementación de un plan correctivo inmediato, mantenimiento preventivo real y comunicación directa con el municipio.</w:t>
      </w:r>
    </w:p>
    <w:p w14:paraId="71549D3B" w14:textId="77777777" w:rsidR="00F73AF8" w:rsidRPr="00F73AF8" w:rsidRDefault="00F73AF8" w:rsidP="00F73AF8">
      <w:pPr>
        <w:spacing w:before="200" w:after="120" w:line="276" w:lineRule="auto"/>
        <w:rPr>
          <w:rFonts w:ascii="Book Antiqua" w:hAnsi="Book Antiqua"/>
          <w:sz w:val="24"/>
          <w:szCs w:val="24"/>
          <w:lang w:val="es-ES"/>
        </w:rPr>
      </w:pPr>
      <w:r w:rsidRPr="00F73AF8">
        <w:rPr>
          <w:rFonts w:ascii="Book Antiqua" w:hAnsi="Book Antiqua"/>
          <w:b/>
          <w:bCs/>
          <w:sz w:val="24"/>
          <w:szCs w:val="24"/>
          <w:lang w:val="es-ES"/>
        </w:rPr>
        <w:t>B. LUMA Energy</w:t>
      </w:r>
    </w:p>
    <w:p w14:paraId="5620DA6A"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LUMA Energy presentó su memorial explicativo con fecha del 26 de febrero de 2026 (</w:t>
      </w:r>
      <w:proofErr w:type="spellStart"/>
      <w:r w:rsidRPr="00F73AF8">
        <w:rPr>
          <w:rFonts w:ascii="Book Antiqua" w:hAnsi="Book Antiqua"/>
          <w:sz w:val="24"/>
          <w:szCs w:val="24"/>
          <w:lang w:val="es-ES"/>
        </w:rPr>
        <w:t>Transmittal</w:t>
      </w:r>
      <w:proofErr w:type="spellEnd"/>
      <w:r w:rsidRPr="00F73AF8">
        <w:rPr>
          <w:rFonts w:ascii="Book Antiqua" w:hAnsi="Book Antiqua"/>
          <w:sz w:val="24"/>
          <w:szCs w:val="24"/>
          <w:lang w:val="es-ES"/>
        </w:rPr>
        <w:t xml:space="preserve"> LUMA-GOV-T-00582), suscrito por el Sr. Michael A. Juarbe Laffitte, </w:t>
      </w:r>
      <w:proofErr w:type="gramStart"/>
      <w:r w:rsidRPr="00F73AF8">
        <w:rPr>
          <w:rFonts w:ascii="Book Antiqua" w:hAnsi="Book Antiqua"/>
          <w:sz w:val="24"/>
          <w:szCs w:val="24"/>
          <w:lang w:val="es-ES"/>
        </w:rPr>
        <w:t>Vicepresidente</w:t>
      </w:r>
      <w:proofErr w:type="gramEnd"/>
      <w:r w:rsidRPr="00F73AF8">
        <w:rPr>
          <w:rFonts w:ascii="Book Antiqua" w:hAnsi="Book Antiqua"/>
          <w:sz w:val="24"/>
          <w:szCs w:val="24"/>
          <w:lang w:val="es-ES"/>
        </w:rPr>
        <w:t xml:space="preserve"> de Asuntos de Gobierno y Política Pública, acompañado de carta de cubierta, respuesta a solicitud de información y como Anejo A un Informe de Interrupciones en Barceloneta correspondiente al periodo del 1 de enero de 2025 al 19 de febrero de 2026.</w:t>
      </w:r>
    </w:p>
    <w:p w14:paraId="4568099F"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Conforme al Anejo A, LUMA reportó un total de doscientas cincuenta y ocho (258) interrupciones de servicio eléctrico en el Municipio de Barceloneta durante dicho periodo. Las principales causas de interrupción identificadas fueron: contacto con vegetación (20%), falla de caja de fusibles (18%) y rotura de cable secundario (10%). Los sectores mayormente afectados resultaron ser los Barrios Garróchales, Magueyes y Palmas Altas.</w:t>
      </w:r>
    </w:p>
    <w:p w14:paraId="4345EEEE"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LUMA informó que durante el año fiscal previo realizó trabajos de mantenimiento en el Alimentador 8405-03, incluyendo reemplazo de aislación y reparación de puntos calientes, beneficiando sectores como el Casco Urbano, Urb. Atenas, Urb. O’Neill y Urb. Villa Beatriz, entre otros. Asimismo, en las semanas previas al memorial se realizó trabajo de manejo de vegetación en el Alimentador 8405-02, donde discurre la Línea 2200, beneficiando sectores como Puerto Rico Premium Outlets, Sector Trinidad y Urb. Brisas de Mar Chiquita.</w:t>
      </w:r>
    </w:p>
    <w:p w14:paraId="6CEBF5F4"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 xml:space="preserve">LUMA dedicó una porción significativa de su memorial a explicar las causas técnicas de las fluctuaciones de voltaje, atribuyendo parte importante de las mismas al crecimiento exponencial de los Recursos Energéticos Distribuidos (DER), particularmente sistemas fotovoltaicos residenciales y comerciales. Señaló que </w:t>
      </w:r>
      <w:r w:rsidRPr="00F73AF8">
        <w:rPr>
          <w:rFonts w:ascii="Book Antiqua" w:hAnsi="Book Antiqua"/>
          <w:sz w:val="24"/>
          <w:szCs w:val="24"/>
          <w:lang w:val="es-ES"/>
        </w:rPr>
        <w:lastRenderedPageBreak/>
        <w:t>actualmente existen más de 195,195 sistemas de generación distribuida interconectados, con una capacidad que supera los 1,480 megavatios. LUMA citó el Artículo 9 de la Ley Núm. 114-2007 como un factor que limita su capacidad de planificación, en cuanto dispone que las solicitudes de interconexión se aprueban automáticamente si no se evalúan dentro de treinta (30) días, y argumentó además que la Resolución Conjunta Núm. 5-2026, que ordena el cese de cargos por estudios suplementarios, agrava la situación.</w:t>
      </w:r>
    </w:p>
    <w:p w14:paraId="33477526" w14:textId="40100D25"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 xml:space="preserve">En lo relativo a inversiones y proyectos con fondos FEMA, LUMA presentó un desglose con un total obligado asociado de $14,570,110.15, distribuido de la siguiente manera: distribución (postes y conductores) $9,310,359.15; subestación Barceloneta (confiabilidad y reemplazo de equipos) $4,042,322.00; y transmisión (reemplazo de estructuras) $1,217,429.00. No obstante, LUMA aclaró que los montos corresponden a proyectos de alcance regional (Región Norte) y que el alcance específico en Barceloneta se limita a cantidades puntuales, como cinco (5) postes en </w:t>
      </w:r>
      <w:r w:rsidR="0074164F">
        <w:rPr>
          <w:rFonts w:ascii="Book Antiqua" w:hAnsi="Book Antiqua"/>
          <w:sz w:val="24"/>
          <w:szCs w:val="24"/>
          <w:lang w:val="es-ES"/>
        </w:rPr>
        <w:t>la</w:t>
      </w:r>
      <w:r w:rsidRPr="00F73AF8">
        <w:rPr>
          <w:rFonts w:ascii="Book Antiqua" w:hAnsi="Book Antiqua"/>
          <w:sz w:val="24"/>
          <w:szCs w:val="24"/>
          <w:lang w:val="es-ES"/>
        </w:rPr>
        <w:t xml:space="preserve"> </w:t>
      </w:r>
      <w:r w:rsidR="0074164F">
        <w:rPr>
          <w:rFonts w:ascii="Book Antiqua" w:hAnsi="Book Antiqua"/>
          <w:sz w:val="24"/>
          <w:szCs w:val="24"/>
          <w:lang w:val="es-ES"/>
        </w:rPr>
        <w:t>f</w:t>
      </w:r>
      <w:r w:rsidRPr="00F73AF8">
        <w:rPr>
          <w:rFonts w:ascii="Book Antiqua" w:hAnsi="Book Antiqua"/>
          <w:sz w:val="24"/>
          <w:szCs w:val="24"/>
          <w:lang w:val="es-ES"/>
        </w:rPr>
        <w:t xml:space="preserve">ase 1 y veintiséis (26) postes en </w:t>
      </w:r>
      <w:r w:rsidR="0074164F">
        <w:rPr>
          <w:rFonts w:ascii="Book Antiqua" w:hAnsi="Book Antiqua"/>
          <w:sz w:val="24"/>
          <w:szCs w:val="24"/>
          <w:lang w:val="es-ES"/>
        </w:rPr>
        <w:t>la fase</w:t>
      </w:r>
      <w:r w:rsidRPr="00F73AF8">
        <w:rPr>
          <w:rFonts w:ascii="Book Antiqua" w:hAnsi="Book Antiqua"/>
          <w:sz w:val="24"/>
          <w:szCs w:val="24"/>
          <w:lang w:val="es-ES"/>
        </w:rPr>
        <w:t xml:space="preserve"> 2.</w:t>
      </w:r>
    </w:p>
    <w:p w14:paraId="5765EEAC" w14:textId="608AC3C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LUMA reportó como proyectos completados el Arecibo Group 1</w:t>
      </w:r>
      <w:r w:rsidR="0074164F">
        <w:rPr>
          <w:rFonts w:ascii="Book Antiqua" w:hAnsi="Book Antiqua"/>
          <w:sz w:val="24"/>
          <w:szCs w:val="24"/>
          <w:lang w:val="es-ES"/>
        </w:rPr>
        <w:t xml:space="preserve"> f</w:t>
      </w:r>
      <w:r w:rsidRPr="00F73AF8">
        <w:rPr>
          <w:rFonts w:ascii="Book Antiqua" w:hAnsi="Book Antiqua"/>
          <w:sz w:val="24"/>
          <w:szCs w:val="24"/>
          <w:lang w:val="es-ES"/>
        </w:rPr>
        <w:t xml:space="preserve">ase 1 (5 postes reemplazados en Barceloneta, completado en agosto de 2023), el Arecibo Group 1 </w:t>
      </w:r>
      <w:r w:rsidR="0074164F">
        <w:rPr>
          <w:rFonts w:ascii="Book Antiqua" w:hAnsi="Book Antiqua"/>
          <w:sz w:val="24"/>
          <w:szCs w:val="24"/>
          <w:lang w:val="es-ES"/>
        </w:rPr>
        <w:t>f</w:t>
      </w:r>
      <w:r w:rsidRPr="00F73AF8">
        <w:rPr>
          <w:rFonts w:ascii="Book Antiqua" w:hAnsi="Book Antiqua"/>
          <w:sz w:val="24"/>
          <w:szCs w:val="24"/>
          <w:lang w:val="es-ES"/>
        </w:rPr>
        <w:t>ase 2 (26 postes reemplazados, completado en noviembre de 2025), la Subestación Barceloneta TC 78525 (reemplazo de 8 interruptores, 6 seccionadores, 19 descargadores, 23 aisladores y 3 conductores, completado en marzo de 2025), y el reemplazo de 21 estructuras en la línea de transmisión 38 kV 2200 (completado en diciembre de 2024).</w:t>
      </w:r>
    </w:p>
    <w:p w14:paraId="265FD729" w14:textId="510A561F" w:rsidR="00F73AF8" w:rsidRPr="00C0003C" w:rsidRDefault="00F73AF8" w:rsidP="00C0003C">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En contraste, LUMA reconoció que varios proyectos críticos se encuentran en pausa debido a que los trámites fueron retirados ante FEMA por la priorización establecida por la Autoridad de Energía Eléctrica de Puerto Rico (PREPA). Entre dichos proyectos se incluyen los proyectos de automatización de la red (</w:t>
      </w:r>
      <w:r w:rsidR="0074164F" w:rsidRPr="00F73AF8">
        <w:rPr>
          <w:rFonts w:ascii="Book Antiqua" w:hAnsi="Book Antiqua"/>
          <w:sz w:val="24"/>
          <w:szCs w:val="24"/>
          <w:lang w:val="es-ES"/>
        </w:rPr>
        <w:t>Grupos</w:t>
      </w:r>
      <w:r w:rsidRPr="00F73AF8">
        <w:rPr>
          <w:rFonts w:ascii="Book Antiqua" w:hAnsi="Book Antiqua"/>
          <w:sz w:val="24"/>
          <w:szCs w:val="24"/>
          <w:lang w:val="es-ES"/>
        </w:rPr>
        <w:t xml:space="preserve"> 47, 58, 66 y 117), con inicio proyectado entre los años fiscales 2029 y 2034, y un sistema de baterías (BESS) de 25 MW / 100 </w:t>
      </w:r>
      <w:proofErr w:type="spellStart"/>
      <w:r w:rsidRPr="00F73AF8">
        <w:rPr>
          <w:rFonts w:ascii="Book Antiqua" w:hAnsi="Book Antiqua"/>
          <w:sz w:val="24"/>
          <w:szCs w:val="24"/>
          <w:lang w:val="es-ES"/>
        </w:rPr>
        <w:t>MWh</w:t>
      </w:r>
      <w:proofErr w:type="spellEnd"/>
      <w:r w:rsidRPr="00F73AF8">
        <w:rPr>
          <w:rFonts w:ascii="Book Antiqua" w:hAnsi="Book Antiqua"/>
          <w:sz w:val="24"/>
          <w:szCs w:val="24"/>
          <w:lang w:val="es-ES"/>
        </w:rPr>
        <w:t xml:space="preserve"> para Barceloneta, originalmente planificado para el año 2023 y que actualmente se encuentra pendiente de reprogramación. Ninguno de estos proyectos cuenta con obligación FEMA aprobada a la fecha.</w:t>
      </w:r>
    </w:p>
    <w:p w14:paraId="45CE11CB" w14:textId="77777777" w:rsidR="00F73AF8" w:rsidRPr="00F73AF8" w:rsidRDefault="00F73AF8" w:rsidP="00F73AF8">
      <w:pPr>
        <w:spacing w:before="200" w:after="120" w:line="276" w:lineRule="auto"/>
        <w:rPr>
          <w:rFonts w:ascii="Book Antiqua" w:hAnsi="Book Antiqua"/>
          <w:sz w:val="24"/>
          <w:szCs w:val="24"/>
          <w:lang w:val="es-ES"/>
        </w:rPr>
      </w:pPr>
      <w:r w:rsidRPr="00F73AF8">
        <w:rPr>
          <w:rFonts w:ascii="Book Antiqua" w:hAnsi="Book Antiqua"/>
          <w:b/>
          <w:bCs/>
          <w:sz w:val="24"/>
          <w:szCs w:val="24"/>
          <w:lang w:val="es-ES"/>
        </w:rPr>
        <w:t>C. Autoridad de Acueductos y Alcantarillados (AAA)</w:t>
      </w:r>
    </w:p>
    <w:p w14:paraId="0D8D60AE" w14:textId="3EA4BD98"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 xml:space="preserve">La Autoridad de Acueductos y Alcantarillados sometió memorial explicativo con fecha del 10 de noviembre de 2025, suscrito por el Ing. Luis R. González Delgado, </w:t>
      </w:r>
      <w:proofErr w:type="gramStart"/>
      <w:r w:rsidRPr="00F73AF8">
        <w:rPr>
          <w:rFonts w:ascii="Book Antiqua" w:hAnsi="Book Antiqua"/>
          <w:sz w:val="24"/>
          <w:szCs w:val="24"/>
          <w:lang w:val="es-ES"/>
        </w:rPr>
        <w:t>Presidente Ejecutivo</w:t>
      </w:r>
      <w:proofErr w:type="gramEnd"/>
      <w:r w:rsidRPr="00F73AF8">
        <w:rPr>
          <w:rFonts w:ascii="Book Antiqua" w:hAnsi="Book Antiqua"/>
          <w:sz w:val="24"/>
          <w:szCs w:val="24"/>
          <w:lang w:val="es-ES"/>
        </w:rPr>
        <w:t xml:space="preserve">. </w:t>
      </w:r>
    </w:p>
    <w:p w14:paraId="03C2B514"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lastRenderedPageBreak/>
        <w:t>La AAA informó que la Región Norte sirve aproximadamente doscientos cincuenta y siete mil doscientos cuarenta y tres (257,243) clientes activos y cuenta con trescientos setenta y siete (377) sistemas de distribución de agua potable, compuestos por veintiocho (28) plantas de filtración, cincuenta y un (51) pozos, ciento noventa y cuatro (194) tanques y ciento veintidós (122) estaciones de bombeo, con una capacidad de suministro de 101.094 millones de galones diarios (MGD). La Región Norte está compuesta por dieciocho (18) municipios.</w:t>
      </w:r>
    </w:p>
    <w:p w14:paraId="5FA966C7"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 xml:space="preserve">En lo relativo a Barceloneta, el memorial identificó una incidencia operacional específica durante el mes de octubre de 2025 en el Sector Garróchales, en la cual el sistema que opera mediante el pozo artesiano y la interconexión con el </w:t>
      </w:r>
      <w:proofErr w:type="spellStart"/>
      <w:r w:rsidRPr="00F73AF8">
        <w:rPr>
          <w:rFonts w:ascii="Book Antiqua" w:hAnsi="Book Antiqua"/>
          <w:sz w:val="24"/>
          <w:szCs w:val="24"/>
          <w:lang w:val="es-ES"/>
        </w:rPr>
        <w:t>Superacueducto</w:t>
      </w:r>
      <w:proofErr w:type="spellEnd"/>
      <w:r w:rsidRPr="00F73AF8">
        <w:rPr>
          <w:rFonts w:ascii="Book Antiqua" w:hAnsi="Book Antiqua"/>
          <w:sz w:val="24"/>
          <w:szCs w:val="24"/>
          <w:lang w:val="es-ES"/>
        </w:rPr>
        <w:t xml:space="preserve"> experimentó baja presión debido al alto consumo y los niveles variables en la línea principal. Como medida correctiva, la AAA estableció coordinación de acarreo con camiones cisterna mientras se estabilizaban los niveles del sistema. Una vez normalizado el flujo, se reanudó la distribución.</w:t>
      </w:r>
    </w:p>
    <w:p w14:paraId="00D8C813"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 xml:space="preserve">Es significativo señalar que la AAA atribuyó dicha baja presión al alto consumo y a los niveles variables en la línea principal del </w:t>
      </w:r>
      <w:proofErr w:type="spellStart"/>
      <w:r w:rsidRPr="00F73AF8">
        <w:rPr>
          <w:rFonts w:ascii="Book Antiqua" w:hAnsi="Book Antiqua"/>
          <w:sz w:val="24"/>
          <w:szCs w:val="24"/>
          <w:lang w:val="es-ES"/>
        </w:rPr>
        <w:t>Superacueducto</w:t>
      </w:r>
      <w:proofErr w:type="spellEnd"/>
      <w:r w:rsidRPr="00F73AF8">
        <w:rPr>
          <w:rFonts w:ascii="Book Antiqua" w:hAnsi="Book Antiqua"/>
          <w:sz w:val="24"/>
          <w:szCs w:val="24"/>
          <w:lang w:val="es-ES"/>
        </w:rPr>
        <w:t>, lo cual contrasta con la posición reiterada que dicha Corporación Pública ha comunicado al Municipio de Barceloneta de que el caudal de agua es suficiente para el suplido. Asimismo, en lo relativo al Municipio de Hatillo, la AAA reconoció expresamente que la intermitencia en el servicio eléctrico de LUMA también ha impactado sus operaciones, admisión que resulta directamente relevante para Barceloneta, donde la Administración Municipal denuncia que los pozos de agua quedan fuera de servicio durante los apagones por falta de generadores.</w:t>
      </w:r>
    </w:p>
    <w:p w14:paraId="178023F9" w14:textId="0FBE9D00"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 xml:space="preserve">La AAA presentó proyectos de mejoras capitales con alcance en el Municipio de Barceloneta. En cuanto a generadores de emergencia, identificó tres proyectos en construcción correspondientes a Estaciones de Bombeo de Alcantarillado Sanitario (EBAS): EBAS Búfalo, Generador de Emergencia Fase 2 Norte ($184,395); EBAS San Francisco, Generador de Emergencia Fase 2 Norte ($213,937); y EBAS Punta Palmas #2, Generador de Emergencia Fase 4 Norte ($453,036). En cuanto a rehabilitación de pozos, identificó dos proyectos en construcción: Pozo Sabana Pike #2 ($624,133) y Pozo Tiburones ($624,133), ambos bajo la Fase 1 Norte (FAAST). En infraestructura mayor, identificó la estabilización del meandro del Río Grande para proteger el dique del Lago Regulador del </w:t>
      </w:r>
      <w:proofErr w:type="spellStart"/>
      <w:r w:rsidRPr="00F73AF8">
        <w:rPr>
          <w:rFonts w:ascii="Book Antiqua" w:hAnsi="Book Antiqua"/>
          <w:sz w:val="24"/>
          <w:szCs w:val="24"/>
          <w:lang w:val="es-ES"/>
        </w:rPr>
        <w:t>Superacueducto</w:t>
      </w:r>
      <w:proofErr w:type="spellEnd"/>
      <w:r w:rsidRPr="00F73AF8">
        <w:rPr>
          <w:rFonts w:ascii="Book Antiqua" w:hAnsi="Book Antiqua"/>
          <w:sz w:val="24"/>
          <w:szCs w:val="24"/>
          <w:lang w:val="es-ES"/>
        </w:rPr>
        <w:t xml:space="preserve"> ($1,529,800, en diseño); la troncal sanitaria de cuarenta y dos pulgadas (42”) desde la PR-684 hasta el sur de la planta de tratamiento de Barceloneta ($50,172,565, en construcción, FAAST); y la rehabilitación de la Planta de Alcantarillado </w:t>
      </w:r>
      <w:r w:rsidRPr="00F73AF8">
        <w:rPr>
          <w:rFonts w:ascii="Book Antiqua" w:hAnsi="Book Antiqua"/>
          <w:sz w:val="24"/>
          <w:szCs w:val="24"/>
          <w:lang w:val="es-ES"/>
        </w:rPr>
        <w:lastRenderedPageBreak/>
        <w:t>Sanitario de Barceloneta ($147,000,000, en planificación, FAAST). La inversión total identificada para Barceloneta asciende aproximadamente a $200,801,999, de los cuales la mayoría corresponde a infraestructura de alcantarillado sanitario ($197,172,565), mientras que solo $851,368 corresponden a generadores de emergencia para estaciones de bombeo y $1,248,266 a rehabilitación de pozos.</w:t>
      </w:r>
    </w:p>
    <w:p w14:paraId="29F0BB3C" w14:textId="77777777" w:rsidR="00F73AF8" w:rsidRPr="00F73AF8" w:rsidRDefault="00F73AF8" w:rsidP="00F73AF8">
      <w:pPr>
        <w:spacing w:before="200" w:after="200" w:line="276" w:lineRule="auto"/>
        <w:jc w:val="center"/>
        <w:rPr>
          <w:rFonts w:ascii="Book Antiqua" w:hAnsi="Book Antiqua"/>
          <w:sz w:val="24"/>
          <w:szCs w:val="24"/>
          <w:lang w:val="es-ES"/>
        </w:rPr>
      </w:pPr>
      <w:r w:rsidRPr="00F73AF8">
        <w:rPr>
          <w:rFonts w:ascii="Book Antiqua" w:hAnsi="Book Antiqua"/>
          <w:b/>
          <w:bCs/>
          <w:sz w:val="24"/>
          <w:szCs w:val="24"/>
          <w:lang w:val="es-ES"/>
        </w:rPr>
        <w:t>ANÁLISIS</w:t>
      </w:r>
    </w:p>
    <w:p w14:paraId="134BBF7C"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Del análisis de la prueba documental y testimonial recibida ante esta Comisión, surge lo siguiente:</w:t>
      </w:r>
    </w:p>
    <w:p w14:paraId="5BFDA93C"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 xml:space="preserve">Primero, la magnitud del problema en el Municipio de Barceloneta es indiscutible. Doscientas cincuenta y ocho (258) interrupciones de servicio eléctrico reportadas por la propia LUMA en apenas catorce (14) meses, sumadas a la denuncia documentada de la Administración Municipal en cuanto a interrupciones prácticamente diarias en comunidades como Magueyes, Palmas Altas, Punta Palmas, La Boca, </w:t>
      </w:r>
      <w:proofErr w:type="spellStart"/>
      <w:r w:rsidRPr="00F73AF8">
        <w:rPr>
          <w:rFonts w:ascii="Book Antiqua" w:hAnsi="Book Antiqua"/>
          <w:sz w:val="24"/>
          <w:szCs w:val="24"/>
          <w:lang w:val="es-ES"/>
        </w:rPr>
        <w:t>Catañito</w:t>
      </w:r>
      <w:proofErr w:type="spellEnd"/>
      <w:r w:rsidRPr="00F73AF8">
        <w:rPr>
          <w:rFonts w:ascii="Book Antiqua" w:hAnsi="Book Antiqua"/>
          <w:sz w:val="24"/>
          <w:szCs w:val="24"/>
          <w:lang w:val="es-ES"/>
        </w:rPr>
        <w:t>, Sabana Paick, Pueblo y Cerro Morales, evidencian una crisis sostenida del servicio eléctrico que excede cualquier indicador de operación aceptable y que afecta directamente la calidad de vida y la seguridad de miles de familias.</w:t>
      </w:r>
    </w:p>
    <w:p w14:paraId="2D52594C"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 xml:space="preserve">Segundo, las principales causas de interrupción identificadas por LUMA —contacto con vegetación (20%), falla de caja de fusibles (18%) y rotura de cable secundario (10%), que en conjunto representan casi la mitad de las interrupciones— son condiciones cuya mitigación corresponde directamente al programa de mantenimiento preventivo del operador. No obstante, los proyectos de automatización de la red que instalarían </w:t>
      </w:r>
      <w:proofErr w:type="spellStart"/>
      <w:r w:rsidRPr="00F73AF8">
        <w:rPr>
          <w:rFonts w:ascii="Book Antiqua" w:hAnsi="Book Antiqua"/>
          <w:sz w:val="24"/>
          <w:szCs w:val="24"/>
          <w:lang w:val="es-ES"/>
        </w:rPr>
        <w:t>reclosers</w:t>
      </w:r>
      <w:proofErr w:type="spellEnd"/>
      <w:r w:rsidRPr="00F73AF8">
        <w:rPr>
          <w:rFonts w:ascii="Book Antiqua" w:hAnsi="Book Antiqua"/>
          <w:sz w:val="24"/>
          <w:szCs w:val="24"/>
          <w:lang w:val="es-ES"/>
        </w:rPr>
        <w:t xml:space="preserve"> e indicadores de falla (</w:t>
      </w:r>
      <w:proofErr w:type="spellStart"/>
      <w:r w:rsidRPr="00F73AF8">
        <w:rPr>
          <w:rFonts w:ascii="Book Antiqua" w:hAnsi="Book Antiqua"/>
          <w:sz w:val="24"/>
          <w:szCs w:val="24"/>
          <w:lang w:val="es-ES"/>
        </w:rPr>
        <w:t>Groups</w:t>
      </w:r>
      <w:proofErr w:type="spellEnd"/>
      <w:r w:rsidRPr="00F73AF8">
        <w:rPr>
          <w:rFonts w:ascii="Book Antiqua" w:hAnsi="Book Antiqua"/>
          <w:sz w:val="24"/>
          <w:szCs w:val="24"/>
          <w:lang w:val="es-ES"/>
        </w:rPr>
        <w:t xml:space="preserve"> 47, 58, 66 y 117), así como el sistema de baterías (BESS) de 25 MW / 100 </w:t>
      </w:r>
      <w:proofErr w:type="spellStart"/>
      <w:r w:rsidRPr="00F73AF8">
        <w:rPr>
          <w:rFonts w:ascii="Book Antiqua" w:hAnsi="Book Antiqua"/>
          <w:sz w:val="24"/>
          <w:szCs w:val="24"/>
          <w:lang w:val="es-ES"/>
        </w:rPr>
        <w:t>MWh</w:t>
      </w:r>
      <w:proofErr w:type="spellEnd"/>
      <w:r w:rsidRPr="00F73AF8">
        <w:rPr>
          <w:rFonts w:ascii="Book Antiqua" w:hAnsi="Book Antiqua"/>
          <w:sz w:val="24"/>
          <w:szCs w:val="24"/>
          <w:lang w:val="es-ES"/>
        </w:rPr>
        <w:t xml:space="preserve"> para Barceloneta, se encuentran en pausa con inicio proyectado entre los años fiscales 2029 y 2034, sin obligación FEMA aprobada a la fecha. Esta situación resulta inaceptable ante la urgencia de la situación que enfrentan los residentes.</w:t>
      </w:r>
    </w:p>
    <w:p w14:paraId="4B388962"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 xml:space="preserve">Tercero, existe un nexo causal directo entre las interrupciones del servicio eléctrico de LUMA y la crisis de agua potable en Barceloneta. La Administración Municipal denunció que cada apagón deja sin servicio a los pozos de agua potable porque, con excepción del pozo de Tiburón, ninguno cuenta con generador. La propia AAA ha reconocido en memoriales ante la Comisión que la intermitencia eléctrica de LUMA ha impactado sus operaciones de bombeo. No obstante, ni LUMA en su memorial aborda específicamente la condición de los pozos de agua potable como infraestructura crítica, ni la AAA presenta en su plan de mejoras capitales proyecto alguno para instalar </w:t>
      </w:r>
      <w:r w:rsidRPr="00F73AF8">
        <w:rPr>
          <w:rFonts w:ascii="Book Antiqua" w:hAnsi="Book Antiqua"/>
          <w:sz w:val="24"/>
          <w:szCs w:val="24"/>
          <w:lang w:val="es-ES"/>
        </w:rPr>
        <w:lastRenderedPageBreak/>
        <w:t>generadores en los pozos de agua potable de Barceloneta —los tres generadores identificados corresponden a estaciones de bombeo de alcantarillado, no a producción de agua potable.</w:t>
      </w:r>
    </w:p>
    <w:p w14:paraId="52FB4719"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 xml:space="preserve">Cuarto, la posición reiterada de la AAA al Municipio de que el caudal de agua es suficiente resulta inconsistente con su propia admisión documentada de que la incidencia del Sector Garróchales en octubre de 2025 obedeció a alto consumo y niveles variables en la línea principal del </w:t>
      </w:r>
      <w:proofErr w:type="spellStart"/>
      <w:r w:rsidRPr="00F73AF8">
        <w:rPr>
          <w:rFonts w:ascii="Book Antiqua" w:hAnsi="Book Antiqua"/>
          <w:sz w:val="24"/>
          <w:szCs w:val="24"/>
          <w:lang w:val="es-ES"/>
        </w:rPr>
        <w:t>Superacueducto</w:t>
      </w:r>
      <w:proofErr w:type="spellEnd"/>
      <w:r w:rsidRPr="00F73AF8">
        <w:rPr>
          <w:rFonts w:ascii="Book Antiqua" w:hAnsi="Book Antiqua"/>
          <w:sz w:val="24"/>
          <w:szCs w:val="24"/>
          <w:lang w:val="es-ES"/>
        </w:rPr>
        <w:t>, así como con la denuncia municipal del cierre de cuatro (4) pozos durante las últimas tres décadas en un contexto de crecimiento residencial y comercial significativo. La ausencia de un estudio actualizado de capacidad versus demanda real impide a esta Comisión, al Municipio y a los residentes evaluar objetivamente la suficiencia del sistema.</w:t>
      </w:r>
    </w:p>
    <w:p w14:paraId="0CE36366"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Quinto, la presentación de $14,570,110.15 en proyectos FEMA como inversión asociada a Barceloneta, cuando el alcance específico en el municipio se limita a cantidades puntuales (5 postes en una fase y 26 postes en otra), genera una distorsión en la rendición de cuentas que es precisamente lo que la R. de la C. 99 ordena evitar. La Exposición de Motivos de la Resolución es enfática en que la reconstrucción debe medirse en obra terminada y no meramente en fondos asignados u obligados.</w:t>
      </w:r>
    </w:p>
    <w:p w14:paraId="7E17D8BA" w14:textId="272E4CBD" w:rsidR="00992809" w:rsidRPr="00030335" w:rsidRDefault="00F73AF8" w:rsidP="00030335">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 xml:space="preserve">Sexto, el desbalance entre la inversión planificada para Barceloneta es manifiesto: $197,172,565 en infraestructura de alcantarillado sanitario, frente a $851,368 en generadores para estaciones de bombeo (todas de alcantarillado, no de agua potable) y $1,248,266 en rehabilitación de dos pozos. No existe en el plan de la AAA un proyecto específico, con cronograma y presupuesto, dirigido a resolver la baja presión crónica que afecta a las comunidades de </w:t>
      </w:r>
      <w:proofErr w:type="spellStart"/>
      <w:r w:rsidRPr="00F73AF8">
        <w:rPr>
          <w:rFonts w:ascii="Book Antiqua" w:hAnsi="Book Antiqua"/>
          <w:sz w:val="24"/>
          <w:szCs w:val="24"/>
          <w:lang w:val="es-ES"/>
        </w:rPr>
        <w:t>Catañito</w:t>
      </w:r>
      <w:proofErr w:type="spellEnd"/>
      <w:r w:rsidRPr="00F73AF8">
        <w:rPr>
          <w:rFonts w:ascii="Book Antiqua" w:hAnsi="Book Antiqua"/>
          <w:sz w:val="24"/>
          <w:szCs w:val="24"/>
          <w:lang w:val="es-ES"/>
        </w:rPr>
        <w:t>, Sabana Paick, Magueyes y Cerro Morales, ni a sustituir o reabrir los cuatro pozos que denuncia el Municipio.</w:t>
      </w:r>
    </w:p>
    <w:p w14:paraId="7A4A57EF" w14:textId="3899C498" w:rsidR="00F73AF8" w:rsidRPr="00F73AF8" w:rsidRDefault="00F73AF8" w:rsidP="00F73AF8">
      <w:pPr>
        <w:spacing w:before="200" w:after="200" w:line="276" w:lineRule="auto"/>
        <w:jc w:val="center"/>
        <w:rPr>
          <w:rFonts w:ascii="Book Antiqua" w:hAnsi="Book Antiqua"/>
          <w:sz w:val="24"/>
          <w:szCs w:val="24"/>
          <w:lang w:val="es-ES"/>
        </w:rPr>
      </w:pPr>
      <w:r w:rsidRPr="00F73AF8">
        <w:rPr>
          <w:rFonts w:ascii="Book Antiqua" w:hAnsi="Book Antiqua"/>
          <w:b/>
          <w:bCs/>
          <w:sz w:val="24"/>
          <w:szCs w:val="24"/>
          <w:lang w:val="es-ES"/>
        </w:rPr>
        <w:t>CONCLUSIÓN Y RECOMENDACIONES</w:t>
      </w:r>
    </w:p>
    <w:p w14:paraId="111C5DCB"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 xml:space="preserve">Esta Comisión concluye que los residentes del Municipio de Barceloneta enfrentan una crisis recurrente y sostenida en los servicios esenciales de agua potable y energía eléctrica, cuya solución demanda una respuesta coordinada, urgente y medible por parte de LUMA Energy, de la Autoridad de Acueductos y Alcantarillados, y del Gobierno de Puerto Rico en su conjunto. Las acciones reportadas hasta el presente resultan insuficientes ante la magnitud del problema, el ritmo de ejecución de los proyectos críticos es inadecuado, y persisten graves deficiencias en la rendición de cuentas y en la coordinación </w:t>
      </w:r>
      <w:proofErr w:type="spellStart"/>
      <w:r w:rsidRPr="00F73AF8">
        <w:rPr>
          <w:rFonts w:ascii="Book Antiqua" w:hAnsi="Book Antiqua"/>
          <w:sz w:val="24"/>
          <w:szCs w:val="24"/>
          <w:lang w:val="es-ES"/>
        </w:rPr>
        <w:t>interagencial</w:t>
      </w:r>
      <w:proofErr w:type="spellEnd"/>
      <w:r w:rsidRPr="00F73AF8">
        <w:rPr>
          <w:rFonts w:ascii="Book Antiqua" w:hAnsi="Book Antiqua"/>
          <w:sz w:val="24"/>
          <w:szCs w:val="24"/>
          <w:lang w:val="es-ES"/>
        </w:rPr>
        <w:t>.</w:t>
      </w:r>
    </w:p>
    <w:p w14:paraId="0846F2DE" w14:textId="77777777" w:rsidR="00F73AF8" w:rsidRPr="00F73AF8" w:rsidRDefault="00F73AF8" w:rsidP="00F73AF8">
      <w:pPr>
        <w:spacing w:after="200" w:line="276" w:lineRule="auto"/>
        <w:jc w:val="both"/>
        <w:rPr>
          <w:rFonts w:ascii="Book Antiqua" w:hAnsi="Book Antiqua"/>
          <w:sz w:val="24"/>
          <w:szCs w:val="24"/>
          <w:lang w:val="es-ES"/>
        </w:rPr>
      </w:pPr>
      <w:r w:rsidRPr="00F73AF8">
        <w:rPr>
          <w:rFonts w:ascii="Book Antiqua" w:hAnsi="Book Antiqua"/>
          <w:sz w:val="24"/>
          <w:szCs w:val="24"/>
          <w:lang w:val="es-ES"/>
        </w:rPr>
        <w:lastRenderedPageBreak/>
        <w:t>Por todo lo anterior, la Comisión de la Región Norte recomienda:</w:t>
      </w:r>
    </w:p>
    <w:p w14:paraId="24DFD204" w14:textId="77777777" w:rsidR="00F73AF8" w:rsidRPr="00F73AF8" w:rsidRDefault="00F73AF8" w:rsidP="00F73AF8">
      <w:pPr>
        <w:spacing w:line="276" w:lineRule="auto"/>
        <w:ind w:firstLine="720"/>
        <w:jc w:val="both"/>
        <w:rPr>
          <w:rFonts w:ascii="Book Antiqua" w:hAnsi="Book Antiqua"/>
          <w:sz w:val="24"/>
          <w:szCs w:val="24"/>
          <w:lang w:val="es-ES"/>
        </w:rPr>
      </w:pPr>
      <w:r w:rsidRPr="00F73AF8">
        <w:rPr>
          <w:rFonts w:ascii="Book Antiqua" w:hAnsi="Book Antiqua"/>
          <w:sz w:val="24"/>
          <w:szCs w:val="24"/>
          <w:lang w:val="es-ES"/>
        </w:rPr>
        <w:t>Primero, requerir a LUMA Energy que presente, en un término no mayor de sesenta (60) días, un plan correctivo específico para el Municipio de Barceloneta que incluya: (a) cronograma con fechas concretas para reactivar los proyectos de automatización (</w:t>
      </w:r>
      <w:proofErr w:type="spellStart"/>
      <w:r w:rsidRPr="00F73AF8">
        <w:rPr>
          <w:rFonts w:ascii="Book Antiqua" w:hAnsi="Book Antiqua"/>
          <w:sz w:val="24"/>
          <w:szCs w:val="24"/>
          <w:lang w:val="es-ES"/>
        </w:rPr>
        <w:t>Groups</w:t>
      </w:r>
      <w:proofErr w:type="spellEnd"/>
      <w:r w:rsidRPr="00F73AF8">
        <w:rPr>
          <w:rFonts w:ascii="Book Antiqua" w:hAnsi="Book Antiqua"/>
          <w:sz w:val="24"/>
          <w:szCs w:val="24"/>
          <w:lang w:val="es-ES"/>
        </w:rPr>
        <w:t xml:space="preserve"> 47, 58, 66 y 117) y el sistema de baterías (BESS) de 25 MW / 100 </w:t>
      </w:r>
      <w:proofErr w:type="spellStart"/>
      <w:r w:rsidRPr="00F73AF8">
        <w:rPr>
          <w:rFonts w:ascii="Book Antiqua" w:hAnsi="Book Antiqua"/>
          <w:sz w:val="24"/>
          <w:szCs w:val="24"/>
          <w:lang w:val="es-ES"/>
        </w:rPr>
        <w:t>MWh</w:t>
      </w:r>
      <w:proofErr w:type="spellEnd"/>
      <w:r w:rsidRPr="00F73AF8">
        <w:rPr>
          <w:rFonts w:ascii="Book Antiqua" w:hAnsi="Book Antiqua"/>
          <w:sz w:val="24"/>
          <w:szCs w:val="24"/>
          <w:lang w:val="es-ES"/>
        </w:rPr>
        <w:t>, con identificación de las gestiones realizadas ante FEMA y PREPA para superar la pausa actual; (b) plan intensivo de manejo de vegetación, sustitución de cajas de fusibles y reemplazo de cable secundario en los Barrios Garróchales, Magueyes, Palmas Altas y demás sectores afectados; y (c) métricas de desempeño verificables y reporte trimestral a esta Comisión.</w:t>
      </w:r>
    </w:p>
    <w:p w14:paraId="3988B31A" w14:textId="77777777" w:rsidR="00F73AF8" w:rsidRPr="00F73AF8" w:rsidRDefault="00F73AF8" w:rsidP="00F73AF8">
      <w:pPr>
        <w:spacing w:line="276" w:lineRule="auto"/>
        <w:ind w:firstLine="720"/>
        <w:jc w:val="both"/>
        <w:rPr>
          <w:rFonts w:ascii="Book Antiqua" w:hAnsi="Book Antiqua"/>
          <w:sz w:val="24"/>
          <w:szCs w:val="24"/>
          <w:lang w:val="es-ES"/>
        </w:rPr>
      </w:pPr>
      <w:r w:rsidRPr="00F73AF8">
        <w:rPr>
          <w:rFonts w:ascii="Book Antiqua" w:hAnsi="Book Antiqua"/>
          <w:sz w:val="24"/>
          <w:szCs w:val="24"/>
          <w:lang w:val="es-ES"/>
        </w:rPr>
        <w:t xml:space="preserve">Segundo, requerir a la Autoridad de Acueductos y Alcantarillados que realice y presente, en un término no mayor de noventa (90) días, una auditoría exhaustiva de la capacidad de producción y suministro de agua potable en Barceloneta, contrastada con la demanda actual de residentes y comercios, considerando expresamente el cierre de los cuatro (4) pozos que denuncia la Administración Municipal y la suficiencia del </w:t>
      </w:r>
      <w:proofErr w:type="spellStart"/>
      <w:r w:rsidRPr="00F73AF8">
        <w:rPr>
          <w:rFonts w:ascii="Book Antiqua" w:hAnsi="Book Antiqua"/>
          <w:sz w:val="24"/>
          <w:szCs w:val="24"/>
          <w:lang w:val="es-ES"/>
        </w:rPr>
        <w:t>Superacueducto</w:t>
      </w:r>
      <w:proofErr w:type="spellEnd"/>
      <w:r w:rsidRPr="00F73AF8">
        <w:rPr>
          <w:rFonts w:ascii="Book Antiqua" w:hAnsi="Book Antiqua"/>
          <w:sz w:val="24"/>
          <w:szCs w:val="24"/>
          <w:lang w:val="es-ES"/>
        </w:rPr>
        <w:t xml:space="preserve"> ante el crecimiento del municipio.</w:t>
      </w:r>
    </w:p>
    <w:p w14:paraId="4C4BC981" w14:textId="77777777" w:rsidR="00F73AF8" w:rsidRPr="00F73AF8" w:rsidRDefault="00F73AF8" w:rsidP="00F73AF8">
      <w:pPr>
        <w:spacing w:line="276" w:lineRule="auto"/>
        <w:ind w:firstLine="720"/>
        <w:jc w:val="both"/>
        <w:rPr>
          <w:rFonts w:ascii="Book Antiqua" w:hAnsi="Book Antiqua"/>
          <w:sz w:val="24"/>
          <w:szCs w:val="24"/>
          <w:lang w:val="es-ES"/>
        </w:rPr>
      </w:pPr>
      <w:r w:rsidRPr="00F73AF8">
        <w:rPr>
          <w:rFonts w:ascii="Book Antiqua" w:hAnsi="Book Antiqua"/>
          <w:sz w:val="24"/>
          <w:szCs w:val="24"/>
          <w:lang w:val="es-ES"/>
        </w:rPr>
        <w:t>Tercero, instar a la AAA a incorporar de manera prioritaria en su plan de mejoras capitales la instalación de generadores de emergencia en los pozos de agua potable de Barceloneta que carecen de los mismos, en coordinación con el Municipio, y a presentar a esta Comisión cronograma, presupuesto y fuentes de financiamiento dentro de un término de sesenta (60) días.</w:t>
      </w:r>
    </w:p>
    <w:p w14:paraId="127E4AA2" w14:textId="77777777" w:rsidR="00F73AF8" w:rsidRPr="00F73AF8" w:rsidRDefault="00F73AF8" w:rsidP="00F73AF8">
      <w:pPr>
        <w:spacing w:line="276" w:lineRule="auto"/>
        <w:ind w:firstLine="720"/>
        <w:jc w:val="both"/>
        <w:rPr>
          <w:rFonts w:ascii="Book Antiqua" w:hAnsi="Book Antiqua"/>
          <w:sz w:val="24"/>
          <w:szCs w:val="24"/>
          <w:lang w:val="es-ES"/>
        </w:rPr>
      </w:pPr>
      <w:r w:rsidRPr="00F73AF8">
        <w:rPr>
          <w:rFonts w:ascii="Book Antiqua" w:hAnsi="Book Antiqua"/>
          <w:sz w:val="24"/>
          <w:szCs w:val="24"/>
          <w:lang w:val="es-ES"/>
        </w:rPr>
        <w:t>Cuarto, instar a LUMA Energy y a la AAA a establecer, junto al Gobierno Municipal de Barceloneta, un protocolo formal que clasifique los pozos de agua potable como infraestructura crítica, garantizando el restablecimiento prioritario del servicio eléctrico durante interrupciones y la coordinación inmediata entre ambas entidades y el Municipio en eventos de apagón.</w:t>
      </w:r>
    </w:p>
    <w:p w14:paraId="1201EA7E" w14:textId="77777777" w:rsidR="00F73AF8" w:rsidRPr="00F73AF8" w:rsidRDefault="00F73AF8" w:rsidP="00F73AF8">
      <w:pPr>
        <w:spacing w:line="276" w:lineRule="auto"/>
        <w:ind w:firstLine="720"/>
        <w:jc w:val="both"/>
        <w:rPr>
          <w:rFonts w:ascii="Book Antiqua" w:hAnsi="Book Antiqua"/>
          <w:sz w:val="24"/>
          <w:szCs w:val="24"/>
          <w:lang w:val="es-ES"/>
        </w:rPr>
      </w:pPr>
      <w:r w:rsidRPr="00F73AF8">
        <w:rPr>
          <w:rFonts w:ascii="Book Antiqua" w:hAnsi="Book Antiqua"/>
          <w:sz w:val="24"/>
          <w:szCs w:val="24"/>
          <w:lang w:val="es-ES"/>
        </w:rPr>
        <w:t>Quinto, requerir a LUMA Energy que presente un desglose preciso, con datos verificables y sin agregación regional, del monto efectivamente invertido en infraestructura eléctrica dentro del Municipio de Barceloneta, distinguiendo claramente entre proyectos completados, en ejecución y en pausa, conforme al mandato de rendición de cuentas que establece la R. de la C. 99 y su Exposición de Motivos.</w:t>
      </w:r>
    </w:p>
    <w:p w14:paraId="6E8D9BBE" w14:textId="77777777" w:rsidR="00F73AF8" w:rsidRPr="00F73AF8" w:rsidRDefault="00F73AF8" w:rsidP="00F73AF8">
      <w:pPr>
        <w:spacing w:line="276" w:lineRule="auto"/>
        <w:ind w:firstLine="720"/>
        <w:jc w:val="both"/>
        <w:rPr>
          <w:rFonts w:ascii="Book Antiqua" w:hAnsi="Book Antiqua"/>
          <w:sz w:val="24"/>
          <w:szCs w:val="24"/>
          <w:lang w:val="es-ES"/>
        </w:rPr>
      </w:pPr>
      <w:r w:rsidRPr="00F73AF8">
        <w:rPr>
          <w:rFonts w:ascii="Book Antiqua" w:hAnsi="Book Antiqua"/>
          <w:sz w:val="24"/>
          <w:szCs w:val="24"/>
          <w:lang w:val="es-ES"/>
        </w:rPr>
        <w:t xml:space="preserve">Sexto, instar a la AAA a presentar un proyecto específico, con cronograma y presupuesto, para resolver la baja presión crónica que afecta a las comunidades de </w:t>
      </w:r>
      <w:proofErr w:type="spellStart"/>
      <w:r w:rsidRPr="00F73AF8">
        <w:rPr>
          <w:rFonts w:ascii="Book Antiqua" w:hAnsi="Book Antiqua"/>
          <w:sz w:val="24"/>
          <w:szCs w:val="24"/>
          <w:lang w:val="es-ES"/>
        </w:rPr>
        <w:t>Catañito</w:t>
      </w:r>
      <w:proofErr w:type="spellEnd"/>
      <w:r w:rsidRPr="00F73AF8">
        <w:rPr>
          <w:rFonts w:ascii="Book Antiqua" w:hAnsi="Book Antiqua"/>
          <w:sz w:val="24"/>
          <w:szCs w:val="24"/>
          <w:lang w:val="es-ES"/>
        </w:rPr>
        <w:t xml:space="preserve">, Sabana Paick, Magueyes y Cerro Morales, y a evaluar la reapertura o sustitución </w:t>
      </w:r>
      <w:r w:rsidRPr="00F73AF8">
        <w:rPr>
          <w:rFonts w:ascii="Book Antiqua" w:hAnsi="Book Antiqua"/>
          <w:sz w:val="24"/>
          <w:szCs w:val="24"/>
          <w:lang w:val="es-ES"/>
        </w:rPr>
        <w:lastRenderedPageBreak/>
        <w:t>de los pozos cerrados durante las últimas tres décadas, en respuesta directa a los reclamos documentados de la Administración Municipal.</w:t>
      </w:r>
    </w:p>
    <w:p w14:paraId="499CBC29"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Séptimo, exhortar al Negociado de Energía de Puerto Rico, a la Autoridad de Asesoría Financiera y Agencia Fiscal (AAFAF) y al Programa Federal de Asistencia de FEMA a brindar el apoyo necesario para reactivar y agilizar los proyectos de infraestructura crítica que actualmente se encuentran en pausa y que tienen alcance directo o regional sobre el Municipio de Barceloneta.</w:t>
      </w:r>
    </w:p>
    <w:p w14:paraId="1CEB5FB7" w14:textId="77777777" w:rsidR="00F73AF8" w:rsidRPr="00F73AF8" w:rsidRDefault="00F73AF8" w:rsidP="00F73AF8">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Esta Comisión continuará la investigación que le ordena la R. de la C. 99 en lo relativo a los demás municipios de la Región Norte, los demás programas y servicios públicos de su competencia, y rendirá los informes parciales y el informe final que correspondan conforme al mandato del Alto Cuerpo.</w:t>
      </w:r>
    </w:p>
    <w:p w14:paraId="3D944A0C" w14:textId="73E24BC8" w:rsidR="00F73AF8" w:rsidRPr="00F73AF8" w:rsidRDefault="00F73AF8" w:rsidP="00992809">
      <w:pPr>
        <w:spacing w:after="200" w:line="276" w:lineRule="auto"/>
        <w:ind w:firstLine="720"/>
        <w:jc w:val="both"/>
        <w:rPr>
          <w:rFonts w:ascii="Book Antiqua" w:hAnsi="Book Antiqua"/>
          <w:sz w:val="24"/>
          <w:szCs w:val="24"/>
          <w:lang w:val="es-ES"/>
        </w:rPr>
      </w:pPr>
      <w:r w:rsidRPr="00F73AF8">
        <w:rPr>
          <w:rFonts w:ascii="Book Antiqua" w:hAnsi="Book Antiqua"/>
          <w:sz w:val="24"/>
          <w:szCs w:val="24"/>
          <w:lang w:val="es-ES"/>
        </w:rPr>
        <w:t>Por todo lo anterior, la Comisión de la Región Norte de la Cámara de Representantes somete a este Alto Cuerpo el presente Informe Parcial, con sus hallazgos, conclusiones y recomendaciones.</w:t>
      </w:r>
    </w:p>
    <w:p w14:paraId="7CE9857F" w14:textId="77777777" w:rsidR="00F73AF8" w:rsidRPr="00F73AF8" w:rsidRDefault="00F73AF8" w:rsidP="00F73AF8">
      <w:pPr>
        <w:spacing w:after="600" w:line="276" w:lineRule="auto"/>
        <w:rPr>
          <w:rFonts w:ascii="Book Antiqua" w:hAnsi="Book Antiqua"/>
          <w:sz w:val="24"/>
          <w:szCs w:val="24"/>
          <w:lang w:val="es-ES"/>
        </w:rPr>
      </w:pPr>
      <w:r w:rsidRPr="00F73AF8">
        <w:rPr>
          <w:rFonts w:ascii="Book Antiqua" w:hAnsi="Book Antiqua"/>
          <w:sz w:val="24"/>
          <w:szCs w:val="24"/>
          <w:lang w:val="es-ES"/>
        </w:rPr>
        <w:t>Respetuosamente sometido,</w:t>
      </w:r>
    </w:p>
    <w:p w14:paraId="78EEB9BB" w14:textId="77777777" w:rsidR="00992809" w:rsidRPr="00F73AF8" w:rsidRDefault="00992809" w:rsidP="00F73AF8">
      <w:pPr>
        <w:spacing w:line="276" w:lineRule="auto"/>
        <w:rPr>
          <w:rFonts w:ascii="Book Antiqua" w:hAnsi="Book Antiqua"/>
          <w:sz w:val="24"/>
          <w:szCs w:val="24"/>
          <w:lang w:val="es-ES"/>
        </w:rPr>
      </w:pPr>
    </w:p>
    <w:p w14:paraId="66978FFB" w14:textId="20882F18" w:rsidR="00F73AF8" w:rsidRPr="00F73AF8" w:rsidRDefault="00F73AF8" w:rsidP="00992809">
      <w:pPr>
        <w:spacing w:after="0" w:line="276" w:lineRule="auto"/>
        <w:rPr>
          <w:rFonts w:ascii="Book Antiqua" w:hAnsi="Book Antiqua"/>
          <w:sz w:val="24"/>
          <w:szCs w:val="24"/>
          <w:lang w:val="es-ES"/>
        </w:rPr>
      </w:pPr>
      <w:r w:rsidRPr="00F73AF8">
        <w:rPr>
          <w:rFonts w:ascii="Book Antiqua" w:hAnsi="Book Antiqua"/>
          <w:b/>
          <w:bCs/>
          <w:sz w:val="24"/>
          <w:szCs w:val="24"/>
          <w:lang w:val="es-ES"/>
        </w:rPr>
        <w:t>JERRY Z. NIEVES ROSARIO</w:t>
      </w:r>
    </w:p>
    <w:p w14:paraId="5F7B77BC" w14:textId="77777777" w:rsidR="00F73AF8" w:rsidRPr="00F73AF8" w:rsidRDefault="00F73AF8" w:rsidP="00992809">
      <w:pPr>
        <w:spacing w:after="0" w:line="276" w:lineRule="auto"/>
        <w:rPr>
          <w:rFonts w:ascii="Book Antiqua" w:hAnsi="Book Antiqua"/>
          <w:sz w:val="24"/>
          <w:szCs w:val="24"/>
          <w:lang w:val="es-ES"/>
        </w:rPr>
      </w:pPr>
      <w:r w:rsidRPr="00F73AF8">
        <w:rPr>
          <w:rFonts w:ascii="Book Antiqua" w:hAnsi="Book Antiqua"/>
          <w:sz w:val="24"/>
          <w:szCs w:val="24"/>
          <w:lang w:val="es-ES"/>
        </w:rPr>
        <w:t>Presidente</w:t>
      </w:r>
    </w:p>
    <w:p w14:paraId="1EAD4230" w14:textId="77777777" w:rsidR="00F73AF8" w:rsidRPr="00F73AF8" w:rsidRDefault="00F73AF8" w:rsidP="00992809">
      <w:pPr>
        <w:spacing w:after="0" w:line="276" w:lineRule="auto"/>
        <w:rPr>
          <w:rFonts w:ascii="Book Antiqua" w:hAnsi="Book Antiqua"/>
          <w:sz w:val="24"/>
          <w:szCs w:val="24"/>
          <w:lang w:val="es-ES"/>
        </w:rPr>
      </w:pPr>
      <w:r w:rsidRPr="00F73AF8">
        <w:rPr>
          <w:rFonts w:ascii="Book Antiqua" w:hAnsi="Book Antiqua"/>
          <w:sz w:val="24"/>
          <w:szCs w:val="24"/>
          <w:lang w:val="es-ES"/>
        </w:rPr>
        <w:t>Comisión de la Región Norte</w:t>
      </w:r>
    </w:p>
    <w:p w14:paraId="70BC7346" w14:textId="77777777" w:rsidR="001E7197" w:rsidRPr="00F73AF8" w:rsidRDefault="001E7197" w:rsidP="00F73AF8">
      <w:pPr>
        <w:rPr>
          <w:rFonts w:ascii="Book Antiqua" w:hAnsi="Book Antiqua"/>
          <w:sz w:val="24"/>
          <w:szCs w:val="24"/>
          <w:lang w:val="es-ES"/>
        </w:rPr>
      </w:pPr>
    </w:p>
    <w:sectPr w:rsidR="001E7197" w:rsidRPr="00F73AF8" w:rsidSect="00D84628">
      <w:headerReference w:type="default" r:id="rId8"/>
      <w:pgSz w:w="12240" w:h="15840"/>
      <w:pgMar w:top="135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64785" w14:textId="77777777" w:rsidR="006F1B1F" w:rsidRDefault="006F1B1F" w:rsidP="000D6793">
      <w:pPr>
        <w:spacing w:after="0" w:line="240" w:lineRule="auto"/>
      </w:pPr>
      <w:r>
        <w:separator/>
      </w:r>
    </w:p>
  </w:endnote>
  <w:endnote w:type="continuationSeparator" w:id="0">
    <w:p w14:paraId="648DE647" w14:textId="77777777" w:rsidR="006F1B1F" w:rsidRDefault="006F1B1F" w:rsidP="000D6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66950" w14:textId="77777777" w:rsidR="006F1B1F" w:rsidRDefault="006F1B1F" w:rsidP="000D6793">
      <w:pPr>
        <w:spacing w:after="0" w:line="240" w:lineRule="auto"/>
      </w:pPr>
      <w:r>
        <w:separator/>
      </w:r>
    </w:p>
  </w:footnote>
  <w:footnote w:type="continuationSeparator" w:id="0">
    <w:p w14:paraId="0AACD676" w14:textId="77777777" w:rsidR="006F1B1F" w:rsidRDefault="006F1B1F" w:rsidP="000D67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i/>
        <w:iCs/>
        <w:sz w:val="20"/>
        <w:szCs w:val="20"/>
      </w:rPr>
      <w:id w:val="-1936967565"/>
      <w:docPartObj>
        <w:docPartGallery w:val="Page Numbers (Top of Page)"/>
        <w:docPartUnique/>
      </w:docPartObj>
    </w:sdtPr>
    <w:sdtEndPr>
      <w:rPr>
        <w:color w:val="7F7F7F" w:themeColor="background1" w:themeShade="7F"/>
        <w:spacing w:val="60"/>
      </w:rPr>
    </w:sdtEndPr>
    <w:sdtContent>
      <w:p w14:paraId="5829011D" w14:textId="64F64623" w:rsidR="00D84628" w:rsidRPr="00D84628" w:rsidRDefault="00D84628">
        <w:pPr>
          <w:pStyle w:val="Header"/>
          <w:pBdr>
            <w:bottom w:val="single" w:sz="4" w:space="1" w:color="D9D9D9" w:themeColor="background1" w:themeShade="D9"/>
          </w:pBdr>
          <w:rPr>
            <w:rFonts w:ascii="Book Antiqua" w:hAnsi="Book Antiqua"/>
            <w:i/>
            <w:iCs/>
            <w:color w:val="7F7F7F" w:themeColor="background1" w:themeShade="7F"/>
            <w:spacing w:val="60"/>
            <w:sz w:val="20"/>
            <w:szCs w:val="20"/>
          </w:rPr>
        </w:pPr>
        <w:r w:rsidRPr="00D84628">
          <w:rPr>
            <w:rFonts w:ascii="Book Antiqua" w:hAnsi="Book Antiqua"/>
            <w:i/>
            <w:iCs/>
            <w:sz w:val="20"/>
            <w:szCs w:val="20"/>
          </w:rPr>
          <w:fldChar w:fldCharType="begin"/>
        </w:r>
        <w:r w:rsidRPr="00D84628">
          <w:rPr>
            <w:rFonts w:ascii="Book Antiqua" w:hAnsi="Book Antiqua"/>
            <w:i/>
            <w:iCs/>
            <w:sz w:val="20"/>
            <w:szCs w:val="20"/>
          </w:rPr>
          <w:instrText xml:space="preserve"> PAGE   \* MERGEFORMAT </w:instrText>
        </w:r>
        <w:r w:rsidRPr="00D84628">
          <w:rPr>
            <w:rFonts w:ascii="Book Antiqua" w:hAnsi="Book Antiqua"/>
            <w:i/>
            <w:iCs/>
            <w:sz w:val="20"/>
            <w:szCs w:val="20"/>
          </w:rPr>
          <w:fldChar w:fldCharType="separate"/>
        </w:r>
        <w:r w:rsidR="002013E1" w:rsidRPr="002013E1">
          <w:rPr>
            <w:rFonts w:ascii="Book Antiqua" w:hAnsi="Book Antiqua"/>
            <w:b/>
            <w:bCs/>
            <w:i/>
            <w:iCs/>
            <w:noProof/>
            <w:sz w:val="20"/>
            <w:szCs w:val="20"/>
          </w:rPr>
          <w:t>16</w:t>
        </w:r>
        <w:r w:rsidRPr="00D84628">
          <w:rPr>
            <w:rFonts w:ascii="Book Antiqua" w:hAnsi="Book Antiqua"/>
            <w:b/>
            <w:bCs/>
            <w:i/>
            <w:iCs/>
            <w:noProof/>
            <w:sz w:val="20"/>
            <w:szCs w:val="20"/>
          </w:rPr>
          <w:fldChar w:fldCharType="end"/>
        </w:r>
        <w:r w:rsidRPr="00D84628">
          <w:rPr>
            <w:rFonts w:ascii="Book Antiqua" w:hAnsi="Book Antiqua"/>
            <w:b/>
            <w:bCs/>
            <w:i/>
            <w:iCs/>
            <w:sz w:val="20"/>
            <w:szCs w:val="20"/>
          </w:rPr>
          <w:t xml:space="preserve"> | </w:t>
        </w:r>
        <w:r w:rsidRPr="00D84628">
          <w:rPr>
            <w:rFonts w:ascii="Book Antiqua" w:hAnsi="Book Antiqua"/>
            <w:i/>
            <w:iCs/>
            <w:color w:val="7F7F7F" w:themeColor="background1" w:themeShade="7F"/>
            <w:spacing w:val="60"/>
            <w:sz w:val="20"/>
            <w:szCs w:val="20"/>
          </w:rPr>
          <w:t>Primer Informe Parcial R. de la C.9</w:t>
        </w:r>
        <w:r w:rsidR="00670C68">
          <w:rPr>
            <w:rFonts w:ascii="Book Antiqua" w:hAnsi="Book Antiqua"/>
            <w:i/>
            <w:iCs/>
            <w:color w:val="7F7F7F" w:themeColor="background1" w:themeShade="7F"/>
            <w:spacing w:val="60"/>
            <w:sz w:val="20"/>
            <w:szCs w:val="20"/>
          </w:rPr>
          <w:t>9</w:t>
        </w:r>
      </w:p>
      <w:p w14:paraId="70D50411" w14:textId="5B082769" w:rsidR="00D84628" w:rsidRPr="00D84628" w:rsidRDefault="00D84628">
        <w:pPr>
          <w:pStyle w:val="Header"/>
          <w:pBdr>
            <w:bottom w:val="single" w:sz="4" w:space="1" w:color="D9D9D9" w:themeColor="background1" w:themeShade="D9"/>
          </w:pBdr>
          <w:rPr>
            <w:rFonts w:ascii="Book Antiqua" w:hAnsi="Book Antiqua"/>
            <w:i/>
            <w:iCs/>
            <w:color w:val="7F7F7F" w:themeColor="background1" w:themeShade="7F"/>
            <w:spacing w:val="60"/>
            <w:sz w:val="20"/>
            <w:szCs w:val="20"/>
          </w:rPr>
        </w:pPr>
        <w:r w:rsidRPr="00D84628">
          <w:rPr>
            <w:rFonts w:ascii="Book Antiqua" w:hAnsi="Book Antiqua"/>
            <w:i/>
            <w:iCs/>
            <w:color w:val="7F7F7F" w:themeColor="background1" w:themeShade="7F"/>
            <w:spacing w:val="60"/>
            <w:sz w:val="20"/>
            <w:szCs w:val="20"/>
          </w:rPr>
          <w:t xml:space="preserve">   Comisión de</w:t>
        </w:r>
        <w:r w:rsidR="0098355B">
          <w:rPr>
            <w:rFonts w:ascii="Book Antiqua" w:hAnsi="Book Antiqua"/>
            <w:i/>
            <w:iCs/>
            <w:color w:val="7F7F7F" w:themeColor="background1" w:themeShade="7F"/>
            <w:spacing w:val="60"/>
            <w:sz w:val="20"/>
            <w:szCs w:val="20"/>
          </w:rPr>
          <w:t xml:space="preserve"> la</w:t>
        </w:r>
        <w:r w:rsidRPr="00D84628">
          <w:rPr>
            <w:rFonts w:ascii="Book Antiqua" w:hAnsi="Book Antiqua"/>
            <w:i/>
            <w:iCs/>
            <w:color w:val="7F7F7F" w:themeColor="background1" w:themeShade="7F"/>
            <w:spacing w:val="60"/>
            <w:sz w:val="20"/>
            <w:szCs w:val="20"/>
          </w:rPr>
          <w:t xml:space="preserve"> </w:t>
        </w:r>
        <w:r w:rsidR="00670C68">
          <w:rPr>
            <w:rFonts w:ascii="Book Antiqua" w:hAnsi="Book Antiqua"/>
            <w:i/>
            <w:iCs/>
            <w:color w:val="7F7F7F" w:themeColor="background1" w:themeShade="7F"/>
            <w:spacing w:val="60"/>
            <w:sz w:val="20"/>
            <w:szCs w:val="20"/>
          </w:rPr>
          <w:t>Región Norte</w:t>
        </w:r>
      </w:p>
      <w:p w14:paraId="1BEDA17E" w14:textId="2C8E796D" w:rsidR="00D84628" w:rsidRPr="00D84628" w:rsidRDefault="006F1B1F">
        <w:pPr>
          <w:pStyle w:val="Header"/>
          <w:pBdr>
            <w:bottom w:val="single" w:sz="4" w:space="1" w:color="D9D9D9" w:themeColor="background1" w:themeShade="D9"/>
          </w:pBdr>
          <w:rPr>
            <w:rFonts w:ascii="Book Antiqua" w:hAnsi="Book Antiqua"/>
            <w:b/>
            <w:bCs/>
            <w:i/>
            <w:iCs/>
            <w:sz w:val="20"/>
            <w:szCs w:val="20"/>
          </w:rPr>
        </w:pPr>
      </w:p>
    </w:sdtContent>
  </w:sdt>
  <w:p w14:paraId="10F587C7" w14:textId="77777777" w:rsidR="00D84628" w:rsidRDefault="00D846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28AD"/>
    <w:multiLevelType w:val="hybridMultilevel"/>
    <w:tmpl w:val="207445F0"/>
    <w:lvl w:ilvl="0" w:tplc="94F8838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997B9B"/>
    <w:multiLevelType w:val="hybridMultilevel"/>
    <w:tmpl w:val="601A1E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3F4697"/>
    <w:multiLevelType w:val="hybridMultilevel"/>
    <w:tmpl w:val="AD726460"/>
    <w:lvl w:ilvl="0" w:tplc="233659A6">
      <w:start w:val="1"/>
      <w:numFmt w:val="decimal"/>
      <w:lvlText w:val="%1."/>
      <w:lvlJc w:val="left"/>
      <w:pPr>
        <w:ind w:left="720" w:hanging="360"/>
      </w:pPr>
    </w:lvl>
    <w:lvl w:ilvl="1" w:tplc="8F4AA0AE">
      <w:numFmt w:val="decimal"/>
      <w:lvlText w:val=""/>
      <w:lvlJc w:val="left"/>
    </w:lvl>
    <w:lvl w:ilvl="2" w:tplc="CE46E566">
      <w:numFmt w:val="decimal"/>
      <w:lvlText w:val=""/>
      <w:lvlJc w:val="left"/>
    </w:lvl>
    <w:lvl w:ilvl="3" w:tplc="2D7C75D0">
      <w:numFmt w:val="decimal"/>
      <w:lvlText w:val=""/>
      <w:lvlJc w:val="left"/>
    </w:lvl>
    <w:lvl w:ilvl="4" w:tplc="41524F18">
      <w:numFmt w:val="decimal"/>
      <w:lvlText w:val=""/>
      <w:lvlJc w:val="left"/>
    </w:lvl>
    <w:lvl w:ilvl="5" w:tplc="CAA25068">
      <w:numFmt w:val="decimal"/>
      <w:lvlText w:val=""/>
      <w:lvlJc w:val="left"/>
    </w:lvl>
    <w:lvl w:ilvl="6" w:tplc="34D2A25C">
      <w:numFmt w:val="decimal"/>
      <w:lvlText w:val=""/>
      <w:lvlJc w:val="left"/>
    </w:lvl>
    <w:lvl w:ilvl="7" w:tplc="0B3A2456">
      <w:numFmt w:val="decimal"/>
      <w:lvlText w:val=""/>
      <w:lvlJc w:val="left"/>
    </w:lvl>
    <w:lvl w:ilvl="8" w:tplc="44EA1508">
      <w:numFmt w:val="decimal"/>
      <w:lvlText w:val=""/>
      <w:lvlJc w:val="left"/>
    </w:lvl>
  </w:abstractNum>
  <w:abstractNum w:abstractNumId="3" w15:restartNumberingAfterBreak="0">
    <w:nsid w:val="10036C1B"/>
    <w:multiLevelType w:val="hybridMultilevel"/>
    <w:tmpl w:val="81FABC34"/>
    <w:lvl w:ilvl="0" w:tplc="A5D8C76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263D05"/>
    <w:multiLevelType w:val="hybridMultilevel"/>
    <w:tmpl w:val="14347AAA"/>
    <w:lvl w:ilvl="0" w:tplc="E65ABFDC">
      <w:start w:val="1"/>
      <w:numFmt w:val="lowerLetter"/>
      <w:lvlText w:val="(%1)"/>
      <w:lvlJc w:val="left"/>
      <w:pPr>
        <w:ind w:left="1788" w:hanging="360"/>
      </w:pPr>
      <w:rPr>
        <w:rFonts w:hint="default"/>
      </w:rPr>
    </w:lvl>
    <w:lvl w:ilvl="1" w:tplc="500A0019" w:tentative="1">
      <w:start w:val="1"/>
      <w:numFmt w:val="lowerLetter"/>
      <w:lvlText w:val="%2."/>
      <w:lvlJc w:val="left"/>
      <w:pPr>
        <w:ind w:left="2508" w:hanging="360"/>
      </w:pPr>
    </w:lvl>
    <w:lvl w:ilvl="2" w:tplc="500A001B" w:tentative="1">
      <w:start w:val="1"/>
      <w:numFmt w:val="lowerRoman"/>
      <w:lvlText w:val="%3."/>
      <w:lvlJc w:val="right"/>
      <w:pPr>
        <w:ind w:left="3228" w:hanging="180"/>
      </w:pPr>
    </w:lvl>
    <w:lvl w:ilvl="3" w:tplc="500A000F" w:tentative="1">
      <w:start w:val="1"/>
      <w:numFmt w:val="decimal"/>
      <w:lvlText w:val="%4."/>
      <w:lvlJc w:val="left"/>
      <w:pPr>
        <w:ind w:left="3948" w:hanging="360"/>
      </w:pPr>
    </w:lvl>
    <w:lvl w:ilvl="4" w:tplc="500A0019" w:tentative="1">
      <w:start w:val="1"/>
      <w:numFmt w:val="lowerLetter"/>
      <w:lvlText w:val="%5."/>
      <w:lvlJc w:val="left"/>
      <w:pPr>
        <w:ind w:left="4668" w:hanging="360"/>
      </w:pPr>
    </w:lvl>
    <w:lvl w:ilvl="5" w:tplc="500A001B" w:tentative="1">
      <w:start w:val="1"/>
      <w:numFmt w:val="lowerRoman"/>
      <w:lvlText w:val="%6."/>
      <w:lvlJc w:val="right"/>
      <w:pPr>
        <w:ind w:left="5388" w:hanging="180"/>
      </w:pPr>
    </w:lvl>
    <w:lvl w:ilvl="6" w:tplc="500A000F" w:tentative="1">
      <w:start w:val="1"/>
      <w:numFmt w:val="decimal"/>
      <w:lvlText w:val="%7."/>
      <w:lvlJc w:val="left"/>
      <w:pPr>
        <w:ind w:left="6108" w:hanging="360"/>
      </w:pPr>
    </w:lvl>
    <w:lvl w:ilvl="7" w:tplc="500A0019" w:tentative="1">
      <w:start w:val="1"/>
      <w:numFmt w:val="lowerLetter"/>
      <w:lvlText w:val="%8."/>
      <w:lvlJc w:val="left"/>
      <w:pPr>
        <w:ind w:left="6828" w:hanging="360"/>
      </w:pPr>
    </w:lvl>
    <w:lvl w:ilvl="8" w:tplc="500A001B" w:tentative="1">
      <w:start w:val="1"/>
      <w:numFmt w:val="lowerRoman"/>
      <w:lvlText w:val="%9."/>
      <w:lvlJc w:val="right"/>
      <w:pPr>
        <w:ind w:left="7548" w:hanging="180"/>
      </w:pPr>
    </w:lvl>
  </w:abstractNum>
  <w:abstractNum w:abstractNumId="5" w15:restartNumberingAfterBreak="0">
    <w:nsid w:val="125633CD"/>
    <w:multiLevelType w:val="hybridMultilevel"/>
    <w:tmpl w:val="65EEE5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223FF2"/>
    <w:multiLevelType w:val="hybridMultilevel"/>
    <w:tmpl w:val="16424CB6"/>
    <w:lvl w:ilvl="0" w:tplc="6DA4A88C">
      <w:start w:val="1"/>
      <w:numFmt w:val="bullet"/>
      <w:lvlText w:val=""/>
      <w:lvlJc w:val="left"/>
      <w:pPr>
        <w:ind w:left="1440" w:hanging="360"/>
      </w:pPr>
      <w:rPr>
        <w:rFonts w:ascii="Wingdings" w:hAnsi="Wingdings" w:hint="default"/>
        <w:lang w:val="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4D85B5C"/>
    <w:multiLevelType w:val="hybridMultilevel"/>
    <w:tmpl w:val="3F8666B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51B7282"/>
    <w:multiLevelType w:val="hybridMultilevel"/>
    <w:tmpl w:val="A5FE878C"/>
    <w:lvl w:ilvl="0" w:tplc="203ACDF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27EA68FC"/>
    <w:multiLevelType w:val="hybridMultilevel"/>
    <w:tmpl w:val="08423A98"/>
    <w:lvl w:ilvl="0" w:tplc="3FB44FD0">
      <w:start w:val="1"/>
      <w:numFmt w:val="decimal"/>
      <w:lvlText w:val="%1."/>
      <w:lvlJc w:val="left"/>
      <w:pPr>
        <w:ind w:left="1068" w:hanging="360"/>
      </w:pPr>
      <w:rPr>
        <w:rFonts w:hint="default"/>
        <w:b w:val="0"/>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10" w15:restartNumberingAfterBreak="0">
    <w:nsid w:val="28585FF9"/>
    <w:multiLevelType w:val="multilevel"/>
    <w:tmpl w:val="5C742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D8367A"/>
    <w:multiLevelType w:val="hybridMultilevel"/>
    <w:tmpl w:val="578644E0"/>
    <w:lvl w:ilvl="0" w:tplc="9148EB30">
      <w:start w:val="1"/>
      <w:numFmt w:val="decimal"/>
      <w:lvlText w:val="%1."/>
      <w:lvlJc w:val="left"/>
      <w:pPr>
        <w:ind w:left="1068" w:hanging="360"/>
      </w:pPr>
      <w:rPr>
        <w:rFonts w:hint="default"/>
        <w:b w:val="0"/>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12" w15:restartNumberingAfterBreak="0">
    <w:nsid w:val="33737758"/>
    <w:multiLevelType w:val="multilevel"/>
    <w:tmpl w:val="78B42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32556A"/>
    <w:multiLevelType w:val="hybridMultilevel"/>
    <w:tmpl w:val="32CC12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B578F5"/>
    <w:multiLevelType w:val="hybridMultilevel"/>
    <w:tmpl w:val="29BEEB6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9AB5CCA"/>
    <w:multiLevelType w:val="hybridMultilevel"/>
    <w:tmpl w:val="B36814DC"/>
    <w:lvl w:ilvl="0" w:tplc="500A0001">
      <w:numFmt w:val="bullet"/>
      <w:lvlText w:val=""/>
      <w:lvlJc w:val="left"/>
      <w:pPr>
        <w:ind w:left="720" w:hanging="360"/>
      </w:pPr>
      <w:rPr>
        <w:rFonts w:ascii="Symbol" w:eastAsia="Times New Roman" w:hAnsi="Symbol" w:cs="Times New Roman"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16" w15:restartNumberingAfterBreak="0">
    <w:nsid w:val="4D532EE3"/>
    <w:multiLevelType w:val="hybridMultilevel"/>
    <w:tmpl w:val="07E8CB1E"/>
    <w:lvl w:ilvl="0" w:tplc="C6568608">
      <w:start w:val="1"/>
      <w:numFmt w:val="decimal"/>
      <w:lvlText w:val="%1."/>
      <w:lvlJc w:val="left"/>
      <w:pPr>
        <w:ind w:left="1068" w:hanging="360"/>
      </w:pPr>
      <w:rPr>
        <w:rFonts w:hint="default"/>
        <w:b w:val="0"/>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17" w15:restartNumberingAfterBreak="0">
    <w:nsid w:val="4E555E08"/>
    <w:multiLevelType w:val="hybridMultilevel"/>
    <w:tmpl w:val="7FBE3424"/>
    <w:lvl w:ilvl="0" w:tplc="B1AA6508">
      <w:start w:val="1"/>
      <w:numFmt w:val="decimal"/>
      <w:lvlText w:val="%1."/>
      <w:lvlJc w:val="left"/>
      <w:pPr>
        <w:ind w:left="2484" w:hanging="360"/>
      </w:pPr>
      <w:rPr>
        <w:rFonts w:hint="default"/>
      </w:rPr>
    </w:lvl>
    <w:lvl w:ilvl="1" w:tplc="04090019" w:tentative="1">
      <w:start w:val="1"/>
      <w:numFmt w:val="lowerLetter"/>
      <w:lvlText w:val="%2."/>
      <w:lvlJc w:val="left"/>
      <w:pPr>
        <w:ind w:left="3204" w:hanging="360"/>
      </w:pPr>
    </w:lvl>
    <w:lvl w:ilvl="2" w:tplc="0409001B" w:tentative="1">
      <w:start w:val="1"/>
      <w:numFmt w:val="lowerRoman"/>
      <w:lvlText w:val="%3."/>
      <w:lvlJc w:val="right"/>
      <w:pPr>
        <w:ind w:left="3924" w:hanging="180"/>
      </w:pPr>
    </w:lvl>
    <w:lvl w:ilvl="3" w:tplc="0409000F" w:tentative="1">
      <w:start w:val="1"/>
      <w:numFmt w:val="decimal"/>
      <w:lvlText w:val="%4."/>
      <w:lvlJc w:val="left"/>
      <w:pPr>
        <w:ind w:left="4644" w:hanging="360"/>
      </w:pPr>
    </w:lvl>
    <w:lvl w:ilvl="4" w:tplc="04090019" w:tentative="1">
      <w:start w:val="1"/>
      <w:numFmt w:val="lowerLetter"/>
      <w:lvlText w:val="%5."/>
      <w:lvlJc w:val="left"/>
      <w:pPr>
        <w:ind w:left="5364" w:hanging="360"/>
      </w:pPr>
    </w:lvl>
    <w:lvl w:ilvl="5" w:tplc="0409001B" w:tentative="1">
      <w:start w:val="1"/>
      <w:numFmt w:val="lowerRoman"/>
      <w:lvlText w:val="%6."/>
      <w:lvlJc w:val="right"/>
      <w:pPr>
        <w:ind w:left="6084" w:hanging="180"/>
      </w:pPr>
    </w:lvl>
    <w:lvl w:ilvl="6" w:tplc="0409000F" w:tentative="1">
      <w:start w:val="1"/>
      <w:numFmt w:val="decimal"/>
      <w:lvlText w:val="%7."/>
      <w:lvlJc w:val="left"/>
      <w:pPr>
        <w:ind w:left="6804" w:hanging="360"/>
      </w:pPr>
    </w:lvl>
    <w:lvl w:ilvl="7" w:tplc="04090019" w:tentative="1">
      <w:start w:val="1"/>
      <w:numFmt w:val="lowerLetter"/>
      <w:lvlText w:val="%8."/>
      <w:lvlJc w:val="left"/>
      <w:pPr>
        <w:ind w:left="7524" w:hanging="360"/>
      </w:pPr>
    </w:lvl>
    <w:lvl w:ilvl="8" w:tplc="0409001B" w:tentative="1">
      <w:start w:val="1"/>
      <w:numFmt w:val="lowerRoman"/>
      <w:lvlText w:val="%9."/>
      <w:lvlJc w:val="right"/>
      <w:pPr>
        <w:ind w:left="8244" w:hanging="180"/>
      </w:pPr>
    </w:lvl>
  </w:abstractNum>
  <w:abstractNum w:abstractNumId="18" w15:restartNumberingAfterBreak="0">
    <w:nsid w:val="54120969"/>
    <w:multiLevelType w:val="hybridMultilevel"/>
    <w:tmpl w:val="6F3EFC58"/>
    <w:lvl w:ilvl="0" w:tplc="0409000B">
      <w:start w:val="1"/>
      <w:numFmt w:val="bullet"/>
      <w:lvlText w:val=""/>
      <w:lvlJc w:val="left"/>
      <w:pPr>
        <w:ind w:left="1860" w:hanging="360"/>
      </w:pPr>
      <w:rPr>
        <w:rFonts w:ascii="Wingdings" w:hAnsi="Wingdings"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19" w15:restartNumberingAfterBreak="0">
    <w:nsid w:val="58947810"/>
    <w:multiLevelType w:val="hybridMultilevel"/>
    <w:tmpl w:val="C01A219C"/>
    <w:lvl w:ilvl="0" w:tplc="5E540F6A">
      <w:numFmt w:val="bullet"/>
      <w:lvlText w:val="-"/>
      <w:lvlJc w:val="left"/>
      <w:pPr>
        <w:ind w:left="1440" w:hanging="360"/>
      </w:pPr>
      <w:rPr>
        <w:rFonts w:ascii="Book Antiqua" w:eastAsia="Times New Roman" w:hAnsi="Book Antiqua" w:cs="Times New Roman"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20" w15:restartNumberingAfterBreak="0">
    <w:nsid w:val="5AED7053"/>
    <w:multiLevelType w:val="hybridMultilevel"/>
    <w:tmpl w:val="DE2249AA"/>
    <w:lvl w:ilvl="0" w:tplc="04090001">
      <w:start w:val="1"/>
      <w:numFmt w:val="bullet"/>
      <w:lvlText w:val=""/>
      <w:lvlJc w:val="left"/>
      <w:pPr>
        <w:ind w:left="1860" w:hanging="360"/>
      </w:pPr>
      <w:rPr>
        <w:rFonts w:ascii="Symbol" w:hAnsi="Symbol"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21" w15:restartNumberingAfterBreak="0">
    <w:nsid w:val="61887A69"/>
    <w:multiLevelType w:val="hybridMultilevel"/>
    <w:tmpl w:val="4D48314E"/>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2" w15:restartNumberingAfterBreak="0">
    <w:nsid w:val="650B25EE"/>
    <w:multiLevelType w:val="hybridMultilevel"/>
    <w:tmpl w:val="42285400"/>
    <w:lvl w:ilvl="0" w:tplc="A35695E0">
      <w:start w:val="1"/>
      <w:numFmt w:val="bullet"/>
      <w:lvlText w:val=""/>
      <w:lvlJc w:val="left"/>
      <w:pPr>
        <w:ind w:left="1080" w:hanging="360"/>
      </w:pPr>
      <w:rPr>
        <w:rFonts w:ascii="Symbol" w:eastAsia="Times New Roman" w:hAnsi="Symbol" w:cs="Times New Roman"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23" w15:restartNumberingAfterBreak="0">
    <w:nsid w:val="65251BAB"/>
    <w:multiLevelType w:val="hybridMultilevel"/>
    <w:tmpl w:val="08AAA7B4"/>
    <w:lvl w:ilvl="0" w:tplc="435201F0">
      <w:start w:val="1"/>
      <w:numFmt w:val="decimal"/>
      <w:lvlText w:val="%1."/>
      <w:lvlJc w:val="left"/>
      <w:pPr>
        <w:ind w:left="720" w:hanging="360"/>
      </w:pPr>
      <w:rPr>
        <w:rFonts w:hint="default"/>
        <w:b w:val="0"/>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4" w15:restartNumberingAfterBreak="0">
    <w:nsid w:val="65BE6E8B"/>
    <w:multiLevelType w:val="hybridMultilevel"/>
    <w:tmpl w:val="478E70B6"/>
    <w:lvl w:ilvl="0" w:tplc="0409000B">
      <w:start w:val="1"/>
      <w:numFmt w:val="bullet"/>
      <w:lvlText w:val=""/>
      <w:lvlJc w:val="left"/>
      <w:pPr>
        <w:ind w:left="1068" w:hanging="360"/>
      </w:pPr>
      <w:rPr>
        <w:rFonts w:ascii="Wingdings" w:hAnsi="Wingding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5" w15:restartNumberingAfterBreak="0">
    <w:nsid w:val="6ED23110"/>
    <w:multiLevelType w:val="hybridMultilevel"/>
    <w:tmpl w:val="DD325CB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265586B"/>
    <w:multiLevelType w:val="multilevel"/>
    <w:tmpl w:val="A7B67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D440F6"/>
    <w:multiLevelType w:val="hybridMultilevel"/>
    <w:tmpl w:val="26F03BB2"/>
    <w:lvl w:ilvl="0" w:tplc="AEC8CB2A">
      <w:start w:val="1"/>
      <w:numFmt w:val="decimal"/>
      <w:lvlText w:val="%1."/>
      <w:lvlJc w:val="left"/>
      <w:pPr>
        <w:ind w:left="720" w:hanging="360"/>
      </w:pPr>
      <w:rPr>
        <w:rFonts w:hint="default"/>
        <w:b w:val="0"/>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354839935">
    <w:abstractNumId w:val="15"/>
  </w:num>
  <w:num w:numId="2" w16cid:durableId="1866944908">
    <w:abstractNumId w:val="4"/>
  </w:num>
  <w:num w:numId="3" w16cid:durableId="929972302">
    <w:abstractNumId w:val="27"/>
  </w:num>
  <w:num w:numId="4" w16cid:durableId="244461508">
    <w:abstractNumId w:val="23"/>
  </w:num>
  <w:num w:numId="5" w16cid:durableId="1644700339">
    <w:abstractNumId w:val="22"/>
  </w:num>
  <w:num w:numId="6" w16cid:durableId="633948336">
    <w:abstractNumId w:val="19"/>
  </w:num>
  <w:num w:numId="7" w16cid:durableId="1279097590">
    <w:abstractNumId w:val="9"/>
  </w:num>
  <w:num w:numId="8" w16cid:durableId="144788390">
    <w:abstractNumId w:val="11"/>
  </w:num>
  <w:num w:numId="9" w16cid:durableId="835920715">
    <w:abstractNumId w:val="16"/>
  </w:num>
  <w:num w:numId="10" w16cid:durableId="603928053">
    <w:abstractNumId w:val="21"/>
  </w:num>
  <w:num w:numId="11" w16cid:durableId="538862374">
    <w:abstractNumId w:val="0"/>
  </w:num>
  <w:num w:numId="12" w16cid:durableId="211120419">
    <w:abstractNumId w:val="3"/>
  </w:num>
  <w:num w:numId="13" w16cid:durableId="793253472">
    <w:abstractNumId w:val="20"/>
  </w:num>
  <w:num w:numId="14" w16cid:durableId="944114421">
    <w:abstractNumId w:val="18"/>
  </w:num>
  <w:num w:numId="15" w16cid:durableId="1102646951">
    <w:abstractNumId w:val="13"/>
  </w:num>
  <w:num w:numId="16" w16cid:durableId="1039623312">
    <w:abstractNumId w:val="14"/>
  </w:num>
  <w:num w:numId="17" w16cid:durableId="1896433926">
    <w:abstractNumId w:val="8"/>
  </w:num>
  <w:num w:numId="18" w16cid:durableId="1680355010">
    <w:abstractNumId w:val="17"/>
  </w:num>
  <w:num w:numId="19" w16cid:durableId="463934451">
    <w:abstractNumId w:val="25"/>
  </w:num>
  <w:num w:numId="20" w16cid:durableId="1137333152">
    <w:abstractNumId w:val="7"/>
  </w:num>
  <w:num w:numId="21" w16cid:durableId="1317101730">
    <w:abstractNumId w:val="6"/>
  </w:num>
  <w:num w:numId="22" w16cid:durableId="1074742544">
    <w:abstractNumId w:val="1"/>
  </w:num>
  <w:num w:numId="23" w16cid:durableId="439686875">
    <w:abstractNumId w:val="24"/>
  </w:num>
  <w:num w:numId="24" w16cid:durableId="1429614001">
    <w:abstractNumId w:val="26"/>
  </w:num>
  <w:num w:numId="25" w16cid:durableId="245459104">
    <w:abstractNumId w:val="10"/>
  </w:num>
  <w:num w:numId="26" w16cid:durableId="890075562">
    <w:abstractNumId w:val="5"/>
  </w:num>
  <w:num w:numId="27" w16cid:durableId="244077846">
    <w:abstractNumId w:val="12"/>
  </w:num>
  <w:num w:numId="28" w16cid:durableId="1407456365">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793"/>
    <w:rsid w:val="00000280"/>
    <w:rsid w:val="000017BD"/>
    <w:rsid w:val="00014391"/>
    <w:rsid w:val="000246B3"/>
    <w:rsid w:val="00026B06"/>
    <w:rsid w:val="0003026F"/>
    <w:rsid w:val="00030335"/>
    <w:rsid w:val="000340DD"/>
    <w:rsid w:val="00036179"/>
    <w:rsid w:val="00050274"/>
    <w:rsid w:val="000531E0"/>
    <w:rsid w:val="00060661"/>
    <w:rsid w:val="00063E26"/>
    <w:rsid w:val="00065136"/>
    <w:rsid w:val="00066E89"/>
    <w:rsid w:val="00067E72"/>
    <w:rsid w:val="000712DB"/>
    <w:rsid w:val="00072CFB"/>
    <w:rsid w:val="000731C6"/>
    <w:rsid w:val="0007439B"/>
    <w:rsid w:val="00074C6B"/>
    <w:rsid w:val="00077608"/>
    <w:rsid w:val="000802EB"/>
    <w:rsid w:val="00080E08"/>
    <w:rsid w:val="00081439"/>
    <w:rsid w:val="00081E0F"/>
    <w:rsid w:val="00082D79"/>
    <w:rsid w:val="000830F7"/>
    <w:rsid w:val="00083CDF"/>
    <w:rsid w:val="000866B6"/>
    <w:rsid w:val="00086F25"/>
    <w:rsid w:val="00087D35"/>
    <w:rsid w:val="000923B5"/>
    <w:rsid w:val="000A2C18"/>
    <w:rsid w:val="000A6FC5"/>
    <w:rsid w:val="000B6BDA"/>
    <w:rsid w:val="000B7BB3"/>
    <w:rsid w:val="000C3590"/>
    <w:rsid w:val="000C5774"/>
    <w:rsid w:val="000C7D34"/>
    <w:rsid w:val="000D6793"/>
    <w:rsid w:val="000D6944"/>
    <w:rsid w:val="000E2C10"/>
    <w:rsid w:val="000E44D4"/>
    <w:rsid w:val="00104CF6"/>
    <w:rsid w:val="00114B79"/>
    <w:rsid w:val="00115F57"/>
    <w:rsid w:val="00121782"/>
    <w:rsid w:val="00122064"/>
    <w:rsid w:val="00126743"/>
    <w:rsid w:val="00142325"/>
    <w:rsid w:val="0014380E"/>
    <w:rsid w:val="00154BDF"/>
    <w:rsid w:val="00155C18"/>
    <w:rsid w:val="00160701"/>
    <w:rsid w:val="0016737E"/>
    <w:rsid w:val="0017489C"/>
    <w:rsid w:val="00175472"/>
    <w:rsid w:val="001800D0"/>
    <w:rsid w:val="00194792"/>
    <w:rsid w:val="001A1371"/>
    <w:rsid w:val="001A43D1"/>
    <w:rsid w:val="001B0011"/>
    <w:rsid w:val="001B322B"/>
    <w:rsid w:val="001B59D2"/>
    <w:rsid w:val="001B7D92"/>
    <w:rsid w:val="001C5CA2"/>
    <w:rsid w:val="001D088C"/>
    <w:rsid w:val="001E7197"/>
    <w:rsid w:val="001F01F2"/>
    <w:rsid w:val="001F0397"/>
    <w:rsid w:val="001F1F01"/>
    <w:rsid w:val="001F1F36"/>
    <w:rsid w:val="001F298F"/>
    <w:rsid w:val="001F73BD"/>
    <w:rsid w:val="002013E1"/>
    <w:rsid w:val="002037B4"/>
    <w:rsid w:val="00203CC6"/>
    <w:rsid w:val="002047F3"/>
    <w:rsid w:val="002108BA"/>
    <w:rsid w:val="00211B72"/>
    <w:rsid w:val="0021658B"/>
    <w:rsid w:val="00216FE1"/>
    <w:rsid w:val="00221E11"/>
    <w:rsid w:val="00223760"/>
    <w:rsid w:val="00233446"/>
    <w:rsid w:val="00233FA9"/>
    <w:rsid w:val="00234EBF"/>
    <w:rsid w:val="002369C3"/>
    <w:rsid w:val="00237FE9"/>
    <w:rsid w:val="00242C0A"/>
    <w:rsid w:val="00243379"/>
    <w:rsid w:val="0024355B"/>
    <w:rsid w:val="0025356F"/>
    <w:rsid w:val="00253E1C"/>
    <w:rsid w:val="00286159"/>
    <w:rsid w:val="00287226"/>
    <w:rsid w:val="00291474"/>
    <w:rsid w:val="002B2669"/>
    <w:rsid w:val="002B74AE"/>
    <w:rsid w:val="002C290D"/>
    <w:rsid w:val="002D33B6"/>
    <w:rsid w:val="002D5A72"/>
    <w:rsid w:val="002E0DB0"/>
    <w:rsid w:val="002E376C"/>
    <w:rsid w:val="002E78B0"/>
    <w:rsid w:val="002F2A26"/>
    <w:rsid w:val="002F5E31"/>
    <w:rsid w:val="00304AAB"/>
    <w:rsid w:val="00306F45"/>
    <w:rsid w:val="0030740B"/>
    <w:rsid w:val="00310019"/>
    <w:rsid w:val="00316EAD"/>
    <w:rsid w:val="00320D3A"/>
    <w:rsid w:val="003212B1"/>
    <w:rsid w:val="00337221"/>
    <w:rsid w:val="00344CF2"/>
    <w:rsid w:val="00353CCF"/>
    <w:rsid w:val="003601A3"/>
    <w:rsid w:val="00360B5B"/>
    <w:rsid w:val="0036183C"/>
    <w:rsid w:val="00364C8E"/>
    <w:rsid w:val="00367E26"/>
    <w:rsid w:val="00372033"/>
    <w:rsid w:val="00372A66"/>
    <w:rsid w:val="00384A8B"/>
    <w:rsid w:val="00386DE0"/>
    <w:rsid w:val="00390A15"/>
    <w:rsid w:val="00392953"/>
    <w:rsid w:val="00392FDB"/>
    <w:rsid w:val="00394CCC"/>
    <w:rsid w:val="003958B2"/>
    <w:rsid w:val="003B07D2"/>
    <w:rsid w:val="003B4044"/>
    <w:rsid w:val="003B409B"/>
    <w:rsid w:val="003C3E59"/>
    <w:rsid w:val="003C5795"/>
    <w:rsid w:val="003D199E"/>
    <w:rsid w:val="003E1576"/>
    <w:rsid w:val="003E2846"/>
    <w:rsid w:val="003E5B67"/>
    <w:rsid w:val="003E6148"/>
    <w:rsid w:val="003F06BB"/>
    <w:rsid w:val="003F2493"/>
    <w:rsid w:val="003F2E6F"/>
    <w:rsid w:val="00402177"/>
    <w:rsid w:val="00410CDB"/>
    <w:rsid w:val="0041146F"/>
    <w:rsid w:val="00412F8C"/>
    <w:rsid w:val="004146AE"/>
    <w:rsid w:val="00432E61"/>
    <w:rsid w:val="00434054"/>
    <w:rsid w:val="004365ED"/>
    <w:rsid w:val="004446B9"/>
    <w:rsid w:val="0046000C"/>
    <w:rsid w:val="004622F4"/>
    <w:rsid w:val="004625A5"/>
    <w:rsid w:val="00466B3E"/>
    <w:rsid w:val="004701FB"/>
    <w:rsid w:val="00472D71"/>
    <w:rsid w:val="00475CB5"/>
    <w:rsid w:val="00482531"/>
    <w:rsid w:val="004A498F"/>
    <w:rsid w:val="004A7232"/>
    <w:rsid w:val="004B53B1"/>
    <w:rsid w:val="004B590C"/>
    <w:rsid w:val="004C4A19"/>
    <w:rsid w:val="004C7370"/>
    <w:rsid w:val="004E50B8"/>
    <w:rsid w:val="004F1D3B"/>
    <w:rsid w:val="004F4EFD"/>
    <w:rsid w:val="00500A83"/>
    <w:rsid w:val="00504DD0"/>
    <w:rsid w:val="00515DDA"/>
    <w:rsid w:val="0053183F"/>
    <w:rsid w:val="00542916"/>
    <w:rsid w:val="00551FA7"/>
    <w:rsid w:val="00553FDD"/>
    <w:rsid w:val="005552A0"/>
    <w:rsid w:val="005726E2"/>
    <w:rsid w:val="00574DD5"/>
    <w:rsid w:val="00586C55"/>
    <w:rsid w:val="005875D3"/>
    <w:rsid w:val="00587A0F"/>
    <w:rsid w:val="005929C4"/>
    <w:rsid w:val="00596C83"/>
    <w:rsid w:val="0059789F"/>
    <w:rsid w:val="005A2A4E"/>
    <w:rsid w:val="005A701F"/>
    <w:rsid w:val="005B2736"/>
    <w:rsid w:val="005B33C3"/>
    <w:rsid w:val="005C7A34"/>
    <w:rsid w:val="005D0566"/>
    <w:rsid w:val="005D3F98"/>
    <w:rsid w:val="005D42B1"/>
    <w:rsid w:val="005D5393"/>
    <w:rsid w:val="005D5AD5"/>
    <w:rsid w:val="005E04D6"/>
    <w:rsid w:val="005E385C"/>
    <w:rsid w:val="005F5FC6"/>
    <w:rsid w:val="005F65CB"/>
    <w:rsid w:val="005F6933"/>
    <w:rsid w:val="00607B8F"/>
    <w:rsid w:val="00610447"/>
    <w:rsid w:val="00610B52"/>
    <w:rsid w:val="006128A2"/>
    <w:rsid w:val="0061519E"/>
    <w:rsid w:val="00626637"/>
    <w:rsid w:val="00632B1B"/>
    <w:rsid w:val="00637D38"/>
    <w:rsid w:val="00642782"/>
    <w:rsid w:val="00647074"/>
    <w:rsid w:val="006470E4"/>
    <w:rsid w:val="00647B97"/>
    <w:rsid w:val="00657535"/>
    <w:rsid w:val="00663C38"/>
    <w:rsid w:val="00663E4B"/>
    <w:rsid w:val="00664FCD"/>
    <w:rsid w:val="006676D9"/>
    <w:rsid w:val="00670C68"/>
    <w:rsid w:val="006718D0"/>
    <w:rsid w:val="00671BB7"/>
    <w:rsid w:val="006754FC"/>
    <w:rsid w:val="00680454"/>
    <w:rsid w:val="0068126B"/>
    <w:rsid w:val="00685E1D"/>
    <w:rsid w:val="00691DA6"/>
    <w:rsid w:val="00693820"/>
    <w:rsid w:val="006962CF"/>
    <w:rsid w:val="00696448"/>
    <w:rsid w:val="006A10AB"/>
    <w:rsid w:val="006A7793"/>
    <w:rsid w:val="006C1A1E"/>
    <w:rsid w:val="006C25CD"/>
    <w:rsid w:val="006C62A0"/>
    <w:rsid w:val="006D0105"/>
    <w:rsid w:val="006D05DA"/>
    <w:rsid w:val="006D57F1"/>
    <w:rsid w:val="006D5AD8"/>
    <w:rsid w:val="006F1B1F"/>
    <w:rsid w:val="006F4B48"/>
    <w:rsid w:val="006F4C8E"/>
    <w:rsid w:val="006F6ACB"/>
    <w:rsid w:val="006F72E7"/>
    <w:rsid w:val="00702788"/>
    <w:rsid w:val="0070394F"/>
    <w:rsid w:val="00711803"/>
    <w:rsid w:val="007158D6"/>
    <w:rsid w:val="007178BD"/>
    <w:rsid w:val="00717F33"/>
    <w:rsid w:val="00723DF2"/>
    <w:rsid w:val="00730D85"/>
    <w:rsid w:val="00732744"/>
    <w:rsid w:val="00734070"/>
    <w:rsid w:val="00740010"/>
    <w:rsid w:val="0074164F"/>
    <w:rsid w:val="0074621E"/>
    <w:rsid w:val="007479A1"/>
    <w:rsid w:val="00751D33"/>
    <w:rsid w:val="00754E33"/>
    <w:rsid w:val="00763388"/>
    <w:rsid w:val="00765944"/>
    <w:rsid w:val="0077165C"/>
    <w:rsid w:val="00781C64"/>
    <w:rsid w:val="0078559D"/>
    <w:rsid w:val="00785883"/>
    <w:rsid w:val="00794912"/>
    <w:rsid w:val="007A17D7"/>
    <w:rsid w:val="007A5DEB"/>
    <w:rsid w:val="007A636D"/>
    <w:rsid w:val="007B2830"/>
    <w:rsid w:val="007B749E"/>
    <w:rsid w:val="007C2F6F"/>
    <w:rsid w:val="007C43D1"/>
    <w:rsid w:val="007C5D09"/>
    <w:rsid w:val="007C7658"/>
    <w:rsid w:val="007D3038"/>
    <w:rsid w:val="007D5E1F"/>
    <w:rsid w:val="007D6DCC"/>
    <w:rsid w:val="007D7A64"/>
    <w:rsid w:val="007D7D55"/>
    <w:rsid w:val="007E1839"/>
    <w:rsid w:val="007E38E3"/>
    <w:rsid w:val="007E47AD"/>
    <w:rsid w:val="007E5E9D"/>
    <w:rsid w:val="007E6418"/>
    <w:rsid w:val="007F23EA"/>
    <w:rsid w:val="007F25F0"/>
    <w:rsid w:val="007F56B7"/>
    <w:rsid w:val="00803A6E"/>
    <w:rsid w:val="00806668"/>
    <w:rsid w:val="00812E52"/>
    <w:rsid w:val="00815412"/>
    <w:rsid w:val="00816CD1"/>
    <w:rsid w:val="00817F23"/>
    <w:rsid w:val="00825EE0"/>
    <w:rsid w:val="00826399"/>
    <w:rsid w:val="00826B30"/>
    <w:rsid w:val="00844A78"/>
    <w:rsid w:val="00844AE8"/>
    <w:rsid w:val="0085220E"/>
    <w:rsid w:val="0085241C"/>
    <w:rsid w:val="00861489"/>
    <w:rsid w:val="00863EAC"/>
    <w:rsid w:val="008641FC"/>
    <w:rsid w:val="00864B72"/>
    <w:rsid w:val="00865FB8"/>
    <w:rsid w:val="00872953"/>
    <w:rsid w:val="0088728D"/>
    <w:rsid w:val="00887291"/>
    <w:rsid w:val="00890FB7"/>
    <w:rsid w:val="008A6483"/>
    <w:rsid w:val="008A677D"/>
    <w:rsid w:val="008A7647"/>
    <w:rsid w:val="008B142A"/>
    <w:rsid w:val="008B291E"/>
    <w:rsid w:val="008B56A5"/>
    <w:rsid w:val="008B6CBD"/>
    <w:rsid w:val="008C01AA"/>
    <w:rsid w:val="008C13E3"/>
    <w:rsid w:val="008C7750"/>
    <w:rsid w:val="008C78F6"/>
    <w:rsid w:val="008D4EF1"/>
    <w:rsid w:val="008E7C93"/>
    <w:rsid w:val="008F5790"/>
    <w:rsid w:val="008F59F6"/>
    <w:rsid w:val="008F5DF6"/>
    <w:rsid w:val="008F60F0"/>
    <w:rsid w:val="00907C1B"/>
    <w:rsid w:val="00910ED5"/>
    <w:rsid w:val="0091304C"/>
    <w:rsid w:val="009169C6"/>
    <w:rsid w:val="00921DF3"/>
    <w:rsid w:val="00925B42"/>
    <w:rsid w:val="009271D3"/>
    <w:rsid w:val="009307F5"/>
    <w:rsid w:val="00932B23"/>
    <w:rsid w:val="00933532"/>
    <w:rsid w:val="00934565"/>
    <w:rsid w:val="00936C8A"/>
    <w:rsid w:val="009412AB"/>
    <w:rsid w:val="00943250"/>
    <w:rsid w:val="0094590D"/>
    <w:rsid w:val="00947DF2"/>
    <w:rsid w:val="00956F8C"/>
    <w:rsid w:val="00960896"/>
    <w:rsid w:val="00961A0F"/>
    <w:rsid w:val="00964EF9"/>
    <w:rsid w:val="009706B2"/>
    <w:rsid w:val="0097144F"/>
    <w:rsid w:val="00972E7A"/>
    <w:rsid w:val="009737FD"/>
    <w:rsid w:val="00974B34"/>
    <w:rsid w:val="00977D63"/>
    <w:rsid w:val="0098355B"/>
    <w:rsid w:val="00985132"/>
    <w:rsid w:val="00986451"/>
    <w:rsid w:val="009875FC"/>
    <w:rsid w:val="00991CA7"/>
    <w:rsid w:val="00992044"/>
    <w:rsid w:val="00992809"/>
    <w:rsid w:val="00997F20"/>
    <w:rsid w:val="009A489F"/>
    <w:rsid w:val="009A5AA8"/>
    <w:rsid w:val="009A6404"/>
    <w:rsid w:val="009A70BB"/>
    <w:rsid w:val="009B0721"/>
    <w:rsid w:val="009B0DAF"/>
    <w:rsid w:val="009B3FB0"/>
    <w:rsid w:val="009C4425"/>
    <w:rsid w:val="009D1E6C"/>
    <w:rsid w:val="009D4853"/>
    <w:rsid w:val="009D4AC7"/>
    <w:rsid w:val="009D4E6F"/>
    <w:rsid w:val="009D5EFC"/>
    <w:rsid w:val="009E4139"/>
    <w:rsid w:val="009F2442"/>
    <w:rsid w:val="009F2DBE"/>
    <w:rsid w:val="00A0063A"/>
    <w:rsid w:val="00A01742"/>
    <w:rsid w:val="00A0221D"/>
    <w:rsid w:val="00A128DB"/>
    <w:rsid w:val="00A128FE"/>
    <w:rsid w:val="00A140CC"/>
    <w:rsid w:val="00A155AF"/>
    <w:rsid w:val="00A26463"/>
    <w:rsid w:val="00A27467"/>
    <w:rsid w:val="00A337C8"/>
    <w:rsid w:val="00A34C88"/>
    <w:rsid w:val="00A37FE6"/>
    <w:rsid w:val="00A454C4"/>
    <w:rsid w:val="00A51F7C"/>
    <w:rsid w:val="00A61F99"/>
    <w:rsid w:val="00A74B2C"/>
    <w:rsid w:val="00A858C8"/>
    <w:rsid w:val="00A8760B"/>
    <w:rsid w:val="00A912E9"/>
    <w:rsid w:val="00A9297F"/>
    <w:rsid w:val="00A95577"/>
    <w:rsid w:val="00AC3A9B"/>
    <w:rsid w:val="00AC6BF0"/>
    <w:rsid w:val="00AE6C0B"/>
    <w:rsid w:val="00B045A9"/>
    <w:rsid w:val="00B056FE"/>
    <w:rsid w:val="00B10140"/>
    <w:rsid w:val="00B108D9"/>
    <w:rsid w:val="00B1598F"/>
    <w:rsid w:val="00B21667"/>
    <w:rsid w:val="00B21CA5"/>
    <w:rsid w:val="00B22C8E"/>
    <w:rsid w:val="00B24EC2"/>
    <w:rsid w:val="00B35372"/>
    <w:rsid w:val="00B45670"/>
    <w:rsid w:val="00B47274"/>
    <w:rsid w:val="00B53F49"/>
    <w:rsid w:val="00B55928"/>
    <w:rsid w:val="00B55F25"/>
    <w:rsid w:val="00B60B85"/>
    <w:rsid w:val="00B64F0F"/>
    <w:rsid w:val="00B72488"/>
    <w:rsid w:val="00B76107"/>
    <w:rsid w:val="00B7796D"/>
    <w:rsid w:val="00B83AA9"/>
    <w:rsid w:val="00B845D6"/>
    <w:rsid w:val="00B84716"/>
    <w:rsid w:val="00B95272"/>
    <w:rsid w:val="00B95B02"/>
    <w:rsid w:val="00BA0283"/>
    <w:rsid w:val="00BA1634"/>
    <w:rsid w:val="00BB1C42"/>
    <w:rsid w:val="00BB221F"/>
    <w:rsid w:val="00BB72FF"/>
    <w:rsid w:val="00BC270C"/>
    <w:rsid w:val="00BC7532"/>
    <w:rsid w:val="00BD11C0"/>
    <w:rsid w:val="00BD5566"/>
    <w:rsid w:val="00BD72AF"/>
    <w:rsid w:val="00BD7E56"/>
    <w:rsid w:val="00BE0180"/>
    <w:rsid w:val="00BE2CCA"/>
    <w:rsid w:val="00BF4478"/>
    <w:rsid w:val="00BF5DAA"/>
    <w:rsid w:val="00C0003C"/>
    <w:rsid w:val="00C05134"/>
    <w:rsid w:val="00C105FA"/>
    <w:rsid w:val="00C1190F"/>
    <w:rsid w:val="00C16EDE"/>
    <w:rsid w:val="00C20797"/>
    <w:rsid w:val="00C21F3B"/>
    <w:rsid w:val="00C22B34"/>
    <w:rsid w:val="00C23429"/>
    <w:rsid w:val="00C4088E"/>
    <w:rsid w:val="00C535AF"/>
    <w:rsid w:val="00C548BE"/>
    <w:rsid w:val="00C55CC4"/>
    <w:rsid w:val="00C63A9B"/>
    <w:rsid w:val="00C66E0F"/>
    <w:rsid w:val="00C70ABC"/>
    <w:rsid w:val="00C70E1D"/>
    <w:rsid w:val="00C749A0"/>
    <w:rsid w:val="00C75816"/>
    <w:rsid w:val="00C75D12"/>
    <w:rsid w:val="00C85399"/>
    <w:rsid w:val="00C85DAC"/>
    <w:rsid w:val="00C915EA"/>
    <w:rsid w:val="00C9409E"/>
    <w:rsid w:val="00CA0D1F"/>
    <w:rsid w:val="00CA32D1"/>
    <w:rsid w:val="00CA3AB5"/>
    <w:rsid w:val="00CA3BDE"/>
    <w:rsid w:val="00CA47F9"/>
    <w:rsid w:val="00CB188A"/>
    <w:rsid w:val="00CB1E5E"/>
    <w:rsid w:val="00CB7366"/>
    <w:rsid w:val="00CB7686"/>
    <w:rsid w:val="00CC7CCC"/>
    <w:rsid w:val="00CD1524"/>
    <w:rsid w:val="00CD2B4D"/>
    <w:rsid w:val="00CD5F80"/>
    <w:rsid w:val="00CD61CD"/>
    <w:rsid w:val="00CD67DA"/>
    <w:rsid w:val="00CD6D46"/>
    <w:rsid w:val="00CD700B"/>
    <w:rsid w:val="00CD7B45"/>
    <w:rsid w:val="00CE2754"/>
    <w:rsid w:val="00CE4D91"/>
    <w:rsid w:val="00CE51EB"/>
    <w:rsid w:val="00CE69FA"/>
    <w:rsid w:val="00CF052F"/>
    <w:rsid w:val="00CF05EF"/>
    <w:rsid w:val="00CF2A86"/>
    <w:rsid w:val="00CF76CA"/>
    <w:rsid w:val="00D016EB"/>
    <w:rsid w:val="00D126ED"/>
    <w:rsid w:val="00D2399E"/>
    <w:rsid w:val="00D346CA"/>
    <w:rsid w:val="00D37CD3"/>
    <w:rsid w:val="00D43E7E"/>
    <w:rsid w:val="00D43F0E"/>
    <w:rsid w:val="00D4502B"/>
    <w:rsid w:val="00D53AD6"/>
    <w:rsid w:val="00D639C2"/>
    <w:rsid w:val="00D721F3"/>
    <w:rsid w:val="00D72767"/>
    <w:rsid w:val="00D74005"/>
    <w:rsid w:val="00D84628"/>
    <w:rsid w:val="00D84FA5"/>
    <w:rsid w:val="00D8599E"/>
    <w:rsid w:val="00D929A1"/>
    <w:rsid w:val="00DA36E8"/>
    <w:rsid w:val="00DA3EA6"/>
    <w:rsid w:val="00DA7BDD"/>
    <w:rsid w:val="00DB1CC3"/>
    <w:rsid w:val="00DB47AF"/>
    <w:rsid w:val="00DC29BA"/>
    <w:rsid w:val="00DC48C8"/>
    <w:rsid w:val="00DC61F4"/>
    <w:rsid w:val="00DD11F3"/>
    <w:rsid w:val="00DD4D0A"/>
    <w:rsid w:val="00DE205E"/>
    <w:rsid w:val="00DE63CF"/>
    <w:rsid w:val="00DF0E00"/>
    <w:rsid w:val="00DF673F"/>
    <w:rsid w:val="00E0056F"/>
    <w:rsid w:val="00E03CD0"/>
    <w:rsid w:val="00E03D1D"/>
    <w:rsid w:val="00E03D53"/>
    <w:rsid w:val="00E05A6A"/>
    <w:rsid w:val="00E10906"/>
    <w:rsid w:val="00E13517"/>
    <w:rsid w:val="00E1499A"/>
    <w:rsid w:val="00E15470"/>
    <w:rsid w:val="00E1601D"/>
    <w:rsid w:val="00E27E48"/>
    <w:rsid w:val="00E33A93"/>
    <w:rsid w:val="00E434F8"/>
    <w:rsid w:val="00E553EC"/>
    <w:rsid w:val="00E558AA"/>
    <w:rsid w:val="00E561C4"/>
    <w:rsid w:val="00E6064A"/>
    <w:rsid w:val="00E65C8B"/>
    <w:rsid w:val="00E759A3"/>
    <w:rsid w:val="00E80014"/>
    <w:rsid w:val="00E817A4"/>
    <w:rsid w:val="00E844FE"/>
    <w:rsid w:val="00E85FD2"/>
    <w:rsid w:val="00E94A45"/>
    <w:rsid w:val="00EA0F29"/>
    <w:rsid w:val="00EA598F"/>
    <w:rsid w:val="00EA7559"/>
    <w:rsid w:val="00EA7E47"/>
    <w:rsid w:val="00EB0A67"/>
    <w:rsid w:val="00EB3AEC"/>
    <w:rsid w:val="00EB6FFF"/>
    <w:rsid w:val="00EC01A9"/>
    <w:rsid w:val="00ED68D2"/>
    <w:rsid w:val="00EF576E"/>
    <w:rsid w:val="00EF73BE"/>
    <w:rsid w:val="00EF77A7"/>
    <w:rsid w:val="00F0314B"/>
    <w:rsid w:val="00F11BCD"/>
    <w:rsid w:val="00F1747F"/>
    <w:rsid w:val="00F17CAB"/>
    <w:rsid w:val="00F20651"/>
    <w:rsid w:val="00F213BC"/>
    <w:rsid w:val="00F25D7F"/>
    <w:rsid w:val="00F33064"/>
    <w:rsid w:val="00F36171"/>
    <w:rsid w:val="00F4393B"/>
    <w:rsid w:val="00F45927"/>
    <w:rsid w:val="00F62208"/>
    <w:rsid w:val="00F6283A"/>
    <w:rsid w:val="00F63483"/>
    <w:rsid w:val="00F64DDA"/>
    <w:rsid w:val="00F66D91"/>
    <w:rsid w:val="00F73AF8"/>
    <w:rsid w:val="00F80A4A"/>
    <w:rsid w:val="00F87478"/>
    <w:rsid w:val="00F87B57"/>
    <w:rsid w:val="00F94B63"/>
    <w:rsid w:val="00F96905"/>
    <w:rsid w:val="00FA2F1A"/>
    <w:rsid w:val="00FB08CE"/>
    <w:rsid w:val="00FB700F"/>
    <w:rsid w:val="00FB7C8C"/>
    <w:rsid w:val="00FC088A"/>
    <w:rsid w:val="00FC1022"/>
    <w:rsid w:val="00FC1C19"/>
    <w:rsid w:val="00FD29FC"/>
    <w:rsid w:val="00FD5146"/>
    <w:rsid w:val="00FD5C20"/>
    <w:rsid w:val="00FD6886"/>
    <w:rsid w:val="00FE49E6"/>
    <w:rsid w:val="00FE523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D4E5D"/>
  <w15:chartTrackingRefBased/>
  <w15:docId w15:val="{AB0612C2-E4EB-4687-94BA-F003D1036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D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D6793"/>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semiHidden/>
    <w:rsid w:val="000D6793"/>
    <w:rPr>
      <w:rFonts w:ascii="Times New Roman" w:eastAsia="Times New Roman" w:hAnsi="Times New Roman" w:cs="Times New Roman"/>
      <w:sz w:val="20"/>
      <w:szCs w:val="20"/>
      <w:lang w:val="en-US"/>
    </w:rPr>
  </w:style>
  <w:style w:type="character" w:styleId="FootnoteReference">
    <w:name w:val="footnote reference"/>
    <w:uiPriority w:val="99"/>
    <w:semiHidden/>
    <w:unhideWhenUsed/>
    <w:rsid w:val="000D6793"/>
    <w:rPr>
      <w:vertAlign w:val="superscript"/>
    </w:rPr>
  </w:style>
  <w:style w:type="table" w:styleId="TableGrid">
    <w:name w:val="Table Grid"/>
    <w:basedOn w:val="TableNormal"/>
    <w:uiPriority w:val="39"/>
    <w:rsid w:val="000D679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394CCC"/>
    <w:pPr>
      <w:ind w:left="720"/>
      <w:contextualSpacing/>
    </w:pPr>
  </w:style>
  <w:style w:type="paragraph" w:styleId="Header">
    <w:name w:val="header"/>
    <w:basedOn w:val="Normal"/>
    <w:link w:val="HeaderChar"/>
    <w:uiPriority w:val="99"/>
    <w:unhideWhenUsed/>
    <w:rsid w:val="00E005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056F"/>
  </w:style>
  <w:style w:type="paragraph" w:styleId="Footer">
    <w:name w:val="footer"/>
    <w:basedOn w:val="Normal"/>
    <w:link w:val="FooterChar"/>
    <w:uiPriority w:val="99"/>
    <w:unhideWhenUsed/>
    <w:rsid w:val="00E005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056F"/>
  </w:style>
  <w:style w:type="paragraph" w:styleId="BalloonText">
    <w:name w:val="Balloon Text"/>
    <w:basedOn w:val="Normal"/>
    <w:link w:val="BalloonTextChar"/>
    <w:uiPriority w:val="99"/>
    <w:semiHidden/>
    <w:unhideWhenUsed/>
    <w:rsid w:val="006754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4FC"/>
    <w:rPr>
      <w:rFonts w:ascii="Segoe UI" w:hAnsi="Segoe UI" w:cs="Segoe UI"/>
      <w:sz w:val="18"/>
      <w:szCs w:val="18"/>
    </w:rPr>
  </w:style>
  <w:style w:type="character" w:styleId="Hyperlink">
    <w:name w:val="Hyperlink"/>
    <w:basedOn w:val="DefaultParagraphFont"/>
    <w:uiPriority w:val="99"/>
    <w:unhideWhenUsed/>
    <w:rsid w:val="00CD1524"/>
    <w:rPr>
      <w:color w:val="0563C1" w:themeColor="hyperlink"/>
      <w:u w:val="single"/>
    </w:rPr>
  </w:style>
  <w:style w:type="character" w:styleId="CommentReference">
    <w:name w:val="annotation reference"/>
    <w:basedOn w:val="DefaultParagraphFont"/>
    <w:uiPriority w:val="99"/>
    <w:semiHidden/>
    <w:unhideWhenUsed/>
    <w:rsid w:val="00B045A9"/>
    <w:rPr>
      <w:sz w:val="16"/>
      <w:szCs w:val="16"/>
    </w:rPr>
  </w:style>
  <w:style w:type="paragraph" w:styleId="CommentText">
    <w:name w:val="annotation text"/>
    <w:basedOn w:val="Normal"/>
    <w:link w:val="CommentTextChar"/>
    <w:uiPriority w:val="99"/>
    <w:semiHidden/>
    <w:unhideWhenUsed/>
    <w:rsid w:val="00B045A9"/>
    <w:pPr>
      <w:spacing w:line="240" w:lineRule="auto"/>
    </w:pPr>
    <w:rPr>
      <w:sz w:val="20"/>
      <w:szCs w:val="20"/>
    </w:rPr>
  </w:style>
  <w:style w:type="character" w:customStyle="1" w:styleId="CommentTextChar">
    <w:name w:val="Comment Text Char"/>
    <w:basedOn w:val="DefaultParagraphFont"/>
    <w:link w:val="CommentText"/>
    <w:uiPriority w:val="99"/>
    <w:semiHidden/>
    <w:rsid w:val="00B045A9"/>
    <w:rPr>
      <w:sz w:val="20"/>
      <w:szCs w:val="20"/>
    </w:rPr>
  </w:style>
  <w:style w:type="paragraph" w:styleId="CommentSubject">
    <w:name w:val="annotation subject"/>
    <w:basedOn w:val="CommentText"/>
    <w:next w:val="CommentText"/>
    <w:link w:val="CommentSubjectChar"/>
    <w:uiPriority w:val="99"/>
    <w:semiHidden/>
    <w:unhideWhenUsed/>
    <w:rsid w:val="00B045A9"/>
    <w:rPr>
      <w:b/>
      <w:bCs/>
    </w:rPr>
  </w:style>
  <w:style w:type="character" w:customStyle="1" w:styleId="CommentSubjectChar">
    <w:name w:val="Comment Subject Char"/>
    <w:basedOn w:val="CommentTextChar"/>
    <w:link w:val="CommentSubject"/>
    <w:uiPriority w:val="99"/>
    <w:semiHidden/>
    <w:rsid w:val="00B045A9"/>
    <w:rPr>
      <w:b/>
      <w:bCs/>
      <w:sz w:val="20"/>
      <w:szCs w:val="20"/>
    </w:rPr>
  </w:style>
  <w:style w:type="paragraph" w:styleId="NormalWeb">
    <w:name w:val="Normal (Web)"/>
    <w:basedOn w:val="Normal"/>
    <w:uiPriority w:val="99"/>
    <w:semiHidden/>
    <w:unhideWhenUsed/>
    <w:rsid w:val="00F25D7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24124">
      <w:bodyDiv w:val="1"/>
      <w:marLeft w:val="0"/>
      <w:marRight w:val="0"/>
      <w:marTop w:val="0"/>
      <w:marBottom w:val="0"/>
      <w:divBdr>
        <w:top w:val="none" w:sz="0" w:space="0" w:color="auto"/>
        <w:left w:val="none" w:sz="0" w:space="0" w:color="auto"/>
        <w:bottom w:val="none" w:sz="0" w:space="0" w:color="auto"/>
        <w:right w:val="none" w:sz="0" w:space="0" w:color="auto"/>
      </w:divBdr>
    </w:div>
    <w:div w:id="1600482667">
      <w:bodyDiv w:val="1"/>
      <w:marLeft w:val="0"/>
      <w:marRight w:val="0"/>
      <w:marTop w:val="0"/>
      <w:marBottom w:val="0"/>
      <w:divBdr>
        <w:top w:val="none" w:sz="0" w:space="0" w:color="auto"/>
        <w:left w:val="none" w:sz="0" w:space="0" w:color="auto"/>
        <w:bottom w:val="none" w:sz="0" w:space="0" w:color="auto"/>
        <w:right w:val="none" w:sz="0" w:space="0" w:color="auto"/>
      </w:divBdr>
    </w:div>
    <w:div w:id="1913543736">
      <w:bodyDiv w:val="1"/>
      <w:marLeft w:val="0"/>
      <w:marRight w:val="0"/>
      <w:marTop w:val="0"/>
      <w:marBottom w:val="0"/>
      <w:divBdr>
        <w:top w:val="none" w:sz="0" w:space="0" w:color="auto"/>
        <w:left w:val="none" w:sz="0" w:space="0" w:color="auto"/>
        <w:bottom w:val="none" w:sz="0" w:space="0" w:color="auto"/>
        <w:right w:val="none" w:sz="0" w:space="0" w:color="auto"/>
      </w:divBdr>
    </w:div>
    <w:div w:id="195841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34208-FD38-4FF4-87AA-BE956800A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3423</Words>
  <Characters>19515</Characters>
  <Application>Microsoft Office Word</Application>
  <DocSecurity>4</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veramos</dc:creator>
  <cp:keywords/>
  <dc:description/>
  <cp:lastModifiedBy>Camyl Moreno Pantojas</cp:lastModifiedBy>
  <cp:revision>2</cp:revision>
  <cp:lastPrinted>2026-04-30T17:09:00Z</cp:lastPrinted>
  <dcterms:created xsi:type="dcterms:W3CDTF">2026-05-04T18:45:00Z</dcterms:created>
  <dcterms:modified xsi:type="dcterms:W3CDTF">2026-05-04T18:45:00Z</dcterms:modified>
</cp:coreProperties>
</file>