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57E891C3"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PR"/>
        </w:rPr>
        <w:t>20</w:t>
      </w:r>
      <w:r w:rsidRPr="60AB98A7">
        <w:rPr>
          <w:rFonts w:ascii="Book Antiqua" w:eastAsia="Book Antiqua" w:hAnsi="Book Antiqua" w:cs="Book Antiqua"/>
          <w:color w:val="000000" w:themeColor="text1"/>
          <w:vertAlign w:val="superscript"/>
          <w:lang w:val="es-PR"/>
        </w:rPr>
        <w:t>ma.</w:t>
      </w:r>
      <w:r w:rsidRPr="00C7629C">
        <w:rPr>
          <w:lang w:val="es-PR"/>
        </w:rPr>
        <w:tab/>
      </w:r>
      <w:r w:rsidRPr="60AB98A7">
        <w:rPr>
          <w:rFonts w:ascii="Book Antiqua" w:eastAsia="Book Antiqua" w:hAnsi="Book Antiqua" w:cs="Book Antiqua"/>
          <w:color w:val="000000" w:themeColor="text1"/>
          <w:lang w:val="es-ES"/>
        </w:rPr>
        <w:t>Asamblea</w:t>
      </w:r>
      <w:r w:rsidRPr="00C7629C">
        <w:rPr>
          <w:lang w:val="es-PR"/>
        </w:rPr>
        <w:tab/>
      </w:r>
      <w:r w:rsidR="002B11F5">
        <w:rPr>
          <w:rFonts w:ascii="Book Antiqua" w:eastAsia="Book Antiqua" w:hAnsi="Book Antiqua" w:cs="Book Antiqua"/>
          <w:lang w:val="es-PR"/>
        </w:rPr>
        <w:t>3</w:t>
      </w:r>
      <w:proofErr w:type="spellStart"/>
      <w:r w:rsidR="002B11F5">
        <w:rPr>
          <w:rFonts w:ascii="Book Antiqua" w:eastAsia="Book Antiqua" w:hAnsi="Book Antiqua" w:cs="Book Antiqua"/>
          <w:color w:val="000000" w:themeColor="text1"/>
          <w:vertAlign w:val="superscript"/>
          <w:lang w:val="es-ES"/>
        </w:rPr>
        <w:t>r</w:t>
      </w:r>
      <w:r w:rsidR="00AF76D3" w:rsidRPr="60AB98A7">
        <w:rPr>
          <w:rFonts w:ascii="Book Antiqua" w:eastAsia="Book Antiqua" w:hAnsi="Book Antiqua" w:cs="Book Antiqua"/>
          <w:color w:val="000000" w:themeColor="text1"/>
          <w:vertAlign w:val="superscript"/>
          <w:lang w:val="es-ES"/>
        </w:rPr>
        <w:t>a</w:t>
      </w:r>
      <w:proofErr w:type="spellEnd"/>
      <w:r w:rsidRPr="60AB98A7">
        <w:rPr>
          <w:rFonts w:ascii="Book Antiqua" w:eastAsia="Book Antiqua" w:hAnsi="Book Antiqua" w:cs="Book Antiqua"/>
          <w:color w:val="000000" w:themeColor="text1"/>
          <w:vertAlign w:val="superscript"/>
          <w:lang w:val="es-ES"/>
        </w:rPr>
        <w:t>.</w:t>
      </w:r>
      <w:r w:rsidRPr="00C7629C">
        <w:rPr>
          <w:lang w:val="es-PR"/>
        </w:rPr>
        <w:tab/>
      </w:r>
      <w:r w:rsidRPr="60AB98A7">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759B1E99"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60AB98A7">
        <w:rPr>
          <w:rFonts w:ascii="Book Antiqua" w:eastAsia="Book Antiqua" w:hAnsi="Book Antiqua" w:cs="Book Antiqua"/>
          <w:b/>
          <w:bCs/>
          <w:color w:val="000000" w:themeColor="text1"/>
          <w:sz w:val="52"/>
          <w:szCs w:val="52"/>
          <w:lang w:val="es-US"/>
        </w:rPr>
        <w:t xml:space="preserve">R. de la C. </w:t>
      </w:r>
      <w:r w:rsidR="002B11F5">
        <w:rPr>
          <w:rFonts w:ascii="Book Antiqua" w:eastAsia="Book Antiqua" w:hAnsi="Book Antiqua" w:cs="Book Antiqua"/>
          <w:b/>
          <w:bCs/>
          <w:color w:val="000000" w:themeColor="text1"/>
          <w:sz w:val="52"/>
          <w:szCs w:val="52"/>
          <w:lang w:val="es-US"/>
        </w:rPr>
        <w:t>102</w:t>
      </w:r>
    </w:p>
    <w:p w14:paraId="654BEA48" w14:textId="1485F17A"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B11F5">
        <w:rPr>
          <w:rFonts w:ascii="Book Antiqua" w:eastAsia="Book Antiqua" w:hAnsi="Book Antiqua" w:cs="Book Antiqua"/>
          <w:b/>
          <w:bCs/>
          <w:color w:val="000000" w:themeColor="text1"/>
          <w:sz w:val="28"/>
          <w:szCs w:val="28"/>
          <w:lang w:val="es-US"/>
        </w:rPr>
        <w:t>PARCIAL</w:t>
      </w:r>
      <w:r w:rsidR="6340F0DD" w:rsidRPr="60AB98A7">
        <w:rPr>
          <w:rFonts w:ascii="Book Antiqua" w:eastAsia="Book Antiqua" w:hAnsi="Book Antiqua" w:cs="Book Antiqua"/>
          <w:b/>
          <w:bCs/>
          <w:color w:val="000000" w:themeColor="text1"/>
          <w:sz w:val="28"/>
          <w:szCs w:val="28"/>
          <w:lang w:val="es-US"/>
        </w:rPr>
        <w:t xml:space="preserve"> </w:t>
      </w:r>
    </w:p>
    <w:p w14:paraId="6201E0D2" w14:textId="046665F7" w:rsidR="00D21F6F" w:rsidRPr="00945C08" w:rsidRDefault="00B446DC"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26</w:t>
      </w:r>
      <w:r w:rsidR="0E4637C4" w:rsidRPr="60AB98A7">
        <w:rPr>
          <w:rFonts w:ascii="Book Antiqua" w:eastAsia="Book Antiqua" w:hAnsi="Book Antiqua" w:cs="Book Antiqua"/>
          <w:color w:val="000000" w:themeColor="text1"/>
          <w:sz w:val="24"/>
          <w:szCs w:val="24"/>
          <w:lang w:val="es-US"/>
        </w:rPr>
        <w:t xml:space="preserve"> de </w:t>
      </w:r>
      <w:r w:rsidR="002B11F5">
        <w:rPr>
          <w:rFonts w:ascii="Book Antiqua" w:eastAsia="Book Antiqua" w:hAnsi="Book Antiqua" w:cs="Book Antiqua"/>
          <w:color w:val="000000" w:themeColor="text1"/>
          <w:sz w:val="24"/>
          <w:szCs w:val="24"/>
          <w:lang w:val="es-US"/>
        </w:rPr>
        <w:t>enero</w:t>
      </w:r>
      <w:r w:rsidR="0E4637C4" w:rsidRPr="60AB98A7">
        <w:rPr>
          <w:rFonts w:ascii="Book Antiqua" w:eastAsia="Book Antiqua" w:hAnsi="Book Antiqua" w:cs="Book Antiqua"/>
          <w:color w:val="000000" w:themeColor="text1"/>
          <w:sz w:val="24"/>
          <w:szCs w:val="24"/>
          <w:lang w:val="es-US"/>
        </w:rPr>
        <w:t xml:space="preserve"> de 202</w:t>
      </w:r>
      <w:r w:rsidR="002B11F5">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7561C94C" w14:textId="40A3FBF4" w:rsidR="00B84008" w:rsidRPr="00784718" w:rsidRDefault="00784718" w:rsidP="00784718">
      <w:pPr>
        <w:spacing w:after="0" w:line="240" w:lineRule="auto"/>
        <w:ind w:firstLine="720"/>
        <w:jc w:val="both"/>
        <w:rPr>
          <w:rFonts w:ascii="Book Antiqua" w:eastAsia="Book Antiqua" w:hAnsi="Book Antiqua" w:cs="Book Antiqua"/>
          <w:color w:val="000000" w:themeColor="text1"/>
          <w:sz w:val="24"/>
          <w:szCs w:val="24"/>
          <w:lang w:val="es-US"/>
        </w:rPr>
      </w:pPr>
      <w:r w:rsidRPr="00784718">
        <w:rPr>
          <w:rFonts w:ascii="Book Antiqua" w:eastAsia="Book Antiqua" w:hAnsi="Book Antiqua" w:cs="Book Antiqua"/>
          <w:color w:val="000000" w:themeColor="text1"/>
          <w:sz w:val="24"/>
          <w:szCs w:val="24"/>
          <w:lang w:val="es-US"/>
        </w:rPr>
        <w:t>La Comisión de la Región Metro de la Cámara de Representantes de Puerto Rico, en cumplimiento de su responsabilidad de atender los asuntos que inciden directamente en el desarrollo, la seguridad y la calidad de vida de los municipios bajo su jurisdicción, somete el presente Informe Parcial, el cual recoge los hallazgos, conclusiones y recomendaciones producto de la investigación realizada.</w:t>
      </w:r>
    </w:p>
    <w:p w14:paraId="65A3AB6E" w14:textId="77777777" w:rsidR="00784718" w:rsidRPr="00C06313" w:rsidRDefault="0078471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30E0DAAE" w14:textId="3D1ABFBB" w:rsidR="0095525D" w:rsidRPr="002B11F5"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60AB98A7">
        <w:rPr>
          <w:rFonts w:ascii="Book Antiqua" w:eastAsia="Book Antiqua" w:hAnsi="Book Antiqua" w:cs="Book Antiqua"/>
          <w:color w:val="000000" w:themeColor="text1"/>
          <w:sz w:val="24"/>
          <w:szCs w:val="24"/>
          <w:lang w:val="es-ES"/>
        </w:rPr>
        <w:t>La Resolución de la Cámara</w:t>
      </w:r>
      <w:r w:rsidR="00971ACE" w:rsidRPr="60AB98A7">
        <w:rPr>
          <w:rFonts w:ascii="Book Antiqua" w:eastAsia="Book Antiqua" w:hAnsi="Book Antiqua" w:cs="Book Antiqua"/>
          <w:color w:val="000000" w:themeColor="text1"/>
          <w:sz w:val="24"/>
          <w:szCs w:val="24"/>
          <w:lang w:val="es-ES"/>
        </w:rPr>
        <w:t xml:space="preserve"> </w:t>
      </w:r>
      <w:r w:rsidR="002B11F5">
        <w:rPr>
          <w:rFonts w:ascii="Book Antiqua" w:eastAsia="Book Antiqua" w:hAnsi="Book Antiqua" w:cs="Book Antiqua"/>
          <w:color w:val="000000" w:themeColor="text1"/>
          <w:sz w:val="24"/>
          <w:szCs w:val="24"/>
          <w:lang w:val="es-ES"/>
        </w:rPr>
        <w:t>102</w:t>
      </w:r>
      <w:r w:rsidR="2AEFDE95" w:rsidRPr="60AB98A7">
        <w:rPr>
          <w:rFonts w:ascii="Book Antiqua" w:eastAsia="Book Antiqua" w:hAnsi="Book Antiqua" w:cs="Book Antiqua"/>
          <w:color w:val="000000" w:themeColor="text1"/>
          <w:sz w:val="24"/>
          <w:szCs w:val="24"/>
          <w:lang w:val="es-ES"/>
        </w:rPr>
        <w:t xml:space="preserve"> tiene el propósito de:</w:t>
      </w:r>
    </w:p>
    <w:p w14:paraId="1CA0BD54" w14:textId="5E8B57AE" w:rsidR="002B11F5" w:rsidRPr="002B11F5" w:rsidRDefault="002B11F5" w:rsidP="002B11F5">
      <w:pPr>
        <w:spacing w:before="240" w:after="240" w:line="240" w:lineRule="auto"/>
        <w:ind w:left="630" w:hanging="630"/>
        <w:jc w:val="both"/>
        <w:rPr>
          <w:rFonts w:ascii="Book Antiqua" w:eastAsia="Book Antiqua" w:hAnsi="Book Antiqua" w:cs="Book Antiqua"/>
          <w:b/>
          <w:bCs/>
          <w:i/>
          <w:iCs/>
          <w:sz w:val="24"/>
          <w:szCs w:val="24"/>
          <w:lang w:val="es-ES"/>
        </w:rPr>
      </w:pPr>
      <w:r w:rsidRPr="002B11F5">
        <w:rPr>
          <w:rFonts w:ascii="Book Antiqua" w:eastAsia="Book Antiqua" w:hAnsi="Book Antiqua" w:cs="Book Antiqua"/>
          <w:i/>
          <w:iCs/>
          <w:sz w:val="24"/>
          <w:szCs w:val="24"/>
          <w:lang w:val="es-US"/>
        </w:rPr>
        <w:t xml:space="preserve">Para ordenar a la Comisión de la Región Metro realizar una exhaustiva investigación sobre todo asunto relacionado con el desarrollo socioeconómico de los municipios de San Juan, Guaynabo, Aguas Buenas, Bayamón, Cataño, Carolina y Trujillo Alto; sobre todo asunto relacionado con los programas gubernamentales que inciden sobre los municipios bajo su jurisdicción; sobre los servicios que prestan esos gobiernos municipales a su ciudadanía; sobre todo asunto relacionado a la investigación y rendición de cuentas de todas las asignaciones de fondos estatales y federales asignados a las agencias, corporaciones públicas destinados a impactar directamente o que afectan a municipios bajo su jurisdicción; sobre cualquier otra entidad que reciba fondos públicos o incentivos, ya sean por fondos de asignaciones federales, mejoras municipales, transferencias intergubernamentales y asignaciones presupuestarias puntuales en su jurisdicción, ya sean para infraestructura, programas de bienestar social, iniciativas comunitarias, entre otras que impacten directamente a las poblaciones de los municipios bajo su jurisdicción; sobre la implementación de los programas según los objetivos para los que fueron asignados los fondos públicos; auditorías de desempeño realizadas a programas gubernamentales y municipales que impacten directamente a las poblaciones bajo su jurisdicción, que operan </w:t>
      </w:r>
      <w:r w:rsidRPr="002B11F5">
        <w:rPr>
          <w:rFonts w:ascii="Book Antiqua" w:eastAsia="Book Antiqua" w:hAnsi="Book Antiqua" w:cs="Book Antiqua"/>
          <w:i/>
          <w:iCs/>
          <w:sz w:val="24"/>
          <w:szCs w:val="24"/>
          <w:lang w:val="es-US"/>
        </w:rPr>
        <w:lastRenderedPageBreak/>
        <w:t>programas con fondos federales enfatizando en la investigación de campo y en la citación de los directivos regionales de las entidades que implementen dichos fondos; y para otros fines relacionados.</w:t>
      </w:r>
      <w:r w:rsidRPr="002B11F5">
        <w:rPr>
          <w:rFonts w:ascii="Book Antiqua" w:eastAsia="Book Antiqua" w:hAnsi="Book Antiqua" w:cs="Book Antiqua"/>
          <w:b/>
          <w:bCs/>
          <w:i/>
          <w:iCs/>
          <w:sz w:val="24"/>
          <w:szCs w:val="24"/>
          <w:lang w:val="es-ES"/>
        </w:rPr>
        <w:t xml:space="preserve"> </w:t>
      </w:r>
    </w:p>
    <w:p w14:paraId="2FEDACC1" w14:textId="0FA3DEA3"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60AB98A7">
        <w:rPr>
          <w:rFonts w:ascii="Book Antiqua" w:eastAsia="Book Antiqua" w:hAnsi="Book Antiqua" w:cs="Book Antiqua"/>
          <w:b/>
          <w:bCs/>
          <w:color w:val="000000" w:themeColor="text1"/>
          <w:sz w:val="24"/>
          <w:szCs w:val="24"/>
          <w:lang w:val="es-ES"/>
        </w:rPr>
        <w:t>ANÁLISIS DE LA MEDIDA</w:t>
      </w:r>
      <w:r w:rsidR="4EFC05C2" w:rsidRPr="60AB98A7">
        <w:rPr>
          <w:rFonts w:ascii="Book Antiqua" w:eastAsia="Book Antiqua" w:hAnsi="Book Antiqua" w:cs="Book Antiqua"/>
          <w:b/>
          <w:bCs/>
          <w:color w:val="000000" w:themeColor="text1"/>
          <w:sz w:val="24"/>
          <w:szCs w:val="24"/>
          <w:lang w:val="es-ES"/>
        </w:rPr>
        <w:t xml:space="preserve"> </w:t>
      </w:r>
    </w:p>
    <w:p w14:paraId="222B1457" w14:textId="7E1AA4A3" w:rsidR="002B11F5"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 xml:space="preserve">La Resolución de la Cámara 102 ordena a la Comisión de la Región </w:t>
      </w:r>
      <w:r>
        <w:rPr>
          <w:rFonts w:ascii="Book Antiqua" w:eastAsia="Book Antiqua" w:hAnsi="Book Antiqua" w:cs="Book Antiqua"/>
          <w:sz w:val="24"/>
          <w:szCs w:val="24"/>
          <w:lang w:val="es-US"/>
        </w:rPr>
        <w:t>Metro</w:t>
      </w:r>
      <w:r w:rsidRPr="002B11F5">
        <w:rPr>
          <w:rFonts w:ascii="Book Antiqua" w:eastAsia="Book Antiqua" w:hAnsi="Book Antiqua" w:cs="Book Antiqua"/>
          <w:sz w:val="24"/>
          <w:szCs w:val="24"/>
          <w:lang w:val="es-US"/>
        </w:rPr>
        <w:t xml:space="preserve"> de la Cámara de Representantes de Puerto Rico realizar una investigación amplia sobre los programas gubernamentales, servicios públicos, uso de fondos estatales y federales, y cualquier otro asunto que incida en el desarrollo socioeconómico de los municipios bajo su jurisdicción, a saber: San Juan, Guaynabo, Aguas Buenas, Bayamón, Cataño, Carolina y Trujillo Alto.</w:t>
      </w:r>
    </w:p>
    <w:p w14:paraId="0F14AC17" w14:textId="77777777" w:rsidR="002B11F5" w:rsidRPr="002B11F5" w:rsidRDefault="002B11F5" w:rsidP="002B11F5">
      <w:pPr>
        <w:spacing w:after="0"/>
        <w:ind w:firstLine="720"/>
        <w:jc w:val="both"/>
        <w:rPr>
          <w:rFonts w:ascii="Book Antiqua" w:eastAsia="Book Antiqua" w:hAnsi="Book Antiqua" w:cs="Book Antiqua"/>
          <w:sz w:val="24"/>
          <w:szCs w:val="24"/>
          <w:lang w:val="es-US"/>
        </w:rPr>
      </w:pPr>
    </w:p>
    <w:p w14:paraId="2A5174BB" w14:textId="3B37B638" w:rsidR="002B11F5" w:rsidRPr="00784718"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Si bien el alcance de la medida es amplio, la misma faculta expresamente a la Comisión a rendir informes parciales sobre asuntos específicos investigados, conforme dispone su Sección 4, permitiendo así atender situaciones particulares que ameriten atención legislativa inmediata y especializada.</w:t>
      </w:r>
    </w:p>
    <w:p w14:paraId="02B6AD47" w14:textId="77777777" w:rsidR="002B11F5" w:rsidRPr="002B11F5" w:rsidRDefault="002B11F5" w:rsidP="002B11F5">
      <w:pPr>
        <w:spacing w:after="0"/>
        <w:ind w:firstLine="720"/>
        <w:jc w:val="both"/>
        <w:rPr>
          <w:rFonts w:ascii="Book Antiqua" w:eastAsia="Book Antiqua" w:hAnsi="Book Antiqua" w:cs="Book Antiqua"/>
          <w:sz w:val="24"/>
          <w:szCs w:val="24"/>
          <w:lang w:val="es-US"/>
        </w:rPr>
      </w:pPr>
    </w:p>
    <w:p w14:paraId="6AE81ECA" w14:textId="187431D0" w:rsidR="002B11F5"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 xml:space="preserve">En cumplimiento con dicho mandato, la Comisión celebró una vista pública con el propósito de investigar la avería </w:t>
      </w:r>
      <w:r w:rsidRPr="00784718">
        <w:rPr>
          <w:rFonts w:ascii="Book Antiqua" w:eastAsia="Book Antiqua" w:hAnsi="Book Antiqua" w:cs="Book Antiqua"/>
          <w:sz w:val="24"/>
          <w:szCs w:val="24"/>
          <w:lang w:val="es-US"/>
        </w:rPr>
        <w:t>ocurrida e</w:t>
      </w:r>
      <w:r w:rsidRPr="002B11F5">
        <w:rPr>
          <w:rFonts w:ascii="Book Antiqua" w:eastAsia="Book Antiqua" w:hAnsi="Book Antiqua" w:cs="Book Antiqua"/>
          <w:sz w:val="24"/>
          <w:szCs w:val="24"/>
          <w:lang w:val="es-US"/>
        </w:rPr>
        <w:t>n el sistema de la Autoridad de Acueductos y Alcantarillados (AAA) que provocó la interrupción del servicio de agua potable a gran parte de la zona metropolitana por varios días consecutivos</w:t>
      </w:r>
      <w:r>
        <w:rPr>
          <w:rFonts w:ascii="Book Antiqua" w:eastAsia="Book Antiqua" w:hAnsi="Book Antiqua" w:cs="Book Antiqua"/>
          <w:sz w:val="24"/>
          <w:szCs w:val="24"/>
          <w:lang w:val="es-US"/>
        </w:rPr>
        <w:t xml:space="preserve"> durante el mes de octubre de 2025</w:t>
      </w:r>
      <w:r w:rsidRPr="002B11F5">
        <w:rPr>
          <w:rFonts w:ascii="Book Antiqua" w:eastAsia="Book Antiqua" w:hAnsi="Book Antiqua" w:cs="Book Antiqua"/>
          <w:sz w:val="24"/>
          <w:szCs w:val="24"/>
          <w:lang w:val="es-US"/>
        </w:rPr>
        <w:t>.</w:t>
      </w:r>
      <w:r>
        <w:rPr>
          <w:rFonts w:ascii="Book Antiqua" w:eastAsia="Book Antiqua" w:hAnsi="Book Antiqua" w:cs="Book Antiqua"/>
          <w:sz w:val="24"/>
          <w:szCs w:val="24"/>
          <w:lang w:val="es-US"/>
        </w:rPr>
        <w:t xml:space="preserve"> </w:t>
      </w:r>
      <w:r w:rsidRPr="002B11F5">
        <w:rPr>
          <w:rFonts w:ascii="Book Antiqua" w:eastAsia="Book Antiqua" w:hAnsi="Book Antiqua" w:cs="Book Antiqua"/>
          <w:sz w:val="24"/>
          <w:szCs w:val="24"/>
          <w:lang w:val="es-US"/>
        </w:rPr>
        <w:t xml:space="preserve"> Esta situación afectó directamente a miles de residentes, comercios, instituciones de salud y facilidades públicas, poniendo de manifiesto la vulnerabilidad de la infraestructura crítica en la región metro.</w:t>
      </w:r>
    </w:p>
    <w:p w14:paraId="52632491" w14:textId="77777777" w:rsidR="002B11F5" w:rsidRPr="002B11F5" w:rsidRDefault="002B11F5" w:rsidP="002B11F5">
      <w:pPr>
        <w:spacing w:after="0"/>
        <w:ind w:firstLine="720"/>
        <w:jc w:val="both"/>
        <w:rPr>
          <w:rFonts w:ascii="Book Antiqua" w:eastAsia="Book Antiqua" w:hAnsi="Book Antiqua" w:cs="Book Antiqua"/>
          <w:sz w:val="24"/>
          <w:szCs w:val="24"/>
          <w:lang w:val="es-US"/>
        </w:rPr>
      </w:pPr>
    </w:p>
    <w:p w14:paraId="7E2C98A2" w14:textId="77777777" w:rsidR="002B11F5"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 xml:space="preserve">Durante la vista pública, la Comisión expresó su interés en conocer de primera mano las causas que originaron la avería, la forma en que se manejó la emergencia, la coordinación </w:t>
      </w:r>
      <w:proofErr w:type="spellStart"/>
      <w:r w:rsidRPr="002B11F5">
        <w:rPr>
          <w:rFonts w:ascii="Book Antiqua" w:eastAsia="Book Antiqua" w:hAnsi="Book Antiqua" w:cs="Book Antiqua"/>
          <w:sz w:val="24"/>
          <w:szCs w:val="24"/>
          <w:lang w:val="es-US"/>
        </w:rPr>
        <w:t>interagencial</w:t>
      </w:r>
      <w:proofErr w:type="spellEnd"/>
      <w:r w:rsidRPr="002B11F5">
        <w:rPr>
          <w:rFonts w:ascii="Book Antiqua" w:eastAsia="Book Antiqua" w:hAnsi="Book Antiqua" w:cs="Book Antiqua"/>
          <w:sz w:val="24"/>
          <w:szCs w:val="24"/>
          <w:lang w:val="es-US"/>
        </w:rPr>
        <w:t xml:space="preserve"> y municipal, los costos asociados al evento, así como las medidas correctivas y preventivas adoptadas por la AAA para evitar que situaciones similares vuelvan a repetirse</w:t>
      </w:r>
      <w:r>
        <w:rPr>
          <w:rFonts w:ascii="Book Antiqua" w:eastAsia="Book Antiqua" w:hAnsi="Book Antiqua" w:cs="Book Antiqua"/>
          <w:sz w:val="24"/>
          <w:szCs w:val="24"/>
          <w:lang w:val="es-US"/>
        </w:rPr>
        <w:t xml:space="preserve">. </w:t>
      </w:r>
    </w:p>
    <w:p w14:paraId="63E39EE7" w14:textId="77777777" w:rsidR="002B11F5" w:rsidRDefault="002B11F5" w:rsidP="002B11F5">
      <w:pPr>
        <w:spacing w:after="0"/>
        <w:ind w:firstLine="720"/>
        <w:jc w:val="both"/>
        <w:rPr>
          <w:rFonts w:ascii="Book Antiqua" w:eastAsia="Book Antiqua" w:hAnsi="Book Antiqua" w:cs="Book Antiqua"/>
          <w:sz w:val="24"/>
          <w:szCs w:val="24"/>
          <w:lang w:val="es-US"/>
        </w:rPr>
      </w:pPr>
    </w:p>
    <w:p w14:paraId="00BF516A" w14:textId="1CBBFF35" w:rsidR="002B11F5" w:rsidRPr="002B11F5"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Para dichos fines, comparecieron ante la Comisión el Presidente Ejecutivo de la Autoridad de Acueductos y Alcantarillados y su Asesor Legal, quienes ofrecieron información técnica y administrativa relacionada con el evento, respondiendo a los planteamientos de los miembros de la Comisión y brindando explicaciones sobre la operación del sistema afectado y las acciones tomadas durante la emergencia</w:t>
      </w:r>
      <w:r>
        <w:rPr>
          <w:rFonts w:ascii="Book Antiqua" w:eastAsia="Book Antiqua" w:hAnsi="Book Antiqua" w:cs="Book Antiqua"/>
          <w:sz w:val="24"/>
          <w:szCs w:val="24"/>
          <w:lang w:val="es-US"/>
        </w:rPr>
        <w:t xml:space="preserve">. </w:t>
      </w:r>
    </w:p>
    <w:p w14:paraId="6471B5FF" w14:textId="77777777" w:rsidR="002B11F5" w:rsidRDefault="002B11F5" w:rsidP="002B11F5">
      <w:pPr>
        <w:spacing w:after="0"/>
        <w:ind w:firstLine="720"/>
        <w:jc w:val="both"/>
        <w:rPr>
          <w:rFonts w:ascii="Book Antiqua" w:eastAsia="Book Antiqua" w:hAnsi="Book Antiqua" w:cs="Book Antiqua"/>
          <w:sz w:val="24"/>
          <w:szCs w:val="24"/>
          <w:lang w:val="es-US"/>
        </w:rPr>
      </w:pPr>
    </w:p>
    <w:p w14:paraId="31386168" w14:textId="2E53EB2C" w:rsidR="002B11F5" w:rsidRPr="002B11F5" w:rsidRDefault="002B11F5" w:rsidP="002B11F5">
      <w:pPr>
        <w:spacing w:after="0"/>
        <w:ind w:firstLine="720"/>
        <w:jc w:val="both"/>
        <w:rPr>
          <w:rFonts w:ascii="Book Antiqua" w:eastAsia="Book Antiqua" w:hAnsi="Book Antiqua" w:cs="Book Antiqua"/>
          <w:sz w:val="24"/>
          <w:szCs w:val="24"/>
          <w:lang w:val="es-US"/>
        </w:rPr>
      </w:pPr>
      <w:r w:rsidRPr="002B11F5">
        <w:rPr>
          <w:rFonts w:ascii="Book Antiqua" w:eastAsia="Book Antiqua" w:hAnsi="Book Antiqua" w:cs="Book Antiqua"/>
          <w:sz w:val="24"/>
          <w:szCs w:val="24"/>
          <w:lang w:val="es-US"/>
        </w:rPr>
        <w:t xml:space="preserve">Este informe parcial se limita exclusivamente al análisis preliminar de la situación relacionada con la interrupción del servicio de agua potable en la región metropolitana, sin perjuicio de que la Comisión continúe investigando otros asuntos bajo el amplio mandato conferido por la Resolución de la Cámara 102. Los hallazgos aquí recogidos </w:t>
      </w:r>
      <w:r w:rsidRPr="002B11F5">
        <w:rPr>
          <w:rFonts w:ascii="Book Antiqua" w:eastAsia="Book Antiqua" w:hAnsi="Book Antiqua" w:cs="Book Antiqua"/>
          <w:sz w:val="24"/>
          <w:szCs w:val="24"/>
          <w:lang w:val="es-US"/>
        </w:rPr>
        <w:lastRenderedPageBreak/>
        <w:t>servirán de base para evaluar la necesidad de recomendaciones legislativas, administrativas o presupuestarias dirigidas a fortalecer la resiliencia de la infraestructura hídrica y mejorar la respuesta gubernamental ante emergencias que impacten servicios esenciales.</w:t>
      </w:r>
    </w:p>
    <w:p w14:paraId="651A0CAE" w14:textId="21577576" w:rsidR="60AB98A7" w:rsidRDefault="60AB98A7" w:rsidP="60AB98A7">
      <w:pPr>
        <w:spacing w:after="0"/>
        <w:ind w:firstLine="720"/>
        <w:jc w:val="both"/>
        <w:rPr>
          <w:rFonts w:ascii="Book Antiqua" w:eastAsia="Book Antiqua" w:hAnsi="Book Antiqua" w:cs="Book Antiqua"/>
          <w:sz w:val="24"/>
          <w:szCs w:val="24"/>
          <w:lang w:val="es-US"/>
        </w:rPr>
      </w:pPr>
    </w:p>
    <w:p w14:paraId="7C6BD04B" w14:textId="214EA244" w:rsidR="325CB5E2" w:rsidRDefault="325CB5E2" w:rsidP="60AB98A7">
      <w:pPr>
        <w:spacing w:after="0"/>
        <w:ind w:firstLine="720"/>
        <w:jc w:val="center"/>
        <w:rPr>
          <w:rFonts w:ascii="Book Antiqua" w:eastAsia="Book Antiqua" w:hAnsi="Book Antiqua" w:cs="Book Antiqua"/>
          <w:b/>
          <w:bCs/>
          <w:sz w:val="24"/>
          <w:szCs w:val="24"/>
          <w:lang w:val="es-PR"/>
        </w:rPr>
      </w:pPr>
      <w:r w:rsidRPr="60AB98A7">
        <w:rPr>
          <w:rFonts w:ascii="Book Antiqua" w:eastAsia="Book Antiqua" w:hAnsi="Book Antiqua" w:cs="Book Antiqua"/>
          <w:b/>
          <w:bCs/>
          <w:sz w:val="24"/>
          <w:szCs w:val="24"/>
          <w:lang w:val="es-PR"/>
        </w:rPr>
        <w:t>METODOLOGIA DE LA INVESTIGACION</w:t>
      </w:r>
    </w:p>
    <w:p w14:paraId="19CF5112" w14:textId="77777777" w:rsidR="00E84597" w:rsidRPr="00784718" w:rsidRDefault="00E84597" w:rsidP="00E84597">
      <w:pPr>
        <w:spacing w:before="240" w:after="24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Como parte de esta investigación, la Comisión celebró una vista pública con el propósito de examinar la interrupción del servicio de agua potable ocurrida recientemente en la región metropolitana, situación que afectó a múltiples municipios bajo su jurisdicción y que evidenció posibles deficiencias en la infraestructura crítica y en los protocolos de manejo de emergencias. Dicha vista pública permitió a la Comisión obtener información directa, técnica y administrativa sobre los hechos investigados</w:t>
      </w:r>
      <w:r w:rsidRPr="00784718">
        <w:rPr>
          <w:rFonts w:ascii="Book Antiqua" w:eastAsia="Book Antiqua" w:hAnsi="Book Antiqua" w:cs="Book Antiqua"/>
          <w:sz w:val="24"/>
          <w:szCs w:val="24"/>
          <w:lang w:val="es-US"/>
        </w:rPr>
        <w:t xml:space="preserve">. </w:t>
      </w:r>
    </w:p>
    <w:p w14:paraId="7EFDF667" w14:textId="77777777" w:rsidR="00E84597" w:rsidRPr="00784718" w:rsidRDefault="00E84597" w:rsidP="00E84597">
      <w:pPr>
        <w:spacing w:before="240" w:after="24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Para la celebración de la vista pública, la Comisión citó a funcionarios de la Autoridad de Acueductos y Alcantarillados de Puerto Rico (AAA), incluyendo a su Presidente Ejecutivo y a su Asesor Legal, quienes comparecieron ante este cuerpo legislativo para ofrecer ponencia, responder preguntas de los miembros de la Comisión y aclarar aspectos relacionados con las causas de la avería, la respuesta institucional, la coordinación </w:t>
      </w:r>
      <w:proofErr w:type="spellStart"/>
      <w:r w:rsidRPr="00E84597">
        <w:rPr>
          <w:rFonts w:ascii="Book Antiqua" w:eastAsia="Book Antiqua" w:hAnsi="Book Antiqua" w:cs="Book Antiqua"/>
          <w:sz w:val="24"/>
          <w:szCs w:val="24"/>
          <w:lang w:val="es-US"/>
        </w:rPr>
        <w:t>interagencial</w:t>
      </w:r>
      <w:proofErr w:type="spellEnd"/>
      <w:r w:rsidRPr="00E84597">
        <w:rPr>
          <w:rFonts w:ascii="Book Antiqua" w:eastAsia="Book Antiqua" w:hAnsi="Book Antiqua" w:cs="Book Antiqua"/>
          <w:sz w:val="24"/>
          <w:szCs w:val="24"/>
          <w:lang w:val="es-US"/>
        </w:rPr>
        <w:t xml:space="preserve"> y las acciones correctivas implementadas</w:t>
      </w:r>
      <w:r w:rsidRPr="00784718">
        <w:rPr>
          <w:rFonts w:ascii="Book Antiqua" w:eastAsia="Book Antiqua" w:hAnsi="Book Antiqua" w:cs="Book Antiqua"/>
          <w:sz w:val="24"/>
          <w:szCs w:val="24"/>
          <w:lang w:val="es-US"/>
        </w:rPr>
        <w:t xml:space="preserve">. </w:t>
      </w:r>
    </w:p>
    <w:p w14:paraId="2E66758F" w14:textId="047DA891" w:rsidR="00E33839" w:rsidRPr="00E84597" w:rsidRDefault="00E84597" w:rsidP="00E84597">
      <w:pPr>
        <w:spacing w:before="240" w:after="24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Asimismo, la Comisión evaluó la información suministrada durante la vista pública, así como los testimonios ofrecidos por los deponentes, como base para identificar posibles fallas estructurales, administrativas o de planificación que hayan incidido en la magnitud y duración de la interrupción del servicio. La información recopilada fue analizada a la luz del impacto directo que la situación tuvo sobre la ciudadanía, los municipios afectados y los servicios esenciales en la región metropolitana.</w:t>
      </w:r>
    </w:p>
    <w:p w14:paraId="703CFF0F" w14:textId="449E444A" w:rsidR="00E84597" w:rsidRPr="00E84597" w:rsidRDefault="0056397D" w:rsidP="00E84597">
      <w:pPr>
        <w:pStyle w:val="ListParagraph"/>
        <w:spacing w:before="240" w:after="240"/>
        <w:jc w:val="center"/>
        <w:rPr>
          <w:rFonts w:ascii="Book Antiqua" w:eastAsia="Book Antiqua" w:hAnsi="Book Antiqua" w:cs="Book Antiqua"/>
          <w:b/>
          <w:bCs/>
          <w:sz w:val="24"/>
          <w:szCs w:val="24"/>
          <w:lang w:val="es-PR"/>
        </w:rPr>
      </w:pPr>
      <w:r w:rsidRPr="00390A43">
        <w:rPr>
          <w:rFonts w:ascii="Book Antiqua" w:eastAsia="Book Antiqua" w:hAnsi="Book Antiqua" w:cs="Book Antiqua"/>
          <w:b/>
          <w:bCs/>
          <w:sz w:val="24"/>
          <w:szCs w:val="24"/>
          <w:lang w:val="es-PR"/>
        </w:rPr>
        <w:t>RESUMEN DE LA PONENCIA RECIBIDA</w:t>
      </w:r>
      <w:r w:rsidR="00E84597">
        <w:rPr>
          <w:rFonts w:ascii="Book Antiqua" w:eastAsia="Book Antiqua" w:hAnsi="Book Antiqua" w:cs="Book Antiqua"/>
          <w:b/>
          <w:bCs/>
          <w:sz w:val="24"/>
          <w:szCs w:val="24"/>
          <w:lang w:val="es-PR"/>
        </w:rPr>
        <w:t xml:space="preserve"> E INFORMACION RECOPILADA EN VISTA PUBLICA </w:t>
      </w:r>
    </w:p>
    <w:p w14:paraId="351623E5" w14:textId="4AFE25DF"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Como parte de los trabajos investigativos realizados al amparo de la Resolución de la Cámara 102, la Comisión de la Región Metropolitana celebró una vista pública el 17 de noviembre de 2025, con el propósito de recibir información relacionada con la avería ocurrida en la tubería de 72 pulgadas del </w:t>
      </w:r>
      <w:proofErr w:type="spellStart"/>
      <w:r w:rsidRPr="00E84597">
        <w:rPr>
          <w:rFonts w:ascii="Book Antiqua" w:eastAsia="Book Antiqua" w:hAnsi="Book Antiqua" w:cs="Book Antiqua"/>
          <w:sz w:val="24"/>
          <w:szCs w:val="24"/>
          <w:lang w:val="es-US"/>
        </w:rPr>
        <w:t>Superacueducto</w:t>
      </w:r>
      <w:proofErr w:type="spellEnd"/>
      <w:r w:rsidRPr="00E84597">
        <w:rPr>
          <w:rFonts w:ascii="Book Antiqua" w:eastAsia="Book Antiqua" w:hAnsi="Book Antiqua" w:cs="Book Antiqua"/>
          <w:sz w:val="24"/>
          <w:szCs w:val="24"/>
          <w:lang w:val="es-US"/>
        </w:rPr>
        <w:t>, localizada en el municipio de Manatí, la cual provocó la interrupción del servicio de agua potable a múltiples municipios de la región metropolitana.</w:t>
      </w:r>
    </w:p>
    <w:p w14:paraId="12DE2439" w14:textId="77777777"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En dicha vista pública compareció en representación de la Autoridad de Acueductos y Alcantarillados de Puerto Rico (AAA) el Ing. Luis Josué Ortiz Salgado, Vicepresidente de la AAA y Director de la Región Metro, quien realizó la lectura y explicación de la ponencia oficial sometida por la corporación pública. </w:t>
      </w:r>
    </w:p>
    <w:p w14:paraId="462D4F15" w14:textId="36CC913F"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lastRenderedPageBreak/>
        <w:t xml:space="preserve">Según expuesto por el deponente, la avería fue detectada tras informes iniciales de un salidero de agua en la carretera estatal PR-685, en el barrio Tierras Nuevas de Manatí. Luego de realizar muestreos y trabajos de campo, se confirmó que el origen del evento correspondía a una rotura en la tubería de 72 pulgadas del </w:t>
      </w:r>
      <w:proofErr w:type="spellStart"/>
      <w:r w:rsidRPr="00E84597">
        <w:rPr>
          <w:rFonts w:ascii="Book Antiqua" w:eastAsia="Book Antiqua" w:hAnsi="Book Antiqua" w:cs="Book Antiqua"/>
          <w:sz w:val="24"/>
          <w:szCs w:val="24"/>
          <w:lang w:val="es-US"/>
        </w:rPr>
        <w:t>Superacueducto</w:t>
      </w:r>
      <w:proofErr w:type="spellEnd"/>
      <w:r w:rsidRPr="00E84597">
        <w:rPr>
          <w:rFonts w:ascii="Book Antiqua" w:eastAsia="Book Antiqua" w:hAnsi="Book Antiqua" w:cs="Book Antiqua"/>
          <w:sz w:val="24"/>
          <w:szCs w:val="24"/>
          <w:lang w:val="es-US"/>
        </w:rPr>
        <w:t xml:space="preserve">. La AAA indicó que la causa de la avería respondió a una combinación de factores, incluyendo la antigüedad de la tubería —con más de veinticinco años de construcción—, condiciones relacionadas con trabajos previos en el área y variaciones en la presión del sistema. </w:t>
      </w:r>
    </w:p>
    <w:p w14:paraId="5FD73073" w14:textId="39FC8C48"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El deponente explicó que, una vez confirmada la avería, la AAA activó su protocolo de emergencia, lo que incluyó la convocatoria de equipos técnicos especializados, la coordinación con personal de distintas regiones operacionales, la movilización de brigadas de construcción y soldadura, así como la activación de mecanismos de comunicación con la Fortaleza, alcaldes, funcionarios electos y agencias pertinentes. Asimismo, se informó que se realizaron comunicados públicos y avisos a la ciudadanía para preparar a los abonados ante la interrupción del servicio. </w:t>
      </w:r>
    </w:p>
    <w:p w14:paraId="02D8FE12" w14:textId="77777777"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Durante la vista pública se informó que el cierre del sistema impactó inicialmente a aproximadamente 168,000 clientes, cifra que aumentó a cerca de 190,000 abonados al detenerse completamente la operación de la Planta de Filtración Dr. Antonio Santiago Vázquez, afectando municipios adicionales. No obstante, la AAA señaló que el restablecimiento del servicio ocurrió en un tiempo menor al originalmente proyectado, logrando que el agua llegara a ciertos sectores, incluyendo áreas del municipio de San Juan, con mayor rapidez de lo anticipado. </w:t>
      </w:r>
    </w:p>
    <w:p w14:paraId="10540A19" w14:textId="77777777"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En relación con las medidas de mitigación, el deponente indicó que se activaron oasis fijos y camiones cisterna, tanto de la AAA como de compañías privadas bajo contrato, en coordinación con los municipios afectados. Según la información suministrada, participaron decenas de compañías de acarreo y se movilizaron cientos de camiones durante el periodo de emergencia, utilizando </w:t>
      </w:r>
      <w:proofErr w:type="spellStart"/>
      <w:r w:rsidRPr="00E84597">
        <w:rPr>
          <w:rFonts w:ascii="Book Antiqua" w:eastAsia="Book Antiqua" w:hAnsi="Book Antiqua" w:cs="Book Antiqua"/>
          <w:sz w:val="24"/>
          <w:szCs w:val="24"/>
          <w:lang w:val="es-US"/>
        </w:rPr>
        <w:t>llenaderos</w:t>
      </w:r>
      <w:proofErr w:type="spellEnd"/>
      <w:r w:rsidRPr="00E84597">
        <w:rPr>
          <w:rFonts w:ascii="Book Antiqua" w:eastAsia="Book Antiqua" w:hAnsi="Book Antiqua" w:cs="Book Antiqua"/>
          <w:sz w:val="24"/>
          <w:szCs w:val="24"/>
          <w:lang w:val="es-US"/>
        </w:rPr>
        <w:t xml:space="preserve"> de distintas regiones de la Isla. Además, se estableció coordinación directa con hospitales, agencias gubernamentales, industrias, universidades y otros grandes clientes para atender sus necesidades durante la interrupción del servicio. </w:t>
      </w:r>
    </w:p>
    <w:p w14:paraId="535562E8" w14:textId="77777777" w:rsidR="00E84597" w:rsidRPr="00E84597"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t xml:space="preserve">Durante el turno de preguntas de los miembros de la Comisión, surgieron interrogantes relacionadas con la ausencia de mantenimiento preventivo directo a este tipo de tuberías, los costos totales de la reparación y de la emergencia, la posible incidencia de fluctuaciones eléctricas y la coordinación con LUMA Energy, así como la disponibilidad de informes escritos y datos específicos sobre el apoyo brindado por la Guardia Nacional y los municipios. En varios de estos asuntos, el deponente indicó que la información aún se encontraba en proceso de recopilación o que sería sometida posteriormente por escrito a la Comisión. </w:t>
      </w:r>
    </w:p>
    <w:p w14:paraId="3836E8EB" w14:textId="2026A2AE" w:rsidR="0025379B" w:rsidRDefault="00E84597" w:rsidP="00E84597">
      <w:pPr>
        <w:spacing w:before="240" w:after="240"/>
        <w:ind w:firstLine="720"/>
        <w:jc w:val="both"/>
        <w:rPr>
          <w:rFonts w:ascii="Book Antiqua" w:eastAsia="Book Antiqua" w:hAnsi="Book Antiqua" w:cs="Book Antiqua"/>
          <w:sz w:val="24"/>
          <w:szCs w:val="24"/>
          <w:lang w:val="es-US"/>
        </w:rPr>
      </w:pPr>
      <w:r w:rsidRPr="00E84597">
        <w:rPr>
          <w:rFonts w:ascii="Book Antiqua" w:eastAsia="Book Antiqua" w:hAnsi="Book Antiqua" w:cs="Book Antiqua"/>
          <w:sz w:val="24"/>
          <w:szCs w:val="24"/>
          <w:lang w:val="es-US"/>
        </w:rPr>
        <w:lastRenderedPageBreak/>
        <w:t>Asimismo, se discutieron proyectos futuros y en planificación por parte de la AAA, incluyendo iniciativas para la rehabilitación de plantas de filtración y el desarrollo de sistemas de monitoreo y sensores, así como la necesidad de continuar fortaleciendo los planes de emergencia existentes. Como resultado de la vista pública, la Comisión emitió varias órdenes formales a la AAA para la entrega de información adicional relacionada con costos, uso de camiones cisterna, mapas del sistema de distribución, estatus de proyectos y estudios técnicos vinculados a la avería investigada</w:t>
      </w:r>
      <w:r>
        <w:rPr>
          <w:rFonts w:ascii="Book Antiqua" w:eastAsia="Book Antiqua" w:hAnsi="Book Antiqua" w:cs="Book Antiqua"/>
          <w:sz w:val="24"/>
          <w:szCs w:val="24"/>
          <w:lang w:val="es-US"/>
        </w:rPr>
        <w:t xml:space="preserve">. </w:t>
      </w:r>
    </w:p>
    <w:p w14:paraId="0F620E62" w14:textId="4C8B6DE3" w:rsidR="00E84597" w:rsidRPr="00E84597" w:rsidRDefault="002013DA" w:rsidP="00E84597">
      <w:pPr>
        <w:spacing w:before="240" w:after="240"/>
        <w:ind w:firstLine="720"/>
        <w:jc w:val="both"/>
        <w:rPr>
          <w:rFonts w:ascii="Book Antiqua" w:eastAsia="Book Antiqua" w:hAnsi="Book Antiqua" w:cs="Book Antiqua"/>
          <w:sz w:val="24"/>
          <w:szCs w:val="24"/>
          <w:lang w:val="es-US"/>
        </w:rPr>
      </w:pPr>
      <w:r>
        <w:rPr>
          <w:rFonts w:ascii="Book Antiqua" w:eastAsia="Book Antiqua" w:hAnsi="Book Antiqua" w:cs="Book Antiqua"/>
          <w:sz w:val="24"/>
          <w:szCs w:val="24"/>
          <w:lang w:val="es-US"/>
        </w:rPr>
        <w:t>Así las cosas</w:t>
      </w:r>
      <w:r w:rsidRPr="002013DA">
        <w:rPr>
          <w:rFonts w:ascii="Book Antiqua" w:eastAsia="Book Antiqua" w:hAnsi="Book Antiqua" w:cs="Book Antiqua"/>
          <w:sz w:val="24"/>
          <w:szCs w:val="24"/>
          <w:lang w:val="es-US"/>
        </w:rPr>
        <w:t xml:space="preserve">, posterior a la celebración de la vista pública, la Comisión de la Región Metropolitana recibió requerimientos adicionales de información relacionados con la investigación de la avería del </w:t>
      </w:r>
      <w:proofErr w:type="spellStart"/>
      <w:r w:rsidRPr="002013DA">
        <w:rPr>
          <w:rFonts w:ascii="Book Antiqua" w:eastAsia="Book Antiqua" w:hAnsi="Book Antiqua" w:cs="Book Antiqua"/>
          <w:sz w:val="24"/>
          <w:szCs w:val="24"/>
          <w:lang w:val="es-US"/>
        </w:rPr>
        <w:t>Superacueducto</w:t>
      </w:r>
      <w:proofErr w:type="spellEnd"/>
      <w:r w:rsidRPr="002013DA">
        <w:rPr>
          <w:rFonts w:ascii="Book Antiqua" w:eastAsia="Book Antiqua" w:hAnsi="Book Antiqua" w:cs="Book Antiqua"/>
          <w:sz w:val="24"/>
          <w:szCs w:val="24"/>
          <w:lang w:val="es-US"/>
        </w:rPr>
        <w:t>. En respuesta a dichas solicitudes, la Autoridad de Acueductos y Alcantarillados de Puerto Rico sometió información complementaria que incluye, entre otros aspectos, documentación sobre los planes operacionales y de manejo de emergencias, informes técnicos de la avería con evidencia fotográfica, detalles sobre la logística de acarreo de camiones cisterna, información preliminar sobre la colaboración de los municipios, el costo estimado del evento de emergencia, así como el estatus y alcance de proyectos de mejoras y modernización del sistema, mapas de las áreas de servicio de las plantas de filtración en la región metropolitana y registros históricos de eventos similares. Asimismo, la AAA informó que parte de la información solicitada se encontraba en proceso de recopilación y que sería sometida posteriormente dentro del término concedido por la Comisión</w:t>
      </w:r>
      <w:r>
        <w:rPr>
          <w:rFonts w:ascii="Book Antiqua" w:eastAsia="Book Antiqua" w:hAnsi="Book Antiqua" w:cs="Book Antiqua"/>
          <w:sz w:val="24"/>
          <w:szCs w:val="24"/>
          <w:lang w:val="es-US"/>
        </w:rPr>
        <w:t xml:space="preserve">. </w:t>
      </w:r>
    </w:p>
    <w:p w14:paraId="72D57499" w14:textId="7B50CD3E" w:rsidR="003F566C" w:rsidRPr="00365325" w:rsidRDefault="3FAFE813" w:rsidP="00365325">
      <w:pPr>
        <w:pStyle w:val="ListParagraph"/>
        <w:spacing w:before="240" w:after="240"/>
        <w:jc w:val="center"/>
        <w:rPr>
          <w:rFonts w:ascii="Book Antiqua" w:eastAsia="Book Antiqua" w:hAnsi="Book Antiqua" w:cs="Book Antiqua"/>
          <w:b/>
          <w:bCs/>
          <w:sz w:val="24"/>
          <w:szCs w:val="24"/>
          <w:lang w:val="es-US"/>
        </w:rPr>
      </w:pPr>
      <w:r w:rsidRPr="60AB98A7">
        <w:rPr>
          <w:rFonts w:ascii="Book Antiqua" w:eastAsia="Book Antiqua" w:hAnsi="Book Antiqua" w:cs="Book Antiqua"/>
          <w:b/>
          <w:bCs/>
          <w:sz w:val="24"/>
          <w:szCs w:val="24"/>
          <w:lang w:val="es-US"/>
        </w:rPr>
        <w:t>HALLAZGOS, CONCLUSIONES Y RECOMENDACIONES</w:t>
      </w:r>
    </w:p>
    <w:p w14:paraId="57DC2A86" w14:textId="189A79EF"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 xml:space="preserve">Como resultado de la información presentada en vista pública, la ponencia sometida por la Autoridad de Acueductos y Alcantarillados de Puerto Rico (AAA) y la documentación adicional recibida, la Comisión de la Región Metro identificó varios aspectos relevantes relacionados con la avería ocurrida en la tubería de 72 pulgadas del </w:t>
      </w:r>
      <w:proofErr w:type="spellStart"/>
      <w:r w:rsidRPr="00365325">
        <w:rPr>
          <w:rFonts w:ascii="Book Antiqua" w:eastAsia="Book Antiqua" w:hAnsi="Book Antiqua" w:cs="Book Antiqua"/>
          <w:sz w:val="24"/>
          <w:szCs w:val="24"/>
          <w:lang w:val="es-US"/>
        </w:rPr>
        <w:t>Superacueducto</w:t>
      </w:r>
      <w:proofErr w:type="spellEnd"/>
      <w:r w:rsidRPr="00365325">
        <w:rPr>
          <w:rFonts w:ascii="Book Antiqua" w:eastAsia="Book Antiqua" w:hAnsi="Book Antiqua" w:cs="Book Antiqua"/>
          <w:sz w:val="24"/>
          <w:szCs w:val="24"/>
          <w:lang w:val="es-US"/>
        </w:rPr>
        <w:t xml:space="preserve">. Dicho evento puso de manifiesto la alta dependencia del sistema metropolitano de una infraestructura crítica cuya interrupción impacta de forma inmediata y significativa a múltiples municipios de la región. </w:t>
      </w:r>
    </w:p>
    <w:p w14:paraId="2A729180"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34582894"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La información recopilada demuestra que la AAA activó su plan de respuesta a emergencias, movilizando recursos técnicos y humanos, coordinando brigadas especializadas, contratistas, camiones cisterna y oasis fijos y móviles, así como estableciendo comunicación con municipios y agencias pertinentes. Estas acciones permitieron que el servicio fuera restablecido en un periodo menor al originalmente proyectado, lo que refleja capacidad operativa y experiencia técnica para atender eventos de gran escala. No obstante, la ejecución de dichas medidas también reveló áreas susceptibles de fortalecimiento, particularmente en los componentes de comunicación y distribución equitativa de recursos.</w:t>
      </w:r>
    </w:p>
    <w:p w14:paraId="555574F8"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35197DB3"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lastRenderedPageBreak/>
        <w:t>Durante el desarrollo de la emergencia, surgieron retos relacionados con la comunicación temprana, clara y uniforme hacia la ciudadanía. La ausencia de un canal oficial único desde el inicio del evento provocó que residentes y autoridades municipales dependieran de múltiples fuentes de información, algunas de ellas fragmentadas o inconsistentes, generando confusión sobre el estatus del sistema, los tiempos estimados de restablecimiento y la localización de recursos alternos de abasto. Este escenario evidenció que, en emergencias que afectan servicios esenciales, la comunicación pública constituye un componente tan crítico como la reparación de la infraestructura afectada.</w:t>
      </w:r>
    </w:p>
    <w:p w14:paraId="0B89CD80"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p>
    <w:p w14:paraId="2DF7FDE4" w14:textId="4A7527EF"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Asimismo, el análisis de la información suministrada reflejó que la distribución geográfica de camiones cisterna y oasis, aunque amplia en términos absolutos, no respondió de forma plenamente proporcional a factores como la densidad poblacional, la extensión territorial y la concentración de sectores vulnerables. En municipios como San Juan, se observó una concentración significativa de recursos en áreas específicas, como el Viejo San Juan, mientras que sectores densamente poblados como Puerto Nuevo contaron con una presencia más limitada de camiones cisterna, situación que debe ser evaluada a la luz de criterios objetivos de planificación y equidad en el acceso.</w:t>
      </w:r>
    </w:p>
    <w:p w14:paraId="6FA6BB44"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1DD3E0B5"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 xml:space="preserve">A la luz de estos elementos, la Comisión reconoce que la respuesta institucional de la AAA demostró capacidad técnica y movilización efectiva de recursos; sin embargo, también confirma que la efectividad integral de la respuesta gubernamental depende de una planificación más estratégica que incorpore, desde el primer momento, mecanismos de comunicación claros y criterios territoriales bien definidos para la distribución de recursos. La experiencia de este evento subraya la necesidad de fortalecer la coordinación </w:t>
      </w:r>
      <w:proofErr w:type="spellStart"/>
      <w:r w:rsidRPr="00365325">
        <w:rPr>
          <w:rFonts w:ascii="Book Antiqua" w:eastAsia="Book Antiqua" w:hAnsi="Book Antiqua" w:cs="Book Antiqua"/>
          <w:sz w:val="24"/>
          <w:szCs w:val="24"/>
          <w:lang w:val="es-US"/>
        </w:rPr>
        <w:t>interagencial</w:t>
      </w:r>
      <w:proofErr w:type="spellEnd"/>
      <w:r w:rsidRPr="00365325">
        <w:rPr>
          <w:rFonts w:ascii="Book Antiqua" w:eastAsia="Book Antiqua" w:hAnsi="Book Antiqua" w:cs="Book Antiqua"/>
          <w:sz w:val="24"/>
          <w:szCs w:val="24"/>
          <w:lang w:val="es-US"/>
        </w:rPr>
        <w:t xml:space="preserve"> y municipal, así como de ajustar los planes existentes para atender de manera más equitativa y transparente las necesidades de la población afectada.</w:t>
      </w:r>
    </w:p>
    <w:p w14:paraId="28977158"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6460412A"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En atención a lo anterior, la Comisión recomienda que la AAA establezca y active, desde el primer día de cualquier emergencia mayor, un canal de comunicación oficial, centralizado y accesible, que provea información continua, clara y verificable sobre el estatus del sistema, áreas impactadas, tiempos estimados de restablecimiento y ubicación de camiones cisterna y oasis. De igual forma, se recomienda fortalecer los mecanismos de comunicación directa con los municipios y sus Oficinas de Manejo de Emergencias, de modo que estos cuenten con información temprana y detallada que les permita apoyar eficazmente la atención de las comunidades y poblaciones vulnerables.</w:t>
      </w:r>
    </w:p>
    <w:p w14:paraId="49A59EE7"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5BB0D80D"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 xml:space="preserve">La Comisión recomienda además que la AAA revise y formalice criterios objetivos para la ubicación estratégica de camiones cisterna y oasis, tomando en consideración factores como densidad poblacional, accesibilidad, extensión territorial y demanda real de los distintos sectores. A tales efectos, resulta indispensable que se desarrollen y mantengan mapas e información georreferenciada de puntos estratégicos preidentificados para la distribución de agua en situaciones de emergencia, los cuales </w:t>
      </w:r>
      <w:r w:rsidRPr="00365325">
        <w:rPr>
          <w:rFonts w:ascii="Book Antiqua" w:eastAsia="Book Antiqua" w:hAnsi="Book Antiqua" w:cs="Book Antiqua"/>
          <w:sz w:val="24"/>
          <w:szCs w:val="24"/>
          <w:lang w:val="es-US"/>
        </w:rPr>
        <w:lastRenderedPageBreak/>
        <w:t>deberán ser compartidos oportunamente con esta Comisión para fines de evaluación y fiscalización legislativa.</w:t>
      </w:r>
    </w:p>
    <w:p w14:paraId="012E93C0"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2A5D44DD"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Finalmente, se recomienda que estas medidas sean incorporadas de manera expresa dentro de los planes operacionales y de manejo de emergencias de la AAA, de modo que la planificación logística, la comunicación pública y la coordinación municipal formen parte integral de la respuesta inicial ante futuras emergencias que afecten el suministro de agua potable en la región metropolitana.</w:t>
      </w:r>
    </w:p>
    <w:p w14:paraId="4CB6208A" w14:textId="77777777" w:rsidR="003F566C" w:rsidRPr="00365325" w:rsidRDefault="003F566C" w:rsidP="00F050A1">
      <w:pPr>
        <w:spacing w:after="0" w:line="240" w:lineRule="auto"/>
        <w:ind w:firstLine="720"/>
        <w:rPr>
          <w:rFonts w:ascii="Book Antiqua" w:eastAsia="Book Antiqua" w:hAnsi="Book Antiqua" w:cs="Book Antiqua"/>
          <w:b/>
          <w:bCs/>
          <w:sz w:val="24"/>
          <w:szCs w:val="24"/>
          <w:lang w:val="es-US"/>
        </w:rPr>
      </w:pPr>
    </w:p>
    <w:p w14:paraId="48CF0ED4" w14:textId="2B792B9C" w:rsidR="6B04861D" w:rsidRDefault="6B04861D" w:rsidP="60AB98A7">
      <w:pPr>
        <w:spacing w:after="0" w:line="240" w:lineRule="auto"/>
        <w:ind w:firstLine="720"/>
        <w:jc w:val="center"/>
        <w:rPr>
          <w:rFonts w:ascii="Book Antiqua" w:eastAsia="Book Antiqua" w:hAnsi="Book Antiqua" w:cs="Book Antiqua"/>
          <w:b/>
          <w:bCs/>
          <w:sz w:val="24"/>
          <w:szCs w:val="24"/>
          <w:lang w:val="es-US"/>
        </w:rPr>
      </w:pPr>
      <w:r w:rsidRPr="60AB98A7">
        <w:rPr>
          <w:rFonts w:ascii="Book Antiqua" w:eastAsia="Book Antiqua" w:hAnsi="Book Antiqua" w:cs="Book Antiqua"/>
          <w:b/>
          <w:bCs/>
          <w:sz w:val="24"/>
          <w:szCs w:val="24"/>
          <w:lang w:val="es-US"/>
        </w:rPr>
        <w:t xml:space="preserve">CONCLUSIONES FINALES </w:t>
      </w:r>
    </w:p>
    <w:p w14:paraId="36996B22" w14:textId="77777777" w:rsidR="003F566C" w:rsidRDefault="003F566C" w:rsidP="60AB98A7">
      <w:pPr>
        <w:spacing w:after="0" w:line="240" w:lineRule="auto"/>
        <w:ind w:firstLine="720"/>
        <w:jc w:val="center"/>
        <w:rPr>
          <w:rFonts w:ascii="Book Antiqua" w:eastAsia="Book Antiqua" w:hAnsi="Book Antiqua" w:cs="Book Antiqua"/>
          <w:b/>
          <w:bCs/>
          <w:sz w:val="24"/>
          <w:szCs w:val="24"/>
          <w:lang w:val="es-US"/>
        </w:rPr>
      </w:pPr>
    </w:p>
    <w:p w14:paraId="2C23E074"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 xml:space="preserve">La Comisión de la Región Metropolitana de la Cámara de Representantes de Puerto Rico concluye que la investigación parcial realizada en torno a la avería del </w:t>
      </w:r>
      <w:proofErr w:type="spellStart"/>
      <w:r w:rsidRPr="00365325">
        <w:rPr>
          <w:rFonts w:ascii="Book Antiqua" w:eastAsia="Book Antiqua" w:hAnsi="Book Antiqua" w:cs="Book Antiqua"/>
          <w:sz w:val="24"/>
          <w:szCs w:val="24"/>
          <w:lang w:val="es-US"/>
        </w:rPr>
        <w:t>Superacueducto</w:t>
      </w:r>
      <w:proofErr w:type="spellEnd"/>
      <w:r w:rsidRPr="00365325">
        <w:rPr>
          <w:rFonts w:ascii="Book Antiqua" w:eastAsia="Book Antiqua" w:hAnsi="Book Antiqua" w:cs="Book Antiqua"/>
          <w:sz w:val="24"/>
          <w:szCs w:val="24"/>
          <w:lang w:val="es-US"/>
        </w:rPr>
        <w:t xml:space="preserve"> permitió obtener información relevante, detallada y oportuna sobre la operación del sistema, la magnitud del evento y la respuesta institucional implementada por la Autoridad de Acueductos y Alcantarillados de Puerto Rico (AAA). La comparecencia de los funcionarios de la AAA ante esta Comisión contribuyó de manera significativa a clarificar aspectos técnicos, operacionales y administrativos relacionados con la emergencia, fortaleciendo el récord legislativo sobre un asunto de alto interés público.</w:t>
      </w:r>
    </w:p>
    <w:p w14:paraId="535DCC22"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77669096"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La Comisión reconoce que la AAA demostró capacidad técnica, compromiso institucional y diligencia operacional al atender una avería de gran complejidad que afectó a miles de residentes y múltiples municipios de la región metropolitana. La movilización de recursos humanos y técnicos, la activación de planes de emergencia y los esfuerzos realizados para restablecer el servicio de agua potable en un periodo menor al inicialmente proyectado evidencian una respuesta efectiva ante una situación crítica.</w:t>
      </w:r>
    </w:p>
    <w:p w14:paraId="05754091"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p>
    <w:p w14:paraId="34C5D184" w14:textId="0241469F"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De igual forma, esta Comisión desea reconocer a la Autoridad de Acueductos y Alcantarillados de Puerto Rico por la apertura, disposición y transparencia demostradas durante el proceso investigativo. La información suministrada, tanto en vista pública como mediante requerimientos adicionales, así como la disposición de sus funcionarios para responder preguntas y aclarar dudas, reflejan una actitud colaborativa que facilita la función fiscalizadora de este cuerpo legislativo y promueve la rendición de cuentas en beneficio del interés público.</w:t>
      </w:r>
    </w:p>
    <w:p w14:paraId="14F983D4"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24037492" w14:textId="77777777" w:rsid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t>La Comisión agradece formalmente la comparecencia de los representantes de la AAA ante esta Comisión, reconociendo que su participación activa permitió un análisis más completo y responsable de la situación investigada. Este ejercicio de diálogo interinstitucional fortalece la toma de decisiones informadas y contribuye al desarrollo de recomendaciones orientadas a mejorar la prestación de servicios esenciales a la ciudadanía.</w:t>
      </w:r>
    </w:p>
    <w:p w14:paraId="7D8B33E4"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p>
    <w:p w14:paraId="339BC0AF" w14:textId="77777777" w:rsidR="00365325" w:rsidRPr="00365325" w:rsidRDefault="00365325" w:rsidP="00365325">
      <w:pPr>
        <w:spacing w:after="0" w:line="240" w:lineRule="auto"/>
        <w:ind w:firstLine="720"/>
        <w:jc w:val="both"/>
        <w:rPr>
          <w:rFonts w:ascii="Book Antiqua" w:eastAsia="Book Antiqua" w:hAnsi="Book Antiqua" w:cs="Book Antiqua"/>
          <w:sz w:val="24"/>
          <w:szCs w:val="24"/>
          <w:lang w:val="es-US"/>
        </w:rPr>
      </w:pPr>
      <w:r w:rsidRPr="00365325">
        <w:rPr>
          <w:rFonts w:ascii="Book Antiqua" w:eastAsia="Book Antiqua" w:hAnsi="Book Antiqua" w:cs="Book Antiqua"/>
          <w:sz w:val="24"/>
          <w:szCs w:val="24"/>
          <w:lang w:val="es-US"/>
        </w:rPr>
        <w:lastRenderedPageBreak/>
        <w:t>Finalmente, la Comisión reitera su compromiso de continuar dando seguimiento a los asuntos relacionados con la infraestructura crítica y el suministro de agua potable en la región metropolitana, conforme al mandato conferido por la Resolución de la Cámara 102. Las conclusiones aquí expuestas servirán de base para futuras evaluaciones, acciones legislativas y esfuerzos colaborativos dirigidos a fortalecer la resiliencia del sistema y proteger el bienestar de las comunidades a las que sirve.</w:t>
      </w:r>
    </w:p>
    <w:p w14:paraId="2285D07C" w14:textId="77777777" w:rsidR="00D86239" w:rsidRPr="00AB3BAE" w:rsidRDefault="00D86239" w:rsidP="47B2C723">
      <w:pPr>
        <w:spacing w:after="0" w:line="240" w:lineRule="auto"/>
        <w:ind w:firstLine="720"/>
        <w:jc w:val="both"/>
        <w:rPr>
          <w:rFonts w:ascii="Book Antiqua" w:eastAsia="Book Antiqua" w:hAnsi="Book Antiqua" w:cs="Book Antiqua"/>
          <w:sz w:val="24"/>
          <w:szCs w:val="24"/>
          <w:lang w:val="es-US"/>
        </w:rPr>
      </w:pPr>
    </w:p>
    <w:p w14:paraId="25EC8531" w14:textId="1ACF5EF5" w:rsidR="5AA65BF5" w:rsidRDefault="5AA65BF5" w:rsidP="5EDC41F8">
      <w:pPr>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b/>
          <w:bCs/>
          <w:color w:val="000000" w:themeColor="text1"/>
          <w:sz w:val="24"/>
          <w:szCs w:val="24"/>
          <w:lang w:val="es-ES"/>
        </w:rPr>
        <w:t>POR TODO LO ANTES EXPUESTO</w:t>
      </w:r>
      <w:r w:rsidRPr="60AB98A7">
        <w:rPr>
          <w:rFonts w:ascii="Book Antiqua" w:eastAsia="Book Antiqua" w:hAnsi="Book Antiqua" w:cs="Book Antiqua"/>
          <w:color w:val="000000" w:themeColor="text1"/>
          <w:sz w:val="24"/>
          <w:szCs w:val="24"/>
          <w:lang w:val="es-ES"/>
        </w:rPr>
        <w:t>, l</w:t>
      </w:r>
      <w:r w:rsidRPr="60AB98A7">
        <w:rPr>
          <w:rFonts w:ascii="Book Antiqua" w:eastAsia="Book Antiqua" w:hAnsi="Book Antiqua" w:cs="Book Antiqua"/>
          <w:color w:val="000000" w:themeColor="text1"/>
          <w:sz w:val="24"/>
          <w:szCs w:val="24"/>
          <w:lang w:val="es-PR"/>
        </w:rPr>
        <w:t xml:space="preserve">a Comisión de </w:t>
      </w:r>
      <w:r w:rsidR="00365325">
        <w:rPr>
          <w:rFonts w:ascii="Book Antiqua" w:eastAsia="Book Antiqua" w:hAnsi="Book Antiqua" w:cs="Book Antiqua"/>
          <w:color w:val="000000" w:themeColor="text1"/>
          <w:sz w:val="24"/>
          <w:szCs w:val="24"/>
          <w:lang w:val="es-PR"/>
        </w:rPr>
        <w:t xml:space="preserve">Región Metro </w:t>
      </w:r>
      <w:r w:rsidRPr="60AB98A7">
        <w:rPr>
          <w:rFonts w:ascii="Book Antiqua" w:eastAsia="Book Antiqua" w:hAnsi="Book Antiqua" w:cs="Book Antiqua"/>
          <w:color w:val="000000" w:themeColor="text1"/>
          <w:sz w:val="24"/>
          <w:szCs w:val="24"/>
          <w:lang w:val="es-PR"/>
        </w:rPr>
        <w:t>de la Cámara de Representantes de Puerto Rico</w:t>
      </w:r>
      <w:r w:rsidRPr="60AB98A7">
        <w:rPr>
          <w:rFonts w:ascii="Book Antiqua" w:eastAsia="Book Antiqua" w:hAnsi="Book Antiqua" w:cs="Book Antiqua"/>
          <w:color w:val="000000" w:themeColor="text1"/>
          <w:sz w:val="24"/>
          <w:szCs w:val="24"/>
          <w:lang w:val="es-ES"/>
        </w:rPr>
        <w:t xml:space="preserve">, previo estudio y consideración, </w:t>
      </w:r>
      <w:r w:rsidR="429195FE" w:rsidRPr="60AB98A7">
        <w:rPr>
          <w:rFonts w:ascii="Book Antiqua" w:eastAsia="Book Antiqua" w:hAnsi="Book Antiqua" w:cs="Book Antiqua"/>
          <w:color w:val="000000" w:themeColor="text1"/>
          <w:sz w:val="24"/>
          <w:szCs w:val="24"/>
          <w:lang w:val="es-ES"/>
        </w:rPr>
        <w:t xml:space="preserve">tiene a bien someter el Informe </w:t>
      </w:r>
      <w:r w:rsidR="00365325">
        <w:rPr>
          <w:rFonts w:ascii="Book Antiqua" w:eastAsia="Book Antiqua" w:hAnsi="Book Antiqua" w:cs="Book Antiqua"/>
          <w:color w:val="000000" w:themeColor="text1"/>
          <w:sz w:val="24"/>
          <w:szCs w:val="24"/>
          <w:lang w:val="es-ES"/>
        </w:rPr>
        <w:t>Parcial</w:t>
      </w:r>
      <w:r w:rsidR="429195FE" w:rsidRPr="60AB98A7">
        <w:rPr>
          <w:rFonts w:ascii="Book Antiqua" w:eastAsia="Book Antiqua" w:hAnsi="Book Antiqua" w:cs="Book Antiqua"/>
          <w:color w:val="000000" w:themeColor="text1"/>
          <w:sz w:val="24"/>
          <w:szCs w:val="24"/>
          <w:lang w:val="es-ES"/>
        </w:rPr>
        <w:t xml:space="preserve"> de la R. de la C. </w:t>
      </w:r>
      <w:r w:rsidR="00365325">
        <w:rPr>
          <w:rFonts w:ascii="Book Antiqua" w:eastAsia="Book Antiqua" w:hAnsi="Book Antiqua" w:cs="Book Antiqua"/>
          <w:color w:val="000000" w:themeColor="text1"/>
          <w:sz w:val="24"/>
          <w:szCs w:val="24"/>
          <w:lang w:val="es-ES"/>
        </w:rPr>
        <w:t xml:space="preserve">102 </w:t>
      </w:r>
      <w:r w:rsidR="429195FE" w:rsidRPr="60AB98A7">
        <w:rPr>
          <w:rFonts w:ascii="Book Antiqua" w:eastAsia="Book Antiqua" w:hAnsi="Book Antiqua" w:cs="Book Antiqua"/>
          <w:color w:val="000000" w:themeColor="text1"/>
          <w:sz w:val="24"/>
          <w:szCs w:val="24"/>
          <w:lang w:val="es-ES"/>
        </w:rPr>
        <w:t xml:space="preserve">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6F380A3B" w14:textId="1D6BC4DC"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Comisión de </w:t>
      </w:r>
      <w:r w:rsidR="00365325">
        <w:rPr>
          <w:rFonts w:ascii="Book Antiqua" w:eastAsia="Book Antiqua" w:hAnsi="Book Antiqua" w:cs="Book Antiqua"/>
          <w:color w:val="000000" w:themeColor="text1"/>
          <w:sz w:val="24"/>
          <w:szCs w:val="24"/>
          <w:lang w:val="es-ES"/>
        </w:rPr>
        <w:t>Región Metro</w:t>
      </w:r>
    </w:p>
    <w:p w14:paraId="256541B5" w14:textId="7E35F8CE" w:rsidR="6FF13472" w:rsidRDefault="6FF13472" w:rsidP="60AB98A7">
      <w:pPr>
        <w:spacing w:after="0" w:line="240" w:lineRule="auto"/>
        <w:rPr>
          <w:rFonts w:ascii="Book Antiqua" w:eastAsia="Book Antiqua" w:hAnsi="Book Antiqua" w:cs="Book Antiqua"/>
          <w:sz w:val="24"/>
          <w:szCs w:val="24"/>
          <w:lang w:val="es-PR"/>
        </w:rPr>
      </w:pPr>
    </w:p>
    <w:sectPr w:rsidR="6FF13472" w:rsidSect="00784718">
      <w:headerReference w:type="default" r:id="rId8"/>
      <w:footerReference w:type="default" r:id="rId9"/>
      <w:pgSz w:w="12240" w:h="15840"/>
      <w:pgMar w:top="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919B0" w14:textId="77777777" w:rsidR="00B97CB6" w:rsidRDefault="00B97CB6" w:rsidP="002217BA">
      <w:pPr>
        <w:spacing w:after="0" w:line="240" w:lineRule="auto"/>
      </w:pPr>
      <w:r>
        <w:separator/>
      </w:r>
    </w:p>
  </w:endnote>
  <w:endnote w:type="continuationSeparator" w:id="0">
    <w:p w14:paraId="0B960662" w14:textId="77777777" w:rsidR="00B97CB6" w:rsidRDefault="00B97CB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4551F5D" w:rsidR="002217BA" w:rsidRPr="00C7629C" w:rsidRDefault="60AB98A7" w:rsidP="60AB98A7">
    <w:pPr>
      <w:pStyle w:val="Footer"/>
      <w:pBdr>
        <w:top w:val="single" w:sz="4" w:space="1" w:color="000000"/>
        <w:bottom w:val="single" w:sz="4" w:space="1" w:color="000000"/>
      </w:pBdr>
      <w:jc w:val="center"/>
      <w:rPr>
        <w:rFonts w:ascii="Book Antiqua" w:hAnsi="Book Antiqua"/>
        <w:smallCaps/>
        <w:sz w:val="16"/>
        <w:szCs w:val="16"/>
        <w:lang w:val="es-PR"/>
      </w:rPr>
    </w:pPr>
    <w:r w:rsidRPr="00C7629C">
      <w:rPr>
        <w:rFonts w:ascii="Book Antiqua" w:hAnsi="Book Antiqua"/>
        <w:smallCaps/>
        <w:sz w:val="16"/>
        <w:szCs w:val="16"/>
        <w:lang w:val="es-PR" w:eastAsia="es-PR"/>
      </w:rPr>
      <w:t xml:space="preserve">Informe </w:t>
    </w:r>
    <w:proofErr w:type="gramStart"/>
    <w:r w:rsidR="00365325">
      <w:rPr>
        <w:rFonts w:ascii="Book Antiqua" w:hAnsi="Book Antiqua"/>
        <w:smallCaps/>
        <w:sz w:val="16"/>
        <w:szCs w:val="16"/>
        <w:lang w:val="es-PR" w:eastAsia="es-PR"/>
      </w:rPr>
      <w:t xml:space="preserve">Parcial </w:t>
    </w:r>
    <w:r w:rsidRPr="00C7629C">
      <w:rPr>
        <w:rFonts w:ascii="Book Antiqua" w:hAnsi="Book Antiqua"/>
        <w:smallCaps/>
        <w:sz w:val="16"/>
        <w:szCs w:val="16"/>
        <w:lang w:val="es-PR" w:eastAsia="es-PR"/>
      </w:rPr>
      <w:t xml:space="preserve"> R.</w:t>
    </w:r>
    <w:proofErr w:type="gramEnd"/>
    <w:r w:rsidRPr="00C7629C">
      <w:rPr>
        <w:rFonts w:ascii="Book Antiqua" w:hAnsi="Book Antiqua"/>
        <w:smallCaps/>
        <w:sz w:val="16"/>
        <w:szCs w:val="16"/>
        <w:lang w:val="es-PR" w:eastAsia="es-PR"/>
      </w:rPr>
      <w:t xml:space="preserve"> de la C. </w:t>
    </w:r>
    <w:r w:rsidR="00365325">
      <w:rPr>
        <w:rFonts w:ascii="Book Antiqua" w:hAnsi="Book Antiqua"/>
        <w:smallCaps/>
        <w:sz w:val="16"/>
        <w:szCs w:val="16"/>
        <w:lang w:val="es-PR" w:eastAsia="es-PR"/>
      </w:rPr>
      <w:t>102</w:t>
    </w:r>
    <w:r w:rsidRPr="00C7629C">
      <w:rPr>
        <w:rFonts w:ascii="Book Antiqua" w:hAnsi="Book Antiqua"/>
        <w:smallCaps/>
        <w:sz w:val="16"/>
        <w:szCs w:val="16"/>
        <w:lang w:val="es-PR" w:eastAsia="es-PR"/>
      </w:rPr>
      <w:t xml:space="preserve">| Comisión de </w:t>
    </w:r>
    <w:r w:rsidR="00365325">
      <w:rPr>
        <w:rFonts w:ascii="Book Antiqua" w:hAnsi="Book Antiqua"/>
        <w:smallCaps/>
        <w:sz w:val="16"/>
        <w:szCs w:val="16"/>
        <w:lang w:val="es-PR" w:eastAsia="es-PR"/>
      </w:rPr>
      <w:t>Región Metro</w:t>
    </w:r>
    <w:r w:rsidRPr="00C7629C">
      <w:rPr>
        <w:rFonts w:ascii="Book Antiqua" w:hAnsi="Book Antiqua"/>
        <w:smallCaps/>
        <w:sz w:val="16"/>
        <w:szCs w:val="16"/>
        <w:lang w:val="es-PR" w:eastAsia="es-PR"/>
      </w:rPr>
      <w:t xml:space="preserve">|  </w:t>
    </w:r>
    <w:r w:rsidR="3C3F330B" w:rsidRPr="60AB98A7">
      <w:rPr>
        <w:rFonts w:ascii="Book Antiqua" w:hAnsi="Book Antiqua"/>
        <w:smallCaps/>
        <w:sz w:val="16"/>
        <w:szCs w:val="16"/>
      </w:rPr>
      <w:fldChar w:fldCharType="begin"/>
    </w:r>
    <w:r w:rsidR="3C3F330B" w:rsidRPr="60AB98A7">
      <w:rPr>
        <w:rFonts w:ascii="Book Antiqua" w:hAnsi="Book Antiqua"/>
        <w:smallCaps/>
        <w:sz w:val="16"/>
        <w:szCs w:val="16"/>
        <w:lang w:val="es-PR"/>
      </w:rPr>
      <w:instrText xml:space="preserve"> PAGE   \* MERGEFORMAT </w:instrText>
    </w:r>
    <w:r w:rsidR="3C3F330B" w:rsidRPr="60AB98A7">
      <w:rPr>
        <w:rFonts w:ascii="Book Antiqua" w:hAnsi="Book Antiqua"/>
        <w:smallCaps/>
        <w:sz w:val="16"/>
        <w:szCs w:val="16"/>
      </w:rPr>
      <w:fldChar w:fldCharType="separate"/>
    </w:r>
    <w:r w:rsidRPr="00C7629C">
      <w:rPr>
        <w:rFonts w:ascii="Book Antiqua" w:hAnsi="Book Antiqua"/>
        <w:smallCaps/>
        <w:sz w:val="16"/>
        <w:szCs w:val="16"/>
        <w:lang w:val="es-PR"/>
      </w:rPr>
      <w:t>3</w:t>
    </w:r>
    <w:r w:rsidR="3C3F330B" w:rsidRPr="60AB98A7">
      <w:rPr>
        <w:rFonts w:ascii="Book Antiqua" w:hAnsi="Book Antiqua"/>
        <w:smallCap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8FB0A" w14:textId="77777777" w:rsidR="00B97CB6" w:rsidRDefault="00B97CB6" w:rsidP="002217BA">
      <w:pPr>
        <w:spacing w:after="0" w:line="240" w:lineRule="auto"/>
      </w:pPr>
      <w:r>
        <w:separator/>
      </w:r>
    </w:p>
  </w:footnote>
  <w:footnote w:type="continuationSeparator" w:id="0">
    <w:p w14:paraId="55E7E88F" w14:textId="77777777" w:rsidR="00B97CB6" w:rsidRDefault="00B97CB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1"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3"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4"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6"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3"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4"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18"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19"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2"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6358019">
    <w:abstractNumId w:val="13"/>
  </w:num>
  <w:num w:numId="2" w16cid:durableId="1025248030">
    <w:abstractNumId w:val="18"/>
  </w:num>
  <w:num w:numId="3" w16cid:durableId="1883901063">
    <w:abstractNumId w:val="21"/>
  </w:num>
  <w:num w:numId="4" w16cid:durableId="37828396">
    <w:abstractNumId w:val="12"/>
  </w:num>
  <w:num w:numId="5" w16cid:durableId="1079641635">
    <w:abstractNumId w:val="17"/>
  </w:num>
  <w:num w:numId="6" w16cid:durableId="553732606">
    <w:abstractNumId w:val="3"/>
  </w:num>
  <w:num w:numId="7" w16cid:durableId="578715436">
    <w:abstractNumId w:val="0"/>
  </w:num>
  <w:num w:numId="8" w16cid:durableId="1615363827">
    <w:abstractNumId w:val="5"/>
  </w:num>
  <w:num w:numId="9" w16cid:durableId="252666089">
    <w:abstractNumId w:val="2"/>
  </w:num>
  <w:num w:numId="10" w16cid:durableId="1765228413">
    <w:abstractNumId w:val="8"/>
  </w:num>
  <w:num w:numId="11" w16cid:durableId="1017661359">
    <w:abstractNumId w:val="11"/>
  </w:num>
  <w:num w:numId="12" w16cid:durableId="2035307679">
    <w:abstractNumId w:val="14"/>
  </w:num>
  <w:num w:numId="13" w16cid:durableId="1614704334">
    <w:abstractNumId w:val="10"/>
  </w:num>
  <w:num w:numId="14" w16cid:durableId="693963319">
    <w:abstractNumId w:val="7"/>
  </w:num>
  <w:num w:numId="15" w16cid:durableId="1360815836">
    <w:abstractNumId w:val="15"/>
  </w:num>
  <w:num w:numId="16" w16cid:durableId="1066226203">
    <w:abstractNumId w:val="4"/>
  </w:num>
  <w:num w:numId="17" w16cid:durableId="445470389">
    <w:abstractNumId w:val="9"/>
  </w:num>
  <w:num w:numId="18" w16cid:durableId="1265772866">
    <w:abstractNumId w:val="16"/>
  </w:num>
  <w:num w:numId="19" w16cid:durableId="2077429261">
    <w:abstractNumId w:val="6"/>
  </w:num>
  <w:num w:numId="20" w16cid:durableId="1824420852">
    <w:abstractNumId w:val="19"/>
  </w:num>
  <w:num w:numId="21" w16cid:durableId="1432313780">
    <w:abstractNumId w:val="22"/>
  </w:num>
  <w:num w:numId="22" w16cid:durableId="424496197">
    <w:abstractNumId w:val="1"/>
  </w:num>
  <w:num w:numId="23" w16cid:durableId="556702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0C3306"/>
    <w:rsid w:val="001053A9"/>
    <w:rsid w:val="00105432"/>
    <w:rsid w:val="00106A99"/>
    <w:rsid w:val="0012207B"/>
    <w:rsid w:val="00130CB1"/>
    <w:rsid w:val="00132EA1"/>
    <w:rsid w:val="001475A0"/>
    <w:rsid w:val="001570ED"/>
    <w:rsid w:val="001579C5"/>
    <w:rsid w:val="00157FFD"/>
    <w:rsid w:val="00173B14"/>
    <w:rsid w:val="001A26FF"/>
    <w:rsid w:val="001C139B"/>
    <w:rsid w:val="001D1F1B"/>
    <w:rsid w:val="001D7062"/>
    <w:rsid w:val="001E558A"/>
    <w:rsid w:val="001E56E2"/>
    <w:rsid w:val="00200967"/>
    <w:rsid w:val="002013DA"/>
    <w:rsid w:val="00217E5B"/>
    <w:rsid w:val="002217BA"/>
    <w:rsid w:val="002262C6"/>
    <w:rsid w:val="00242247"/>
    <w:rsid w:val="002438BA"/>
    <w:rsid w:val="0025379B"/>
    <w:rsid w:val="002705BE"/>
    <w:rsid w:val="00271F8E"/>
    <w:rsid w:val="00274F27"/>
    <w:rsid w:val="002A2861"/>
    <w:rsid w:val="002A3090"/>
    <w:rsid w:val="002B02CF"/>
    <w:rsid w:val="002B11F5"/>
    <w:rsid w:val="002D4477"/>
    <w:rsid w:val="002D7732"/>
    <w:rsid w:val="002E7C87"/>
    <w:rsid w:val="003178E1"/>
    <w:rsid w:val="00365275"/>
    <w:rsid w:val="00365325"/>
    <w:rsid w:val="003663B0"/>
    <w:rsid w:val="003801CC"/>
    <w:rsid w:val="0038433A"/>
    <w:rsid w:val="00390A43"/>
    <w:rsid w:val="003A132E"/>
    <w:rsid w:val="003A6E5C"/>
    <w:rsid w:val="003C49E6"/>
    <w:rsid w:val="003C682D"/>
    <w:rsid w:val="003E5875"/>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4232"/>
    <w:rsid w:val="005F59A3"/>
    <w:rsid w:val="005F59FE"/>
    <w:rsid w:val="00600D0B"/>
    <w:rsid w:val="00606461"/>
    <w:rsid w:val="0060781D"/>
    <w:rsid w:val="00610533"/>
    <w:rsid w:val="006345BB"/>
    <w:rsid w:val="0063670F"/>
    <w:rsid w:val="00652E98"/>
    <w:rsid w:val="00657B19"/>
    <w:rsid w:val="006748E5"/>
    <w:rsid w:val="00681739"/>
    <w:rsid w:val="00681843"/>
    <w:rsid w:val="006A3FAA"/>
    <w:rsid w:val="006A4536"/>
    <w:rsid w:val="006A5414"/>
    <w:rsid w:val="006A701D"/>
    <w:rsid w:val="006A7F2F"/>
    <w:rsid w:val="006B54BB"/>
    <w:rsid w:val="006C082C"/>
    <w:rsid w:val="006C1EF8"/>
    <w:rsid w:val="00700385"/>
    <w:rsid w:val="0070345F"/>
    <w:rsid w:val="00706556"/>
    <w:rsid w:val="0071049F"/>
    <w:rsid w:val="00753238"/>
    <w:rsid w:val="007728D9"/>
    <w:rsid w:val="00777779"/>
    <w:rsid w:val="00784718"/>
    <w:rsid w:val="00785D10"/>
    <w:rsid w:val="007939DD"/>
    <w:rsid w:val="00794FA8"/>
    <w:rsid w:val="007C79D7"/>
    <w:rsid w:val="007F2465"/>
    <w:rsid w:val="00801D42"/>
    <w:rsid w:val="00806783"/>
    <w:rsid w:val="008510F9"/>
    <w:rsid w:val="00862A62"/>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20B0C"/>
    <w:rsid w:val="00B4056F"/>
    <w:rsid w:val="00B446DC"/>
    <w:rsid w:val="00B55C7F"/>
    <w:rsid w:val="00B56938"/>
    <w:rsid w:val="00B60AAF"/>
    <w:rsid w:val="00B706A3"/>
    <w:rsid w:val="00B745E1"/>
    <w:rsid w:val="00B75911"/>
    <w:rsid w:val="00B83661"/>
    <w:rsid w:val="00B84008"/>
    <w:rsid w:val="00B950C6"/>
    <w:rsid w:val="00B97CB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81AEF"/>
    <w:rsid w:val="00D85E2D"/>
    <w:rsid w:val="00D86239"/>
    <w:rsid w:val="00D94E98"/>
    <w:rsid w:val="00DA25B5"/>
    <w:rsid w:val="00DA424A"/>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8459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0FF571B"/>
    <w:rsid w:val="011BAA97"/>
    <w:rsid w:val="013CE001"/>
    <w:rsid w:val="015856E3"/>
    <w:rsid w:val="02447600"/>
    <w:rsid w:val="02B6E430"/>
    <w:rsid w:val="034CFDC5"/>
    <w:rsid w:val="03C4B0AD"/>
    <w:rsid w:val="03C5A055"/>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1617D5"/>
    <w:rsid w:val="0B3CC48B"/>
    <w:rsid w:val="0B9F6E07"/>
    <w:rsid w:val="0BBD6916"/>
    <w:rsid w:val="0BE93931"/>
    <w:rsid w:val="0C628C0D"/>
    <w:rsid w:val="0C7D1743"/>
    <w:rsid w:val="0CA06FE1"/>
    <w:rsid w:val="0CC17FE9"/>
    <w:rsid w:val="0CC9A28D"/>
    <w:rsid w:val="0CFF0C09"/>
    <w:rsid w:val="0D1B5A63"/>
    <w:rsid w:val="0D5E0153"/>
    <w:rsid w:val="0D74CA8F"/>
    <w:rsid w:val="0D9DC30D"/>
    <w:rsid w:val="0DA30C72"/>
    <w:rsid w:val="0DFDCF95"/>
    <w:rsid w:val="0E3196A5"/>
    <w:rsid w:val="0E4637C4"/>
    <w:rsid w:val="0E6916B6"/>
    <w:rsid w:val="0E877F1C"/>
    <w:rsid w:val="0EAAA94B"/>
    <w:rsid w:val="0EFC7200"/>
    <w:rsid w:val="0F03218A"/>
    <w:rsid w:val="0F1C4C2C"/>
    <w:rsid w:val="0FBD6745"/>
    <w:rsid w:val="0FD65BE4"/>
    <w:rsid w:val="10265151"/>
    <w:rsid w:val="106DBDCD"/>
    <w:rsid w:val="107185C0"/>
    <w:rsid w:val="10AADCF3"/>
    <w:rsid w:val="10B71E55"/>
    <w:rsid w:val="10C8DCF7"/>
    <w:rsid w:val="110DA5D7"/>
    <w:rsid w:val="1127C5A7"/>
    <w:rsid w:val="11DFB4A5"/>
    <w:rsid w:val="11E7B8C8"/>
    <w:rsid w:val="11F62930"/>
    <w:rsid w:val="11F83E7A"/>
    <w:rsid w:val="11FCBD3B"/>
    <w:rsid w:val="12160960"/>
    <w:rsid w:val="1226C29A"/>
    <w:rsid w:val="125B66D3"/>
    <w:rsid w:val="12A6ADAD"/>
    <w:rsid w:val="12B76EDD"/>
    <w:rsid w:val="13A6079A"/>
    <w:rsid w:val="13C7DE0E"/>
    <w:rsid w:val="13D839A9"/>
    <w:rsid w:val="14007B87"/>
    <w:rsid w:val="14397E65"/>
    <w:rsid w:val="14671FCB"/>
    <w:rsid w:val="14B4F5B5"/>
    <w:rsid w:val="1578A116"/>
    <w:rsid w:val="157CA0FA"/>
    <w:rsid w:val="15E49EB4"/>
    <w:rsid w:val="15F2DD9F"/>
    <w:rsid w:val="166B93A3"/>
    <w:rsid w:val="169EE01C"/>
    <w:rsid w:val="16F25C21"/>
    <w:rsid w:val="170EFBB6"/>
    <w:rsid w:val="172BA8AE"/>
    <w:rsid w:val="175F4735"/>
    <w:rsid w:val="177BEC83"/>
    <w:rsid w:val="17848876"/>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D8E106"/>
    <w:rsid w:val="1B456265"/>
    <w:rsid w:val="1BA2B19B"/>
    <w:rsid w:val="1BA903C0"/>
    <w:rsid w:val="1BC0F9E4"/>
    <w:rsid w:val="1BE27DEC"/>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42556C"/>
    <w:rsid w:val="21444478"/>
    <w:rsid w:val="2156F733"/>
    <w:rsid w:val="2165C785"/>
    <w:rsid w:val="218CF4EE"/>
    <w:rsid w:val="21C69DAD"/>
    <w:rsid w:val="226F9D00"/>
    <w:rsid w:val="22908C98"/>
    <w:rsid w:val="22A6DFBC"/>
    <w:rsid w:val="22CAFFF4"/>
    <w:rsid w:val="231443D0"/>
    <w:rsid w:val="2352B3A1"/>
    <w:rsid w:val="235409E1"/>
    <w:rsid w:val="2366A448"/>
    <w:rsid w:val="23DE8884"/>
    <w:rsid w:val="245F9E07"/>
    <w:rsid w:val="251B7F9B"/>
    <w:rsid w:val="254B6096"/>
    <w:rsid w:val="2568663B"/>
    <w:rsid w:val="257FD5A3"/>
    <w:rsid w:val="25B578F3"/>
    <w:rsid w:val="25CDACF7"/>
    <w:rsid w:val="25D3E40C"/>
    <w:rsid w:val="25E2FE34"/>
    <w:rsid w:val="25E93340"/>
    <w:rsid w:val="260E2F1A"/>
    <w:rsid w:val="2616C2F7"/>
    <w:rsid w:val="268212CC"/>
    <w:rsid w:val="268EF85E"/>
    <w:rsid w:val="26A5FD3D"/>
    <w:rsid w:val="26F9C957"/>
    <w:rsid w:val="270858E6"/>
    <w:rsid w:val="2732C53E"/>
    <w:rsid w:val="27429B21"/>
    <w:rsid w:val="2744AB3B"/>
    <w:rsid w:val="27576F6A"/>
    <w:rsid w:val="2769189C"/>
    <w:rsid w:val="277DC55C"/>
    <w:rsid w:val="277FDD90"/>
    <w:rsid w:val="283EA8CE"/>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BDFCBF7"/>
    <w:rsid w:val="2C0C28DE"/>
    <w:rsid w:val="2C187E11"/>
    <w:rsid w:val="2C5AE9CE"/>
    <w:rsid w:val="2C6C7CF9"/>
    <w:rsid w:val="2C99B4FA"/>
    <w:rsid w:val="2CE0BACF"/>
    <w:rsid w:val="2CF2A690"/>
    <w:rsid w:val="2D0DB5C2"/>
    <w:rsid w:val="2D40D935"/>
    <w:rsid w:val="2D4EC098"/>
    <w:rsid w:val="2DA53E1F"/>
    <w:rsid w:val="2DB654BF"/>
    <w:rsid w:val="2DC1D6A8"/>
    <w:rsid w:val="2DDEBE7B"/>
    <w:rsid w:val="2E16434C"/>
    <w:rsid w:val="2E93BED0"/>
    <w:rsid w:val="2EAAD08C"/>
    <w:rsid w:val="2F060C24"/>
    <w:rsid w:val="2F3AE852"/>
    <w:rsid w:val="2F629732"/>
    <w:rsid w:val="2F7C3246"/>
    <w:rsid w:val="2FEA878D"/>
    <w:rsid w:val="301EAE11"/>
    <w:rsid w:val="304FE358"/>
    <w:rsid w:val="30625ABF"/>
    <w:rsid w:val="30748036"/>
    <w:rsid w:val="309486B1"/>
    <w:rsid w:val="30CDCC27"/>
    <w:rsid w:val="317125E1"/>
    <w:rsid w:val="317CC9EF"/>
    <w:rsid w:val="318677B8"/>
    <w:rsid w:val="318810D8"/>
    <w:rsid w:val="31A6838E"/>
    <w:rsid w:val="31AAEABD"/>
    <w:rsid w:val="31CE0BF7"/>
    <w:rsid w:val="31E3C424"/>
    <w:rsid w:val="31F1164F"/>
    <w:rsid w:val="322C54F1"/>
    <w:rsid w:val="3243BBA7"/>
    <w:rsid w:val="324DB745"/>
    <w:rsid w:val="325CB5E2"/>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406EC0"/>
    <w:rsid w:val="38435342"/>
    <w:rsid w:val="3852720D"/>
    <w:rsid w:val="38CE8F6B"/>
    <w:rsid w:val="38F5590F"/>
    <w:rsid w:val="38F75B28"/>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9525E2"/>
    <w:rsid w:val="3FAFE813"/>
    <w:rsid w:val="3FD3750A"/>
    <w:rsid w:val="3FD3C005"/>
    <w:rsid w:val="3FD54383"/>
    <w:rsid w:val="3FDB8723"/>
    <w:rsid w:val="3FDF74A5"/>
    <w:rsid w:val="3FE59A2E"/>
    <w:rsid w:val="400BEE9C"/>
    <w:rsid w:val="402484DA"/>
    <w:rsid w:val="40721190"/>
    <w:rsid w:val="410CBC40"/>
    <w:rsid w:val="415340F6"/>
    <w:rsid w:val="41A669DB"/>
    <w:rsid w:val="422B48E3"/>
    <w:rsid w:val="423A3A65"/>
    <w:rsid w:val="42704D99"/>
    <w:rsid w:val="429195FE"/>
    <w:rsid w:val="42CC4036"/>
    <w:rsid w:val="42FD330A"/>
    <w:rsid w:val="430DF873"/>
    <w:rsid w:val="4363F2C2"/>
    <w:rsid w:val="436FBBC7"/>
    <w:rsid w:val="45032EB7"/>
    <w:rsid w:val="450929BA"/>
    <w:rsid w:val="4514BBCD"/>
    <w:rsid w:val="4581F709"/>
    <w:rsid w:val="45FEC7A1"/>
    <w:rsid w:val="45FF30C2"/>
    <w:rsid w:val="46017C86"/>
    <w:rsid w:val="4608A30B"/>
    <w:rsid w:val="465C2352"/>
    <w:rsid w:val="469A3787"/>
    <w:rsid w:val="46F665C6"/>
    <w:rsid w:val="470BD2C0"/>
    <w:rsid w:val="472BEC80"/>
    <w:rsid w:val="473B2049"/>
    <w:rsid w:val="4798FCF3"/>
    <w:rsid w:val="47B2C723"/>
    <w:rsid w:val="47CAA443"/>
    <w:rsid w:val="47DE214B"/>
    <w:rsid w:val="4814438D"/>
    <w:rsid w:val="484368B1"/>
    <w:rsid w:val="487D87F1"/>
    <w:rsid w:val="488C7342"/>
    <w:rsid w:val="4891C8A8"/>
    <w:rsid w:val="489BEC5D"/>
    <w:rsid w:val="4904BF08"/>
    <w:rsid w:val="49283211"/>
    <w:rsid w:val="495E8B23"/>
    <w:rsid w:val="4A2B8946"/>
    <w:rsid w:val="4A72C771"/>
    <w:rsid w:val="4AB3B5D8"/>
    <w:rsid w:val="4AE00000"/>
    <w:rsid w:val="4B189145"/>
    <w:rsid w:val="4B638507"/>
    <w:rsid w:val="4B7102D6"/>
    <w:rsid w:val="4B8327FA"/>
    <w:rsid w:val="4C5BA3F5"/>
    <w:rsid w:val="4CB0DD1C"/>
    <w:rsid w:val="4D42DA9E"/>
    <w:rsid w:val="4D65BD8D"/>
    <w:rsid w:val="4D69A417"/>
    <w:rsid w:val="4D8EE8AA"/>
    <w:rsid w:val="4D914873"/>
    <w:rsid w:val="4D9EBFCD"/>
    <w:rsid w:val="4D9F2866"/>
    <w:rsid w:val="4DA00F8A"/>
    <w:rsid w:val="4DACC506"/>
    <w:rsid w:val="4DDAC732"/>
    <w:rsid w:val="4DEC1779"/>
    <w:rsid w:val="4E1C9E11"/>
    <w:rsid w:val="4E866279"/>
    <w:rsid w:val="4EFC05C2"/>
    <w:rsid w:val="4F134215"/>
    <w:rsid w:val="4F15E865"/>
    <w:rsid w:val="4F1C02A0"/>
    <w:rsid w:val="4F570235"/>
    <w:rsid w:val="4F9952FD"/>
    <w:rsid w:val="4FC3534C"/>
    <w:rsid w:val="4FEC038C"/>
    <w:rsid w:val="5008AA88"/>
    <w:rsid w:val="50A81DC3"/>
    <w:rsid w:val="50B97493"/>
    <w:rsid w:val="51498ACB"/>
    <w:rsid w:val="5162C36A"/>
    <w:rsid w:val="51883FA2"/>
    <w:rsid w:val="51950401"/>
    <w:rsid w:val="51A79CFD"/>
    <w:rsid w:val="5201CF97"/>
    <w:rsid w:val="5215195A"/>
    <w:rsid w:val="521DA05B"/>
    <w:rsid w:val="525C522A"/>
    <w:rsid w:val="5295A2B2"/>
    <w:rsid w:val="52D23866"/>
    <w:rsid w:val="52FBB41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AC41BB"/>
    <w:rsid w:val="54C17038"/>
    <w:rsid w:val="54F894CA"/>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052737"/>
    <w:rsid w:val="59642F1D"/>
    <w:rsid w:val="59BDF066"/>
    <w:rsid w:val="5A19665C"/>
    <w:rsid w:val="5AA65BF5"/>
    <w:rsid w:val="5AE15010"/>
    <w:rsid w:val="5B0FF988"/>
    <w:rsid w:val="5B30958F"/>
    <w:rsid w:val="5B848157"/>
    <w:rsid w:val="5BCAAFFD"/>
    <w:rsid w:val="5C064D0D"/>
    <w:rsid w:val="5C10F2F3"/>
    <w:rsid w:val="5C1464BC"/>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60235716"/>
    <w:rsid w:val="603EFD50"/>
    <w:rsid w:val="607709E0"/>
    <w:rsid w:val="607FF08A"/>
    <w:rsid w:val="60AB98A7"/>
    <w:rsid w:val="60DFD998"/>
    <w:rsid w:val="60E08BD1"/>
    <w:rsid w:val="612D53D5"/>
    <w:rsid w:val="614BDB29"/>
    <w:rsid w:val="61F27890"/>
    <w:rsid w:val="61F81E59"/>
    <w:rsid w:val="62243A20"/>
    <w:rsid w:val="6245C5E8"/>
    <w:rsid w:val="629E0A11"/>
    <w:rsid w:val="62BA876E"/>
    <w:rsid w:val="62CFDC95"/>
    <w:rsid w:val="6303C9CA"/>
    <w:rsid w:val="6340F0DD"/>
    <w:rsid w:val="6376C0DC"/>
    <w:rsid w:val="6384FF44"/>
    <w:rsid w:val="64211C30"/>
    <w:rsid w:val="64347793"/>
    <w:rsid w:val="64723E72"/>
    <w:rsid w:val="648800F8"/>
    <w:rsid w:val="649371A3"/>
    <w:rsid w:val="64A3CA24"/>
    <w:rsid w:val="64E6D5D3"/>
    <w:rsid w:val="652FB1DD"/>
    <w:rsid w:val="65435439"/>
    <w:rsid w:val="662CECD3"/>
    <w:rsid w:val="66BC3BCA"/>
    <w:rsid w:val="66F676C0"/>
    <w:rsid w:val="672575A7"/>
    <w:rsid w:val="6738E4B1"/>
    <w:rsid w:val="679C725F"/>
    <w:rsid w:val="67A97ED7"/>
    <w:rsid w:val="67B149A8"/>
    <w:rsid w:val="68158FD0"/>
    <w:rsid w:val="682FB0CC"/>
    <w:rsid w:val="688FA620"/>
    <w:rsid w:val="69A4A9D4"/>
    <w:rsid w:val="69B16CE6"/>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F65677"/>
    <w:rsid w:val="6C0E5F36"/>
    <w:rsid w:val="6C2571E6"/>
    <w:rsid w:val="6C64A149"/>
    <w:rsid w:val="6CA50344"/>
    <w:rsid w:val="6CB73689"/>
    <w:rsid w:val="6CD24CC6"/>
    <w:rsid w:val="6CE0DB60"/>
    <w:rsid w:val="6DA764A9"/>
    <w:rsid w:val="6DD714CD"/>
    <w:rsid w:val="6DD99E28"/>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BCD953"/>
    <w:rsid w:val="70F3B0B6"/>
    <w:rsid w:val="717779C3"/>
    <w:rsid w:val="717A5565"/>
    <w:rsid w:val="71AA601B"/>
    <w:rsid w:val="71B5276D"/>
    <w:rsid w:val="72394CB3"/>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B32237"/>
    <w:rsid w:val="78DB36EE"/>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642557">
      <w:bodyDiv w:val="1"/>
      <w:marLeft w:val="0"/>
      <w:marRight w:val="0"/>
      <w:marTop w:val="0"/>
      <w:marBottom w:val="0"/>
      <w:divBdr>
        <w:top w:val="none" w:sz="0" w:space="0" w:color="auto"/>
        <w:left w:val="none" w:sz="0" w:space="0" w:color="auto"/>
        <w:bottom w:val="none" w:sz="0" w:space="0" w:color="auto"/>
        <w:right w:val="none" w:sz="0" w:space="0" w:color="auto"/>
      </w:divBdr>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32242029">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652949004">
      <w:bodyDiv w:val="1"/>
      <w:marLeft w:val="0"/>
      <w:marRight w:val="0"/>
      <w:marTop w:val="0"/>
      <w:marBottom w:val="0"/>
      <w:divBdr>
        <w:top w:val="none" w:sz="0" w:space="0" w:color="auto"/>
        <w:left w:val="none" w:sz="0" w:space="0" w:color="auto"/>
        <w:bottom w:val="none" w:sz="0" w:space="0" w:color="auto"/>
        <w:right w:val="none" w:sz="0" w:space="0" w:color="auto"/>
      </w:divBdr>
    </w:div>
    <w:div w:id="736168579">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890187927">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2368991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324353152">
      <w:bodyDiv w:val="1"/>
      <w:marLeft w:val="0"/>
      <w:marRight w:val="0"/>
      <w:marTop w:val="0"/>
      <w:marBottom w:val="0"/>
      <w:divBdr>
        <w:top w:val="none" w:sz="0" w:space="0" w:color="auto"/>
        <w:left w:val="none" w:sz="0" w:space="0" w:color="auto"/>
        <w:bottom w:val="none" w:sz="0" w:space="0" w:color="auto"/>
        <w:right w:val="none" w:sz="0" w:space="0" w:color="auto"/>
      </w:divBdr>
    </w:div>
    <w:div w:id="138787628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615794606">
      <w:bodyDiv w:val="1"/>
      <w:marLeft w:val="0"/>
      <w:marRight w:val="0"/>
      <w:marTop w:val="0"/>
      <w:marBottom w:val="0"/>
      <w:divBdr>
        <w:top w:val="none" w:sz="0" w:space="0" w:color="auto"/>
        <w:left w:val="none" w:sz="0" w:space="0" w:color="auto"/>
        <w:bottom w:val="none" w:sz="0" w:space="0" w:color="auto"/>
        <w:right w:val="none" w:sz="0" w:space="0" w:color="auto"/>
      </w:divBdr>
    </w:div>
    <w:div w:id="16653584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2916</Words>
  <Characters>17092</Characters>
  <Application>Microsoft Office Word</Application>
  <DocSecurity>0</DocSecurity>
  <Lines>299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Victor E. Vélez Cucuta</cp:lastModifiedBy>
  <cp:revision>2</cp:revision>
  <cp:lastPrinted>2026-01-26T12:35:00Z</cp:lastPrinted>
  <dcterms:created xsi:type="dcterms:W3CDTF">2026-01-26T18:43:00Z</dcterms:created>
  <dcterms:modified xsi:type="dcterms:W3CDTF">2026-01-26T18:43:00Z</dcterms:modified>
</cp:coreProperties>
</file>