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19E876B3"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7E6F6E">
        <w:rPr>
          <w:rFonts w:ascii="Book Antiqua" w:eastAsia="Book Antiqua" w:hAnsi="Book Antiqua" w:cs="Book Antiqua"/>
        </w:rPr>
        <w:t>3</w:t>
      </w:r>
      <w:r w:rsidR="007E6F6E">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112318F1" w:rsidR="003867AC" w:rsidRPr="00700566" w:rsidRDefault="003649B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747FD2">
        <w:rPr>
          <w:rFonts w:ascii="Book Antiqua" w:eastAsia="Book Antiqua" w:hAnsi="Book Antiqua" w:cs="Book Antiqua"/>
          <w:b/>
          <w:sz w:val="52"/>
          <w:szCs w:val="52"/>
        </w:rPr>
        <w:t xml:space="preserve">. </w:t>
      </w:r>
      <w:r w:rsidR="0085373F" w:rsidRPr="00700566">
        <w:rPr>
          <w:rFonts w:ascii="Book Antiqua" w:eastAsia="Book Antiqua" w:hAnsi="Book Antiqua" w:cs="Book Antiqua"/>
          <w:b/>
          <w:sz w:val="52"/>
          <w:szCs w:val="52"/>
        </w:rPr>
        <w:t>de la</w:t>
      </w:r>
      <w:r w:rsidR="004A35A7">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w:t>
      </w:r>
      <w:r w:rsidR="00AE1C17">
        <w:rPr>
          <w:rFonts w:ascii="Book Antiqua" w:eastAsia="Book Antiqua" w:hAnsi="Book Antiqua" w:cs="Book Antiqua"/>
          <w:b/>
          <w:sz w:val="52"/>
          <w:szCs w:val="52"/>
        </w:rPr>
        <w:t>278</w:t>
      </w:r>
    </w:p>
    <w:p w14:paraId="00000008" w14:textId="0CCE079F"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3649BC">
        <w:rPr>
          <w:rFonts w:ascii="Book Antiqua" w:eastAsia="Book Antiqua" w:hAnsi="Book Antiqua" w:cs="Book Antiqua"/>
          <w:b/>
          <w:sz w:val="28"/>
          <w:szCs w:val="28"/>
        </w:rPr>
        <w:t>NEGATIVO</w:t>
      </w:r>
    </w:p>
    <w:p w14:paraId="00000009" w14:textId="09C31C02" w:rsidR="003867AC" w:rsidRPr="00700566" w:rsidRDefault="003C2799">
      <w:pPr>
        <w:spacing w:line="360" w:lineRule="auto"/>
        <w:jc w:val="center"/>
        <w:rPr>
          <w:rFonts w:ascii="Book Antiqua" w:eastAsia="Book Antiqua" w:hAnsi="Book Antiqua" w:cs="Book Antiqua"/>
          <w:b/>
        </w:rPr>
      </w:pPr>
      <w:r>
        <w:rPr>
          <w:rFonts w:ascii="Book Antiqua" w:eastAsia="Book Antiqua" w:hAnsi="Book Antiqua" w:cs="Book Antiqua"/>
        </w:rPr>
        <w:t>9</w:t>
      </w:r>
      <w:r w:rsidR="0085373F" w:rsidRPr="00700566">
        <w:rPr>
          <w:rFonts w:ascii="Book Antiqua" w:eastAsia="Book Antiqua" w:hAnsi="Book Antiqua" w:cs="Book Antiqua"/>
        </w:rPr>
        <w:t xml:space="preserve"> de </w:t>
      </w:r>
      <w:r w:rsidR="007E6F6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5F62FD2B"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3649BC">
        <w:rPr>
          <w:rFonts w:ascii="Book Antiqua" w:eastAsia="Book Antiqua" w:hAnsi="Book Antiqua" w:cs="Book Antiqua"/>
        </w:rPr>
        <w:t>P</w:t>
      </w:r>
      <w:r w:rsidR="00747FD2">
        <w:rPr>
          <w:rFonts w:ascii="Book Antiqua" w:eastAsia="Book Antiqua" w:hAnsi="Book Antiqua" w:cs="Book Antiqua"/>
        </w:rPr>
        <w:t>.</w:t>
      </w:r>
      <w:r w:rsidRPr="00700566">
        <w:rPr>
          <w:rFonts w:ascii="Book Antiqua" w:eastAsia="Book Antiqua" w:hAnsi="Book Antiqua" w:cs="Book Antiqua"/>
        </w:rPr>
        <w:t xml:space="preserve"> de la </w:t>
      </w:r>
      <w:r w:rsidR="004A35A7">
        <w:rPr>
          <w:rFonts w:ascii="Book Antiqua" w:eastAsia="Book Antiqua" w:hAnsi="Book Antiqua" w:cs="Book Antiqua"/>
        </w:rPr>
        <w:t>C</w:t>
      </w:r>
      <w:r w:rsidRPr="00700566">
        <w:rPr>
          <w:rFonts w:ascii="Book Antiqua" w:eastAsia="Book Antiqua" w:hAnsi="Book Antiqua" w:cs="Book Antiqua"/>
        </w:rPr>
        <w:t xml:space="preserve">. </w:t>
      </w:r>
      <w:r w:rsidR="00C87206">
        <w:rPr>
          <w:rFonts w:ascii="Book Antiqua" w:eastAsia="Book Antiqua" w:hAnsi="Book Antiqua" w:cs="Book Antiqua"/>
        </w:rPr>
        <w:t>Núm.</w:t>
      </w:r>
      <w:r w:rsidR="00747FD2">
        <w:rPr>
          <w:rFonts w:ascii="Book Antiqua" w:eastAsia="Book Antiqua" w:hAnsi="Book Antiqua" w:cs="Book Antiqua"/>
        </w:rPr>
        <w:t xml:space="preserve"> </w:t>
      </w:r>
      <w:r w:rsidR="00AE1C17">
        <w:rPr>
          <w:rFonts w:ascii="Book Antiqua" w:eastAsia="Book Antiqua" w:hAnsi="Book Antiqua" w:cs="Book Antiqua"/>
        </w:rPr>
        <w:t>278</w:t>
      </w:r>
      <w:r w:rsidRPr="00700566">
        <w:rPr>
          <w:rFonts w:ascii="Book Antiqua" w:eastAsia="Book Antiqua" w:hAnsi="Book Antiqua" w:cs="Book Antiqua"/>
        </w:rPr>
        <w:t>,</w:t>
      </w:r>
      <w:r w:rsidR="00747FD2">
        <w:rPr>
          <w:rFonts w:ascii="Book Antiqua" w:eastAsia="Book Antiqua" w:hAnsi="Book Antiqua" w:cs="Book Antiqua"/>
        </w:rPr>
        <w:t xml:space="preserve"> </w:t>
      </w:r>
      <w:r w:rsidRPr="00700566">
        <w:rPr>
          <w:rFonts w:ascii="Book Antiqua" w:eastAsia="Book Antiqua" w:hAnsi="Book Antiqua" w:cs="Book Antiqua"/>
        </w:rPr>
        <w:t xml:space="preserve">tiene a bien </w:t>
      </w:r>
      <w:r w:rsidR="003649BC">
        <w:rPr>
          <w:rFonts w:ascii="Book Antiqua" w:eastAsia="Book Antiqua" w:hAnsi="Book Antiqua" w:cs="Book Antiqua"/>
        </w:rPr>
        <w:t>someter</w:t>
      </w:r>
      <w:r w:rsidRPr="00700566">
        <w:rPr>
          <w:rFonts w:ascii="Book Antiqua" w:eastAsia="Book Antiqua" w:hAnsi="Book Antiqua" w:cs="Book Antiqua"/>
        </w:rPr>
        <w:t xml:space="preserve"> a este Alto Cuerpo </w:t>
      </w:r>
      <w:r w:rsidR="003649BC">
        <w:rPr>
          <w:rFonts w:ascii="Book Antiqua" w:eastAsia="Book Antiqua" w:hAnsi="Book Antiqua" w:cs="Book Antiqua"/>
        </w:rPr>
        <w:t>su informe negativo de la medida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6AA9453A" w14:textId="3E6161D2" w:rsidR="00744008" w:rsidRDefault="00744008" w:rsidP="00744008">
      <w:pPr>
        <w:ind w:firstLine="720"/>
        <w:jc w:val="both"/>
        <w:rPr>
          <w:rFonts w:ascii="Book Antiqua" w:eastAsia="Book Antiqua" w:hAnsi="Book Antiqua" w:cs="Book Antiqua"/>
          <w:szCs w:val="24"/>
          <w:lang w:val="es-419"/>
        </w:rPr>
      </w:pPr>
      <w:bookmarkStart w:id="0" w:name="_heading=h.gjdgxs" w:colFirst="0" w:colLast="0"/>
      <w:bookmarkEnd w:id="0"/>
      <w:r w:rsidRPr="00744008">
        <w:rPr>
          <w:rFonts w:ascii="Book Antiqua" w:eastAsia="Book Antiqua" w:hAnsi="Book Antiqua" w:cs="Book Antiqua"/>
          <w:szCs w:val="24"/>
        </w:rPr>
        <w:t xml:space="preserve">El Proyecto de la Cámara </w:t>
      </w:r>
      <w:r w:rsidR="00E15339">
        <w:rPr>
          <w:rFonts w:ascii="Book Antiqua" w:eastAsia="Book Antiqua" w:hAnsi="Book Antiqua" w:cs="Book Antiqua"/>
          <w:szCs w:val="24"/>
        </w:rPr>
        <w:t>278</w:t>
      </w:r>
      <w:r w:rsidRPr="00744008">
        <w:rPr>
          <w:rFonts w:ascii="Book Antiqua" w:eastAsia="Book Antiqua" w:hAnsi="Book Antiqua" w:cs="Book Antiqua"/>
          <w:szCs w:val="24"/>
        </w:rPr>
        <w:t xml:space="preserve"> propone</w:t>
      </w:r>
      <w:r w:rsidR="00D64D19">
        <w:rPr>
          <w:rFonts w:ascii="Book Antiqua" w:eastAsia="Book Antiqua" w:hAnsi="Book Antiqua" w:cs="Book Antiqua"/>
          <w:szCs w:val="24"/>
        </w:rPr>
        <w:t xml:space="preserve"> </w:t>
      </w:r>
      <w:r w:rsidR="00D64D19" w:rsidRPr="00D64D19">
        <w:rPr>
          <w:rFonts w:ascii="Book Antiqua" w:eastAsia="Book Antiqua" w:hAnsi="Book Antiqua" w:cs="Book Antiqua"/>
          <w:szCs w:val="24"/>
        </w:rPr>
        <w:t>enmendar los Artículos 1, 2, 3, 4, 5, 6, 7 y 8; insertar nuevos Artículos 7 y 8; reenumerar los Artículos 6, 7, 8, 9 y 10 como los Artículos 9, 6, 10, 11 y 12 de la Ley 240-2011, según enmendada, conocida como la “Ley de la Autoridad del Puerto de Ponce”, a los fines de transferir a dicha Autoridad las funciones, objetivos, deberes, facultades, derechos y prerrogativas de la Autoridad de los Puertos de Puerto Rico en torno al Aeropuerto Internacional Mercedita; crear comités asesores permanentes en la Autoridad del Puerto de Ponce</w:t>
      </w:r>
      <w:r w:rsidRPr="00744008">
        <w:rPr>
          <w:rFonts w:ascii="Book Antiqua" w:eastAsia="Book Antiqua" w:hAnsi="Book Antiqua" w:cs="Book Antiqua"/>
          <w:szCs w:val="24"/>
        </w:rPr>
        <w:t>.</w:t>
      </w:r>
    </w:p>
    <w:p w14:paraId="595A925D" w14:textId="77777777" w:rsidR="00744008" w:rsidRPr="00744008" w:rsidRDefault="00744008" w:rsidP="00744008">
      <w:pPr>
        <w:ind w:firstLine="720"/>
        <w:jc w:val="both"/>
        <w:rPr>
          <w:rFonts w:ascii="Book Antiqua" w:eastAsia="Book Antiqua" w:hAnsi="Book Antiqua" w:cs="Book Antiqua"/>
          <w:szCs w:val="24"/>
          <w:lang w:val="es-419"/>
        </w:rPr>
      </w:pPr>
    </w:p>
    <w:p w14:paraId="2E8CB5AB" w14:textId="29B496BB" w:rsidR="00472C8D" w:rsidRPr="00472C8D" w:rsidRDefault="00472C8D" w:rsidP="00472C8D">
      <w:pPr>
        <w:ind w:firstLine="720"/>
        <w:jc w:val="both"/>
        <w:rPr>
          <w:rFonts w:ascii="Book Antiqua" w:eastAsia="Book Antiqua" w:hAnsi="Book Antiqua" w:cs="Book Antiqua"/>
          <w:szCs w:val="24"/>
          <w:lang w:val="es-PR"/>
        </w:rPr>
      </w:pPr>
      <w:r w:rsidRPr="00472C8D">
        <w:rPr>
          <w:rFonts w:ascii="Book Antiqua" w:eastAsia="Book Antiqua" w:hAnsi="Book Antiqua" w:cs="Book Antiqua"/>
          <w:szCs w:val="24"/>
          <w:lang w:val="es-PR"/>
        </w:rPr>
        <w:t>El proyecto señala que Puerto Rico enfrenta una crisis económica y fiscal que ha afectado tanto al gobierno central como a los municipios, agravada por la eliminación de incentivos contributivos, la aplicación de la Ley PROMESA y la anulación de la Ley 29 de 2019, que devolvió a los municipios cargas administrativas significativas.</w:t>
      </w:r>
      <w:r>
        <w:rPr>
          <w:rFonts w:ascii="Book Antiqua" w:eastAsia="Book Antiqua" w:hAnsi="Book Antiqua" w:cs="Book Antiqua"/>
          <w:szCs w:val="24"/>
          <w:lang w:val="es-PR"/>
        </w:rPr>
        <w:t xml:space="preserve"> </w:t>
      </w:r>
      <w:r w:rsidRPr="00472C8D">
        <w:rPr>
          <w:rFonts w:ascii="Book Antiqua" w:eastAsia="Book Antiqua" w:hAnsi="Book Antiqua" w:cs="Book Antiqua"/>
          <w:szCs w:val="24"/>
          <w:lang w:val="es-PR"/>
        </w:rPr>
        <w:t>La zona sur ha sido una de las más afectadas por los huracanes Irma y María, los terremotos de 2020 y la pandemia del COVID-19, lo que ocasionó daños a la infraestructura, pérdida de empleos y reducción poblacional en varios municipios.</w:t>
      </w:r>
    </w:p>
    <w:p w14:paraId="67223B7C" w14:textId="77777777" w:rsidR="00472C8D" w:rsidRPr="00472C8D" w:rsidRDefault="00472C8D" w:rsidP="00472C8D">
      <w:pPr>
        <w:jc w:val="both"/>
        <w:rPr>
          <w:rFonts w:ascii="Book Antiqua" w:eastAsia="Book Antiqua" w:hAnsi="Book Antiqua" w:cs="Book Antiqua"/>
          <w:szCs w:val="24"/>
          <w:lang w:val="es-PR"/>
        </w:rPr>
      </w:pPr>
    </w:p>
    <w:p w14:paraId="2750E023" w14:textId="77777777" w:rsidR="00472C8D" w:rsidRPr="00472C8D" w:rsidRDefault="00472C8D" w:rsidP="00472C8D">
      <w:pPr>
        <w:ind w:firstLine="720"/>
        <w:jc w:val="both"/>
        <w:rPr>
          <w:rFonts w:ascii="Book Antiqua" w:eastAsia="Book Antiqua" w:hAnsi="Book Antiqua" w:cs="Book Antiqua"/>
          <w:szCs w:val="24"/>
          <w:lang w:val="es-PR"/>
        </w:rPr>
      </w:pPr>
      <w:r w:rsidRPr="00472C8D">
        <w:rPr>
          <w:rFonts w:ascii="Book Antiqua" w:eastAsia="Book Antiqua" w:hAnsi="Book Antiqua" w:cs="Book Antiqua"/>
          <w:szCs w:val="24"/>
          <w:lang w:val="es-PR"/>
        </w:rPr>
        <w:t xml:space="preserve">Ante este escenario, el Aeropuerto Internacional Mercedita de Ponce se presenta como un activo estratégico para impulsar la recuperación económica. Se plantea que su </w:t>
      </w:r>
      <w:r w:rsidRPr="00472C8D">
        <w:rPr>
          <w:rFonts w:ascii="Book Antiqua" w:eastAsia="Book Antiqua" w:hAnsi="Book Antiqua" w:cs="Book Antiqua"/>
          <w:szCs w:val="24"/>
          <w:lang w:val="es-PR"/>
        </w:rPr>
        <w:lastRenderedPageBreak/>
        <w:t>desarrollo puede fomentar el turismo, generar empleos, atraer nuevas industrias y fortalecer la conectividad con Estados Unidos.</w:t>
      </w:r>
    </w:p>
    <w:p w14:paraId="64B35B41" w14:textId="77777777" w:rsidR="00472C8D" w:rsidRPr="00472C8D" w:rsidRDefault="00472C8D" w:rsidP="00472C8D">
      <w:pPr>
        <w:jc w:val="both"/>
        <w:rPr>
          <w:rFonts w:ascii="Book Antiqua" w:eastAsia="Book Antiqua" w:hAnsi="Book Antiqua" w:cs="Book Antiqua"/>
          <w:szCs w:val="24"/>
          <w:lang w:val="es-PR"/>
        </w:rPr>
      </w:pPr>
    </w:p>
    <w:p w14:paraId="4FC0C3D3" w14:textId="77777777" w:rsidR="00472C8D" w:rsidRPr="00472C8D" w:rsidRDefault="00472C8D" w:rsidP="00472C8D">
      <w:pPr>
        <w:ind w:firstLine="720"/>
        <w:jc w:val="both"/>
        <w:rPr>
          <w:rFonts w:ascii="Book Antiqua" w:eastAsia="Book Antiqua" w:hAnsi="Book Antiqua" w:cs="Book Antiqua"/>
          <w:szCs w:val="24"/>
          <w:lang w:val="es-PR"/>
        </w:rPr>
      </w:pPr>
      <w:r w:rsidRPr="00472C8D">
        <w:rPr>
          <w:rFonts w:ascii="Book Antiqua" w:eastAsia="Book Antiqua" w:hAnsi="Book Antiqua" w:cs="Book Antiqua"/>
          <w:szCs w:val="24"/>
          <w:lang w:val="es-PR"/>
        </w:rPr>
        <w:t>Por ello, se propone transferir la administración del aeropuerto a la Autoridad del Puerto de Ponce, bajo el argumento de que una gestión local podría atender con mayor agilidad las necesidades de la región y convertirlo en motor de desarrollo económico.</w:t>
      </w:r>
    </w:p>
    <w:p w14:paraId="1DA21A37" w14:textId="77777777" w:rsidR="00744008" w:rsidRPr="00744008" w:rsidRDefault="00744008" w:rsidP="00D64D19">
      <w:pPr>
        <w:rPr>
          <w:rFonts w:ascii="Book Antiqua" w:eastAsia="Book Antiqua" w:hAnsi="Book Antiqua" w:cs="Book Antiqua"/>
          <w:b/>
          <w:lang w:val="es-419"/>
        </w:rPr>
      </w:pPr>
    </w:p>
    <w:p w14:paraId="68C6C555" w14:textId="77777777" w:rsidR="00744008" w:rsidRPr="00744008" w:rsidRDefault="00744008" w:rsidP="00744008">
      <w:pPr>
        <w:jc w:val="center"/>
        <w:rPr>
          <w:rFonts w:ascii="Book Antiqua" w:eastAsia="Book Antiqua" w:hAnsi="Book Antiqua" w:cs="Book Antiqua"/>
          <w:b/>
          <w:lang w:val="es-419"/>
        </w:rPr>
      </w:pPr>
    </w:p>
    <w:p w14:paraId="2E4823CB" w14:textId="6ED47CDB" w:rsidR="00744008" w:rsidRPr="00744008" w:rsidRDefault="0085373F" w:rsidP="00744008">
      <w:pPr>
        <w:jc w:val="center"/>
        <w:rPr>
          <w:rFonts w:ascii="Book Antiqua" w:eastAsia="Book Antiqua" w:hAnsi="Book Antiqua" w:cs="Book Antiqua"/>
          <w:b/>
        </w:rPr>
      </w:pPr>
      <w:r w:rsidRPr="00744008">
        <w:rPr>
          <w:rFonts w:ascii="Book Antiqua" w:eastAsia="Book Antiqua" w:hAnsi="Book Antiqua" w:cs="Book Antiqua"/>
          <w:b/>
        </w:rPr>
        <w:t>ANÁLISIS DE LA MEDIDA</w:t>
      </w:r>
    </w:p>
    <w:p w14:paraId="3E124807" w14:textId="77777777" w:rsidR="001D424E" w:rsidRPr="00744008" w:rsidRDefault="001D424E" w:rsidP="002E62AC">
      <w:pPr>
        <w:jc w:val="both"/>
        <w:rPr>
          <w:rFonts w:ascii="Book Antiqua" w:eastAsia="Helvetica Neue" w:hAnsi="Book Antiqua" w:cs="Helvetica Neue"/>
          <w:b/>
          <w:bCs/>
          <w:lang w:val="es-419"/>
        </w:rPr>
      </w:pPr>
    </w:p>
    <w:p w14:paraId="1DB420B3" w14:textId="19F2E33B" w:rsidR="00744008" w:rsidRDefault="004E219C" w:rsidP="004E219C">
      <w:pPr>
        <w:ind w:firstLine="720"/>
        <w:jc w:val="both"/>
        <w:rPr>
          <w:rFonts w:ascii="Book Antiqua" w:eastAsia="Helvetica Neue" w:hAnsi="Book Antiqua" w:cs="Helvetica Neue"/>
        </w:rPr>
      </w:pPr>
      <w:r w:rsidRPr="004E219C">
        <w:rPr>
          <w:rFonts w:ascii="Book Antiqua" w:eastAsia="Helvetica Neue" w:hAnsi="Book Antiqua" w:cs="Helvetica Neue"/>
        </w:rPr>
        <w:t xml:space="preserve">La Comisión de Transportación e Infraestructura para la debida consideración y estudio de la </w:t>
      </w:r>
      <w:r>
        <w:rPr>
          <w:rFonts w:ascii="Book Antiqua" w:eastAsia="Helvetica Neue" w:hAnsi="Book Antiqua" w:cs="Helvetica Neue"/>
        </w:rPr>
        <w:t>Proyecto</w:t>
      </w:r>
      <w:r w:rsidRPr="004E219C">
        <w:rPr>
          <w:rFonts w:ascii="Book Antiqua" w:eastAsia="Helvetica Neue" w:hAnsi="Book Antiqua" w:cs="Helvetica Neue"/>
        </w:rPr>
        <w:t xml:space="preserve"> de la Cámara Núm. </w:t>
      </w:r>
      <w:r>
        <w:rPr>
          <w:rFonts w:ascii="Book Antiqua" w:eastAsia="Helvetica Neue" w:hAnsi="Book Antiqua" w:cs="Helvetica Neue"/>
        </w:rPr>
        <w:t>278</w:t>
      </w:r>
      <w:r w:rsidRPr="004E219C">
        <w:rPr>
          <w:rFonts w:ascii="Book Antiqua" w:eastAsia="Helvetica Neue" w:hAnsi="Book Antiqua" w:cs="Helvetica Neue"/>
        </w:rPr>
        <w:t>, solicitó memorial explicativo a</w:t>
      </w:r>
      <w:r w:rsidR="002E2622">
        <w:rPr>
          <w:rFonts w:ascii="Book Antiqua" w:eastAsia="Helvetica Neue" w:hAnsi="Book Antiqua" w:cs="Helvetica Neue"/>
        </w:rPr>
        <w:t xml:space="preserve"> la Autoridad de los Puertos y </w:t>
      </w:r>
      <w:r w:rsidR="007E4F82">
        <w:rPr>
          <w:rFonts w:ascii="Book Antiqua" w:eastAsia="Helvetica Neue" w:hAnsi="Book Antiqua" w:cs="Helvetica Neue"/>
        </w:rPr>
        <w:t>la Autoridad del Puerto de Ponce</w:t>
      </w:r>
      <w:r w:rsidRPr="004E219C">
        <w:rPr>
          <w:rFonts w:ascii="Book Antiqua" w:eastAsia="Helvetica Neue" w:hAnsi="Book Antiqua" w:cs="Helvetica Neue"/>
        </w:rPr>
        <w:t>.</w:t>
      </w:r>
    </w:p>
    <w:p w14:paraId="76FD22DE" w14:textId="77777777" w:rsidR="00691E06" w:rsidRDefault="00691E06" w:rsidP="004E219C">
      <w:pPr>
        <w:ind w:firstLine="720"/>
        <w:jc w:val="both"/>
        <w:rPr>
          <w:rFonts w:ascii="Book Antiqua" w:eastAsia="Helvetica Neue" w:hAnsi="Book Antiqua" w:cs="Helvetica Neue"/>
        </w:rPr>
      </w:pPr>
    </w:p>
    <w:p w14:paraId="04BD30A8" w14:textId="5511D7C3" w:rsidR="00691E06" w:rsidRDefault="00691E06" w:rsidP="00691E06">
      <w:pPr>
        <w:jc w:val="center"/>
        <w:rPr>
          <w:rFonts w:ascii="Book Antiqua" w:eastAsia="Helvetica Neue" w:hAnsi="Book Antiqua" w:cs="Helvetica Neue"/>
          <w:b/>
          <w:bCs/>
          <w:u w:val="single"/>
        </w:rPr>
      </w:pPr>
      <w:r w:rsidRPr="00691E06">
        <w:rPr>
          <w:rFonts w:ascii="Book Antiqua" w:eastAsia="Helvetica Neue" w:hAnsi="Book Antiqua" w:cs="Helvetica Neue"/>
          <w:b/>
          <w:bCs/>
          <w:u w:val="single"/>
        </w:rPr>
        <w:t>Autoridad de los Puertos</w:t>
      </w:r>
    </w:p>
    <w:p w14:paraId="02DC2A54" w14:textId="77777777" w:rsidR="00DC3142" w:rsidRDefault="00DC3142" w:rsidP="00691E06">
      <w:pPr>
        <w:jc w:val="center"/>
        <w:rPr>
          <w:rFonts w:ascii="Book Antiqua" w:eastAsia="Helvetica Neue" w:hAnsi="Book Antiqua" w:cs="Helvetica Neue"/>
          <w:b/>
          <w:bCs/>
          <w:u w:val="single"/>
        </w:rPr>
      </w:pPr>
    </w:p>
    <w:p w14:paraId="599090D1" w14:textId="77777777" w:rsidR="00316E29" w:rsidRPr="00316E29" w:rsidRDefault="00316E29" w:rsidP="00316E29">
      <w:pPr>
        <w:ind w:firstLine="720"/>
        <w:jc w:val="both"/>
        <w:rPr>
          <w:rFonts w:ascii="Book Antiqua" w:eastAsia="Helvetica Neue" w:hAnsi="Book Antiqua" w:cs="Helvetica Neue"/>
          <w:lang w:val="es-PR"/>
        </w:rPr>
      </w:pPr>
      <w:r w:rsidRPr="00316E29">
        <w:rPr>
          <w:rFonts w:ascii="Book Antiqua" w:eastAsia="Helvetica Neue" w:hAnsi="Book Antiqua" w:cs="Helvetica Neue"/>
          <w:lang w:val="es-PR"/>
        </w:rPr>
        <w:t>La Autoridad de los Puertos expresó su oposición al P. de la C. 278, que propone transferir la titularidad y operación del Aeropuerto Internacional Mercedita a la Autoridad del Puerto de Ponce. Según la entidad, administrar un aeropuerto conlleva altos niveles de especialización técnica, cumplimiento con normas federales de la FAA y la TSA, seguridad operacional, coordinación de emergencias y manejo de concesiones. Argumentan que no existe evidencia de que la Autoridad del Puerto de Ponce tenga la capacidad administrativa, financiera ni técnica para asumir estas funciones.</w:t>
      </w:r>
    </w:p>
    <w:p w14:paraId="1A1082F6" w14:textId="77777777" w:rsidR="00316E29" w:rsidRPr="00316E29" w:rsidRDefault="00316E29" w:rsidP="00316E29">
      <w:pPr>
        <w:jc w:val="both"/>
        <w:rPr>
          <w:rFonts w:ascii="Book Antiqua" w:eastAsia="Helvetica Neue" w:hAnsi="Book Antiqua" w:cs="Helvetica Neue"/>
          <w:lang w:val="es-PR"/>
        </w:rPr>
      </w:pPr>
    </w:p>
    <w:p w14:paraId="067CD377" w14:textId="77777777" w:rsidR="00316E29" w:rsidRPr="00316E29" w:rsidRDefault="00316E29" w:rsidP="00316E29">
      <w:pPr>
        <w:ind w:firstLine="720"/>
        <w:jc w:val="both"/>
        <w:rPr>
          <w:rFonts w:ascii="Book Antiqua" w:eastAsia="Helvetica Neue" w:hAnsi="Book Antiqua" w:cs="Helvetica Neue"/>
          <w:lang w:val="es-PR"/>
        </w:rPr>
      </w:pPr>
      <w:r w:rsidRPr="00316E29">
        <w:rPr>
          <w:rFonts w:ascii="Book Antiqua" w:eastAsia="Helvetica Neue" w:hAnsi="Book Antiqua" w:cs="Helvetica Neue"/>
          <w:lang w:val="es-PR"/>
        </w:rPr>
        <w:t>Asimismo, advierten que la transferencia aumentaría el riesgo de politización en la toma de decisiones, lo que podría comprometer certificaciones federales y la estabilidad de las operaciones aéreas. También plantean que dividir la administración portuaria fragmentaría la uniformidad en los estándares de seguridad y mantenimiento, afectando la interoperabilidad con otros aeropuertos de la Isla.</w:t>
      </w:r>
    </w:p>
    <w:p w14:paraId="7DC92344" w14:textId="77777777" w:rsidR="00316E29" w:rsidRPr="00316E29" w:rsidRDefault="00316E29" w:rsidP="00316E29">
      <w:pPr>
        <w:jc w:val="both"/>
        <w:rPr>
          <w:rFonts w:ascii="Book Antiqua" w:eastAsia="Helvetica Neue" w:hAnsi="Book Antiqua" w:cs="Helvetica Neue"/>
          <w:lang w:val="es-PR"/>
        </w:rPr>
      </w:pPr>
    </w:p>
    <w:p w14:paraId="285AD9E5" w14:textId="77777777" w:rsidR="00316E29" w:rsidRPr="00316E29" w:rsidRDefault="00316E29" w:rsidP="00316E29">
      <w:pPr>
        <w:ind w:firstLine="720"/>
        <w:jc w:val="both"/>
        <w:rPr>
          <w:rFonts w:ascii="Book Antiqua" w:eastAsia="Helvetica Neue" w:hAnsi="Book Antiqua" w:cs="Helvetica Neue"/>
          <w:lang w:val="es-PR"/>
        </w:rPr>
      </w:pPr>
      <w:r w:rsidRPr="00316E29">
        <w:rPr>
          <w:rFonts w:ascii="Book Antiqua" w:eastAsia="Helvetica Neue" w:hAnsi="Book Antiqua" w:cs="Helvetica Neue"/>
          <w:lang w:val="es-PR"/>
        </w:rPr>
        <w:t>El memorial enfatiza que, de no lograrse mantener y expandir las rutas y servicios existentes, la conectividad de la región sur se vería seriamente afectada. Esto tendría un impacto negativo en sectores como el turismo, la manufactura y el comercio. A estas preocupaciones se suma la falta de transparencia y de participación ciudadana, ya que no se han celebrado vistas públicas ni se ha consultado al sector privado, a las agencias federales ni a las comunidades sobre la medida.</w:t>
      </w:r>
    </w:p>
    <w:p w14:paraId="4065F923" w14:textId="77777777" w:rsidR="00316E29" w:rsidRPr="00316E29" w:rsidRDefault="00316E29" w:rsidP="00316E29">
      <w:pPr>
        <w:jc w:val="both"/>
        <w:rPr>
          <w:rFonts w:ascii="Book Antiqua" w:eastAsia="Helvetica Neue" w:hAnsi="Book Antiqua" w:cs="Helvetica Neue"/>
          <w:lang w:val="es-PR"/>
        </w:rPr>
      </w:pPr>
    </w:p>
    <w:p w14:paraId="2313907A" w14:textId="77777777" w:rsidR="00316E29" w:rsidRPr="00316E29" w:rsidRDefault="00316E29" w:rsidP="00316E29">
      <w:pPr>
        <w:ind w:firstLine="720"/>
        <w:jc w:val="both"/>
        <w:rPr>
          <w:rFonts w:ascii="Book Antiqua" w:eastAsia="Helvetica Neue" w:hAnsi="Book Antiqua" w:cs="Helvetica Neue"/>
          <w:lang w:val="es-PR"/>
        </w:rPr>
      </w:pPr>
      <w:r w:rsidRPr="00316E29">
        <w:rPr>
          <w:rFonts w:ascii="Book Antiqua" w:eastAsia="Helvetica Neue" w:hAnsi="Book Antiqua" w:cs="Helvetica Neue"/>
          <w:lang w:val="es-PR"/>
        </w:rPr>
        <w:t xml:space="preserve">Como alternativa, la Autoridad sostiene que el Aeropuerto Mercedita debe permanecer bajo su administración, reforzando la operación con nuevas inversiones en infraestructura, estrategias de mercadeo para atraer rutas adicionales y una mejor coordinación </w:t>
      </w:r>
      <w:proofErr w:type="spellStart"/>
      <w:r w:rsidRPr="00316E29">
        <w:rPr>
          <w:rFonts w:ascii="Book Antiqua" w:eastAsia="Helvetica Neue" w:hAnsi="Book Antiqua" w:cs="Helvetica Neue"/>
          <w:lang w:val="es-PR"/>
        </w:rPr>
        <w:t>interagencial</w:t>
      </w:r>
      <w:proofErr w:type="spellEnd"/>
      <w:r w:rsidRPr="00316E29">
        <w:rPr>
          <w:rFonts w:ascii="Book Antiqua" w:eastAsia="Helvetica Neue" w:hAnsi="Book Antiqua" w:cs="Helvetica Neue"/>
          <w:lang w:val="es-PR"/>
        </w:rPr>
        <w:t xml:space="preserve"> con el Municipio de Ponce y el sector privado. En esa línea, resaltan que Mercedita ya ha sido objeto de múltiples proyectos de reconstrucción y </w:t>
      </w:r>
      <w:r w:rsidRPr="00316E29">
        <w:rPr>
          <w:rFonts w:ascii="Book Antiqua" w:eastAsia="Helvetica Neue" w:hAnsi="Book Antiqua" w:cs="Helvetica Neue"/>
          <w:lang w:val="es-PR"/>
        </w:rPr>
        <w:lastRenderedPageBreak/>
        <w:t>mejoras con fondos de FEMA y subvenciones de la FAA, incluyendo la rehabilitación de pistas, terminales, adquisición de vehículos de rescate y expansión de facilidades.</w:t>
      </w:r>
    </w:p>
    <w:p w14:paraId="409A6D37" w14:textId="77777777" w:rsidR="00316E29" w:rsidRPr="00316E29" w:rsidRDefault="00316E29" w:rsidP="00316E29">
      <w:pPr>
        <w:jc w:val="both"/>
        <w:rPr>
          <w:rFonts w:ascii="Book Antiqua" w:eastAsia="Helvetica Neue" w:hAnsi="Book Antiqua" w:cs="Helvetica Neue"/>
          <w:lang w:val="es-PR"/>
        </w:rPr>
      </w:pPr>
    </w:p>
    <w:p w14:paraId="7F5CA919" w14:textId="77777777" w:rsidR="00316E29" w:rsidRDefault="00316E29" w:rsidP="00316E29">
      <w:pPr>
        <w:ind w:firstLine="720"/>
        <w:jc w:val="both"/>
        <w:rPr>
          <w:rFonts w:ascii="Book Antiqua" w:eastAsia="Helvetica Neue" w:hAnsi="Book Antiqua" w:cs="Helvetica Neue"/>
          <w:b/>
          <w:bCs/>
          <w:lang w:val="es-PR"/>
        </w:rPr>
      </w:pPr>
      <w:r w:rsidRPr="00316E29">
        <w:rPr>
          <w:rFonts w:ascii="Book Antiqua" w:eastAsia="Helvetica Neue" w:hAnsi="Book Antiqua" w:cs="Helvetica Neue"/>
          <w:lang w:val="es-PR"/>
        </w:rPr>
        <w:t xml:space="preserve">En conclusión, la Autoridad afirma que el aeropuerto se encuentra en mejores manos bajo su gestión actual y que transferirlo a la Autoridad del Puerto de Ponce sería contraproducente e inseguro. </w:t>
      </w:r>
      <w:r w:rsidRPr="00316E29">
        <w:rPr>
          <w:rFonts w:ascii="Book Antiqua" w:eastAsia="Helvetica Neue" w:hAnsi="Book Antiqua" w:cs="Helvetica Neue"/>
          <w:b/>
          <w:bCs/>
          <w:lang w:val="es-PR"/>
        </w:rPr>
        <w:t>Por ello, dejan claro que no avalan la aprobación del P. de la C. 278.</w:t>
      </w:r>
    </w:p>
    <w:p w14:paraId="46A0C0A8" w14:textId="77777777" w:rsidR="00316E29" w:rsidRDefault="00316E29" w:rsidP="00316E29">
      <w:pPr>
        <w:jc w:val="both"/>
        <w:rPr>
          <w:rFonts w:ascii="Book Antiqua" w:eastAsia="Helvetica Neue" w:hAnsi="Book Antiqua" w:cs="Helvetica Neue"/>
          <w:b/>
          <w:bCs/>
          <w:lang w:val="es-PR"/>
        </w:rPr>
      </w:pPr>
    </w:p>
    <w:p w14:paraId="7715C4F0" w14:textId="0EE18713" w:rsidR="00316E29" w:rsidRPr="00316E29" w:rsidRDefault="00316E29" w:rsidP="00316E29">
      <w:pPr>
        <w:jc w:val="center"/>
        <w:rPr>
          <w:rFonts w:ascii="Book Antiqua" w:eastAsia="Helvetica Neue" w:hAnsi="Book Antiqua" w:cs="Helvetica Neue"/>
          <w:b/>
          <w:bCs/>
          <w:u w:val="single"/>
          <w:lang w:val="es-PR"/>
        </w:rPr>
      </w:pPr>
      <w:r w:rsidRPr="00316E29">
        <w:rPr>
          <w:rFonts w:ascii="Book Antiqua" w:eastAsia="Helvetica Neue" w:hAnsi="Book Antiqua" w:cs="Helvetica Neue"/>
          <w:b/>
          <w:bCs/>
          <w:u w:val="single"/>
        </w:rPr>
        <w:t>Autoridad del Puerto de Ponce</w:t>
      </w:r>
    </w:p>
    <w:p w14:paraId="5387A76A" w14:textId="77777777" w:rsidR="00DC3142" w:rsidRPr="00316E29" w:rsidRDefault="00DC3142" w:rsidP="00DC3142">
      <w:pPr>
        <w:jc w:val="both"/>
        <w:rPr>
          <w:rFonts w:ascii="Book Antiqua" w:eastAsia="Helvetica Neue" w:hAnsi="Book Antiqua" w:cs="Helvetica Neue"/>
          <w:b/>
          <w:bCs/>
          <w:u w:val="single"/>
          <w:lang w:val="es-PR"/>
        </w:rPr>
      </w:pPr>
    </w:p>
    <w:p w14:paraId="6D339C23" w14:textId="77777777" w:rsidR="00A16802" w:rsidRPr="00A16802" w:rsidRDefault="00A16802" w:rsidP="00A16802">
      <w:pPr>
        <w:ind w:firstLine="720"/>
        <w:jc w:val="both"/>
        <w:rPr>
          <w:rFonts w:ascii="Book Antiqua" w:eastAsia="Helvetica Neue" w:hAnsi="Book Antiqua" w:cs="Helvetica Neue"/>
          <w:lang w:val="es-PR"/>
        </w:rPr>
      </w:pPr>
      <w:r w:rsidRPr="00A16802">
        <w:rPr>
          <w:rFonts w:ascii="Book Antiqua" w:eastAsia="Helvetica Neue" w:hAnsi="Book Antiqua" w:cs="Helvetica Neue"/>
          <w:lang w:val="es-PR"/>
        </w:rPr>
        <w:t>La Autoridad del Puerto de Ponce presentó su ponencia en torno al P. de la C. 278, destacando que la medida propone enmendar la Ley 240-2011 para transferir a esta corporación pública las funciones y prerrogativas que hoy ostenta la Autoridad de los Puertos sobre el Aeropuerto Internacional Mercedita y el Puerto de Las Américas, además de crear comités asesores permanentes. Señalan que la propuesta es similar al P. de la C. 1617, que fue aprobado en 2024 por Cámara y Senado, pero no avalado por el Gobernador.</w:t>
      </w:r>
    </w:p>
    <w:p w14:paraId="6FF9E286" w14:textId="77777777" w:rsidR="00A16802" w:rsidRPr="00A16802" w:rsidRDefault="00A16802" w:rsidP="00A16802">
      <w:pPr>
        <w:jc w:val="both"/>
        <w:rPr>
          <w:rFonts w:ascii="Book Antiqua" w:eastAsia="Helvetica Neue" w:hAnsi="Book Antiqua" w:cs="Helvetica Neue"/>
          <w:lang w:val="es-PR"/>
        </w:rPr>
      </w:pPr>
    </w:p>
    <w:p w14:paraId="6074199A" w14:textId="77777777" w:rsidR="00A16802" w:rsidRPr="00A16802" w:rsidRDefault="00A16802" w:rsidP="00A16802">
      <w:pPr>
        <w:ind w:firstLine="720"/>
        <w:jc w:val="both"/>
        <w:rPr>
          <w:rFonts w:ascii="Book Antiqua" w:eastAsia="Helvetica Neue" w:hAnsi="Book Antiqua" w:cs="Helvetica Neue"/>
          <w:lang w:val="es-PR"/>
        </w:rPr>
      </w:pPr>
      <w:r w:rsidRPr="00A16802">
        <w:rPr>
          <w:rFonts w:ascii="Book Antiqua" w:eastAsia="Helvetica Neue" w:hAnsi="Book Antiqua" w:cs="Helvetica Neue"/>
          <w:lang w:val="es-PR"/>
        </w:rPr>
        <w:t>El memorial hace un recuento histórico del Puerto de Ponce y de la franquicia otorgada en 1911 para que el municipio administrara sus instalaciones portuarias, luego traspasadas a la Autoridad del Puerto de Ponce mediante la Ley 171-2002. Subrayan que el puerto nunca ha estado fuera de su jurisdicción, sino que ha sido parte de la estructura legal y administrativa de la ciudad y de la Autoridad del Puerto de Ponce.</w:t>
      </w:r>
    </w:p>
    <w:p w14:paraId="61070A93" w14:textId="77777777" w:rsidR="00A16802" w:rsidRPr="00A16802" w:rsidRDefault="00A16802" w:rsidP="00A16802">
      <w:pPr>
        <w:jc w:val="both"/>
        <w:rPr>
          <w:rFonts w:ascii="Book Antiqua" w:eastAsia="Helvetica Neue" w:hAnsi="Book Antiqua" w:cs="Helvetica Neue"/>
          <w:lang w:val="es-PR"/>
        </w:rPr>
      </w:pPr>
    </w:p>
    <w:p w14:paraId="662D9D3D" w14:textId="77777777" w:rsidR="00A16802" w:rsidRPr="00A16802" w:rsidRDefault="00A16802" w:rsidP="00A16802">
      <w:pPr>
        <w:ind w:firstLine="720"/>
        <w:jc w:val="both"/>
        <w:rPr>
          <w:rFonts w:ascii="Book Antiqua" w:eastAsia="Helvetica Neue" w:hAnsi="Book Antiqua" w:cs="Helvetica Neue"/>
          <w:lang w:val="es-PR"/>
        </w:rPr>
      </w:pPr>
      <w:r w:rsidRPr="00A16802">
        <w:rPr>
          <w:rFonts w:ascii="Book Antiqua" w:eastAsia="Helvetica Neue" w:hAnsi="Book Antiqua" w:cs="Helvetica Neue"/>
          <w:lang w:val="es-PR"/>
        </w:rPr>
        <w:t xml:space="preserve">En cuanto al proyecto, destacan que el lenguaje utilizado para crear comités asesores podría limitar la discreción de la Junta de </w:t>
      </w:r>
      <w:proofErr w:type="gramStart"/>
      <w:r w:rsidRPr="00A16802">
        <w:rPr>
          <w:rFonts w:ascii="Book Antiqua" w:eastAsia="Helvetica Neue" w:hAnsi="Book Antiqua" w:cs="Helvetica Neue"/>
          <w:lang w:val="es-PR"/>
        </w:rPr>
        <w:t>Directores</w:t>
      </w:r>
      <w:proofErr w:type="gramEnd"/>
      <w:r w:rsidRPr="00A16802">
        <w:rPr>
          <w:rFonts w:ascii="Book Antiqua" w:eastAsia="Helvetica Neue" w:hAnsi="Book Antiqua" w:cs="Helvetica Neue"/>
          <w:lang w:val="es-PR"/>
        </w:rPr>
        <w:t xml:space="preserve"> de la APP, pues al delegar en dichos comités el poder de recomendar la política pública sobre el Puerto de Ponce y el PSE, la autoridad decisional quedaría atada a esas recomendaciones.</w:t>
      </w:r>
    </w:p>
    <w:p w14:paraId="7EF62651" w14:textId="77777777" w:rsidR="00A16802" w:rsidRPr="00A16802" w:rsidRDefault="00A16802" w:rsidP="00A16802">
      <w:pPr>
        <w:jc w:val="both"/>
        <w:rPr>
          <w:rFonts w:ascii="Book Antiqua" w:eastAsia="Helvetica Neue" w:hAnsi="Book Antiqua" w:cs="Helvetica Neue"/>
          <w:lang w:val="es-PR"/>
        </w:rPr>
      </w:pPr>
    </w:p>
    <w:p w14:paraId="4428E69D" w14:textId="77777777" w:rsidR="00A16802" w:rsidRPr="00A16802" w:rsidRDefault="00A16802" w:rsidP="00A16802">
      <w:pPr>
        <w:ind w:firstLine="720"/>
        <w:jc w:val="both"/>
        <w:rPr>
          <w:rFonts w:ascii="Book Antiqua" w:eastAsia="Helvetica Neue" w:hAnsi="Book Antiqua" w:cs="Helvetica Neue"/>
          <w:lang w:val="es-PR"/>
        </w:rPr>
      </w:pPr>
      <w:r w:rsidRPr="00A16802">
        <w:rPr>
          <w:rFonts w:ascii="Book Antiqua" w:eastAsia="Helvetica Neue" w:hAnsi="Book Antiqua" w:cs="Helvetica Neue"/>
          <w:lang w:val="es-PR"/>
        </w:rPr>
        <w:t>Otro señalamiento importante es la falta de certeza financiera. El P. de la C. 278 dispone que el Gobierno Central provea fondos durante tres años para garantizar la operación del PSE, con una equiparación presupuestaria que se reduciría progresivamente. Sin embargo, la Autoridad advierte que no existe garantía real de que esos fondos sean suficientes ni permanentes para sostener las operaciones. Recomiendan que la medida especifique mejor la asignación de recursos.</w:t>
      </w:r>
    </w:p>
    <w:p w14:paraId="7023F22B" w14:textId="77777777" w:rsidR="00A16802" w:rsidRPr="00A16802" w:rsidRDefault="00A16802" w:rsidP="00A16802">
      <w:pPr>
        <w:jc w:val="both"/>
        <w:rPr>
          <w:rFonts w:ascii="Book Antiqua" w:eastAsia="Helvetica Neue" w:hAnsi="Book Antiqua" w:cs="Helvetica Neue"/>
          <w:lang w:val="es-PR"/>
        </w:rPr>
      </w:pPr>
    </w:p>
    <w:p w14:paraId="2E0E535C" w14:textId="77777777" w:rsidR="00A16802" w:rsidRDefault="00A16802" w:rsidP="00A16802">
      <w:pPr>
        <w:ind w:firstLine="720"/>
        <w:jc w:val="both"/>
        <w:rPr>
          <w:rFonts w:ascii="Book Antiqua" w:eastAsia="Helvetica Neue" w:hAnsi="Book Antiqua" w:cs="Helvetica Neue"/>
          <w:lang w:val="es-PR"/>
        </w:rPr>
      </w:pPr>
      <w:r w:rsidRPr="00A16802">
        <w:rPr>
          <w:rFonts w:ascii="Book Antiqua" w:eastAsia="Helvetica Neue" w:hAnsi="Book Antiqua" w:cs="Helvetica Neue"/>
          <w:lang w:val="es-PR"/>
        </w:rPr>
        <w:t xml:space="preserve">En conclusión, la Autoridad del Puerto de Ponce reconoce la intención del proyecto de fortalecer la gestión local sobre el Aeropuerto Mercedita y el Puerto de Las Américas, pero plantea preocupaciones sobre la limitación de poderes de la Junta de </w:t>
      </w:r>
      <w:proofErr w:type="gramStart"/>
      <w:r w:rsidRPr="00A16802">
        <w:rPr>
          <w:rFonts w:ascii="Book Antiqua" w:eastAsia="Helvetica Neue" w:hAnsi="Book Antiqua" w:cs="Helvetica Neue"/>
          <w:lang w:val="es-PR"/>
        </w:rPr>
        <w:t>Directores</w:t>
      </w:r>
      <w:proofErr w:type="gramEnd"/>
      <w:r w:rsidRPr="00A16802">
        <w:rPr>
          <w:rFonts w:ascii="Book Antiqua" w:eastAsia="Helvetica Neue" w:hAnsi="Book Antiqua" w:cs="Helvetica Neue"/>
          <w:lang w:val="es-PR"/>
        </w:rPr>
        <w:t xml:space="preserve"> y la falta de seguridad presupuestaria para sostener la operación.</w:t>
      </w:r>
    </w:p>
    <w:p w14:paraId="1540310D" w14:textId="77777777" w:rsidR="00C54554" w:rsidRDefault="00C54554" w:rsidP="00A16802">
      <w:pPr>
        <w:ind w:firstLine="720"/>
        <w:jc w:val="both"/>
        <w:rPr>
          <w:rFonts w:ascii="Book Antiqua" w:eastAsia="Helvetica Neue" w:hAnsi="Book Antiqua" w:cs="Helvetica Neue"/>
          <w:lang w:val="es-PR"/>
        </w:rPr>
      </w:pPr>
    </w:p>
    <w:p w14:paraId="6D363895" w14:textId="77777777" w:rsidR="008F4C1B" w:rsidRDefault="008F4C1B" w:rsidP="006B26BD">
      <w:pPr>
        <w:jc w:val="center"/>
        <w:rPr>
          <w:rFonts w:ascii="Book Antiqua" w:eastAsia="Helvetica Neue" w:hAnsi="Book Antiqua" w:cs="Helvetica Neue"/>
          <w:b/>
          <w:bCs/>
          <w:lang w:val="es-PR"/>
        </w:rPr>
      </w:pPr>
    </w:p>
    <w:p w14:paraId="440C0DBB" w14:textId="77777777" w:rsidR="008F4C1B" w:rsidRDefault="008F4C1B" w:rsidP="006B26BD">
      <w:pPr>
        <w:jc w:val="center"/>
        <w:rPr>
          <w:rFonts w:ascii="Book Antiqua" w:eastAsia="Helvetica Neue" w:hAnsi="Book Antiqua" w:cs="Helvetica Neue"/>
          <w:b/>
          <w:bCs/>
          <w:lang w:val="es-PR"/>
        </w:rPr>
      </w:pPr>
    </w:p>
    <w:p w14:paraId="1394210B" w14:textId="5425AA88" w:rsidR="006B26BD" w:rsidRPr="006B26BD" w:rsidRDefault="006B26BD" w:rsidP="006B26BD">
      <w:pPr>
        <w:jc w:val="center"/>
        <w:rPr>
          <w:rFonts w:ascii="Book Antiqua" w:eastAsia="Helvetica Neue" w:hAnsi="Book Antiqua" w:cs="Helvetica Neue"/>
          <w:lang w:val="es-PR"/>
        </w:rPr>
      </w:pPr>
      <w:r w:rsidRPr="006B26BD">
        <w:rPr>
          <w:rFonts w:ascii="Book Antiqua" w:eastAsia="Helvetica Neue" w:hAnsi="Book Antiqua" w:cs="Helvetica Neue"/>
          <w:b/>
          <w:bCs/>
          <w:lang w:val="es-PR"/>
        </w:rPr>
        <w:lastRenderedPageBreak/>
        <w:t>IMPACTO FISCAL</w:t>
      </w:r>
    </w:p>
    <w:p w14:paraId="0EB9E64A" w14:textId="77777777" w:rsidR="008F4C1B" w:rsidRDefault="008F4C1B" w:rsidP="006B26BD">
      <w:pPr>
        <w:ind w:firstLine="720"/>
        <w:jc w:val="both"/>
        <w:rPr>
          <w:rFonts w:ascii="Book Antiqua" w:eastAsia="Helvetica Neue" w:hAnsi="Book Antiqua" w:cs="Helvetica Neue"/>
          <w:lang w:val="es-PR"/>
        </w:rPr>
      </w:pPr>
    </w:p>
    <w:p w14:paraId="34C456D9" w14:textId="6E0EE98B" w:rsidR="006B26BD" w:rsidRPr="006B26BD" w:rsidRDefault="008F4C1B" w:rsidP="006B26BD">
      <w:pPr>
        <w:ind w:firstLine="720"/>
        <w:jc w:val="both"/>
        <w:rPr>
          <w:rFonts w:ascii="Book Antiqua" w:eastAsia="Helvetica Neue" w:hAnsi="Book Antiqua" w:cs="Helvetica Neue"/>
          <w:lang w:val="es-PR"/>
        </w:rPr>
      </w:pPr>
      <w:r>
        <w:rPr>
          <w:rFonts w:ascii="Book Antiqua" w:eastAsia="Helvetica Neue" w:hAnsi="Book Antiqua" w:cs="Helvetica Neue"/>
          <w:lang w:val="es-PR"/>
        </w:rPr>
        <w:t xml:space="preserve">Según </w:t>
      </w:r>
      <w:r w:rsidR="00775172">
        <w:rPr>
          <w:rFonts w:ascii="Book Antiqua" w:eastAsia="Helvetica Neue" w:hAnsi="Book Antiqua" w:cs="Helvetica Neue"/>
          <w:lang w:val="es-PR"/>
        </w:rPr>
        <w:t>se desprende de los comentarios recibidos de las agencias gubernamentales</w:t>
      </w:r>
      <w:r w:rsidR="006F71C7">
        <w:rPr>
          <w:rFonts w:ascii="Book Antiqua" w:eastAsia="Helvetica Neue" w:hAnsi="Book Antiqua" w:cs="Helvetica Neue"/>
          <w:lang w:val="es-PR"/>
        </w:rPr>
        <w:t>, e</w:t>
      </w:r>
      <w:r w:rsidR="006B26BD" w:rsidRPr="006B26BD">
        <w:rPr>
          <w:rFonts w:ascii="Book Antiqua" w:eastAsia="Helvetica Neue" w:hAnsi="Book Antiqua" w:cs="Helvetica Neue"/>
          <w:lang w:val="es-PR"/>
        </w:rPr>
        <w:t xml:space="preserve">l Proyecto de la Cámara </w:t>
      </w:r>
      <w:r w:rsidR="006F71C7">
        <w:rPr>
          <w:rFonts w:ascii="Book Antiqua" w:eastAsia="Helvetica Neue" w:hAnsi="Book Antiqua" w:cs="Helvetica Neue"/>
          <w:lang w:val="es-PR"/>
        </w:rPr>
        <w:t xml:space="preserve">Núm. </w:t>
      </w:r>
      <w:r w:rsidR="006B26BD" w:rsidRPr="006B26BD">
        <w:rPr>
          <w:rFonts w:ascii="Book Antiqua" w:eastAsia="Helvetica Neue" w:hAnsi="Book Antiqua" w:cs="Helvetica Neue"/>
          <w:lang w:val="es-PR"/>
        </w:rPr>
        <w:t>278 contempla una asignación de fondos del Gobierno Central para garantizar la operación de la Autoridad del Puerto de Ponce por un periodo inicial de tres años. No obstante, la medida no presenta un desglose detallado sobre los costos asociados a la transferencia y operación del Aeropuerto Internacional Mercedita, ni una proyección clara del presupuesto requerido a corto, mediano y largo plazo.</w:t>
      </w:r>
    </w:p>
    <w:p w14:paraId="6F26B97C" w14:textId="73DC73D6" w:rsidR="005871B4" w:rsidRPr="00744008" w:rsidRDefault="005871B4" w:rsidP="004277D8">
      <w:pPr>
        <w:jc w:val="both"/>
        <w:rPr>
          <w:rFonts w:ascii="Book Antiqua" w:eastAsia="Helvetica Neue" w:hAnsi="Book Antiqua" w:cs="Helvetica Neue"/>
        </w:rPr>
      </w:pPr>
    </w:p>
    <w:p w14:paraId="42347D60" w14:textId="77777777" w:rsidR="004277D8" w:rsidRPr="00744008" w:rsidRDefault="004277D8" w:rsidP="004277D8">
      <w:pPr>
        <w:jc w:val="both"/>
        <w:rPr>
          <w:rFonts w:ascii="Book Antiqua" w:eastAsia="Helvetica Neue" w:hAnsi="Book Antiqua" w:cs="Helvetica Neue"/>
        </w:rPr>
      </w:pPr>
    </w:p>
    <w:p w14:paraId="00000021" w14:textId="37252FEA" w:rsidR="003867AC" w:rsidRPr="00744008" w:rsidRDefault="002A15A8">
      <w:pPr>
        <w:jc w:val="center"/>
        <w:rPr>
          <w:rFonts w:ascii="Book Antiqua" w:eastAsia="Book Antiqua" w:hAnsi="Book Antiqua" w:cs="Book Antiqua"/>
          <w:b/>
        </w:rPr>
      </w:pPr>
      <w:r w:rsidRPr="00744008">
        <w:rPr>
          <w:rFonts w:ascii="Book Antiqua" w:eastAsia="Book Antiqua" w:hAnsi="Book Antiqua" w:cs="Book Antiqua"/>
          <w:b/>
        </w:rPr>
        <w:t xml:space="preserve"> </w:t>
      </w:r>
      <w:r w:rsidR="0085373F" w:rsidRPr="00744008">
        <w:rPr>
          <w:rFonts w:ascii="Book Antiqua" w:eastAsia="Book Antiqua" w:hAnsi="Book Antiqua" w:cs="Book Antiqua"/>
          <w:b/>
        </w:rPr>
        <w:t>CONCLUSIÓN</w:t>
      </w:r>
    </w:p>
    <w:p w14:paraId="00000022" w14:textId="77777777" w:rsidR="003867AC" w:rsidRPr="00744008" w:rsidRDefault="003867AC">
      <w:pPr>
        <w:jc w:val="both"/>
        <w:rPr>
          <w:rFonts w:ascii="Book Antiqua" w:eastAsia="Book Antiqua" w:hAnsi="Book Antiqua" w:cs="Book Antiqua"/>
        </w:rPr>
      </w:pPr>
    </w:p>
    <w:p w14:paraId="5E7CE086" w14:textId="597445D7" w:rsidR="002A15A8" w:rsidRPr="00744008" w:rsidRDefault="00744008" w:rsidP="003649BC">
      <w:pPr>
        <w:ind w:firstLine="720"/>
        <w:jc w:val="both"/>
        <w:rPr>
          <w:rFonts w:ascii="Book Antiqua" w:eastAsia="Book Antiqua" w:hAnsi="Book Antiqua" w:cs="Book Antiqua"/>
        </w:rPr>
      </w:pPr>
      <w:bookmarkStart w:id="1" w:name="_Hlk203641481"/>
      <w:r w:rsidRPr="00744008">
        <w:rPr>
          <w:rFonts w:ascii="Book Antiqua" w:eastAsia="Book Antiqua" w:hAnsi="Book Antiqua" w:cs="Book Antiqua"/>
        </w:rPr>
        <w:t xml:space="preserve">La Comisión de Transportación e Infraestructura, luego de analizar el P. de la C. </w:t>
      </w:r>
      <w:r w:rsidR="00AB0EE4">
        <w:rPr>
          <w:rFonts w:ascii="Book Antiqua" w:eastAsia="Book Antiqua" w:hAnsi="Book Antiqua" w:cs="Book Antiqua"/>
        </w:rPr>
        <w:t>278</w:t>
      </w:r>
      <w:r w:rsidRPr="00744008">
        <w:rPr>
          <w:rFonts w:ascii="Book Antiqua" w:eastAsia="Book Antiqua" w:hAnsi="Book Antiqua" w:cs="Book Antiqua"/>
        </w:rPr>
        <w:t xml:space="preserve">, no recomienda su aprobación, </w:t>
      </w:r>
      <w:r w:rsidR="00677312" w:rsidRPr="00677312">
        <w:rPr>
          <w:rFonts w:ascii="Book Antiqua" w:eastAsia="Book Antiqua" w:hAnsi="Book Antiqua" w:cs="Book Antiqua"/>
        </w:rPr>
        <w:t>la medida no cuenta con los elementos necesarios para garantizar una transición ordenada, segura ni financieramente</w:t>
      </w:r>
      <w:r w:rsidR="00AB0EE4">
        <w:rPr>
          <w:rFonts w:ascii="Book Antiqua" w:eastAsia="Book Antiqua" w:hAnsi="Book Antiqua" w:cs="Book Antiqua"/>
        </w:rPr>
        <w:t xml:space="preserve"> </w:t>
      </w:r>
      <w:r w:rsidR="00677312" w:rsidRPr="00677312">
        <w:rPr>
          <w:rFonts w:ascii="Book Antiqua" w:eastAsia="Book Antiqua" w:hAnsi="Book Antiqua" w:cs="Book Antiqua"/>
        </w:rPr>
        <w:t>viable del Aeropuerto Internacional Mercedita a la Autoridad del Puerto de Ponce.</w:t>
      </w:r>
      <w:bookmarkEnd w:id="1"/>
    </w:p>
    <w:p w14:paraId="5A7926EC" w14:textId="77777777" w:rsidR="003649BC" w:rsidRPr="00744008" w:rsidRDefault="003649BC" w:rsidP="003649BC">
      <w:pPr>
        <w:ind w:firstLine="720"/>
        <w:jc w:val="both"/>
        <w:rPr>
          <w:rFonts w:ascii="Book Antiqua" w:eastAsia="Book Antiqua" w:hAnsi="Book Antiqua" w:cs="Book Antiqua"/>
        </w:rPr>
      </w:pPr>
    </w:p>
    <w:p w14:paraId="2632D4AA" w14:textId="23A21FB4" w:rsidR="00A11D0B" w:rsidRPr="00744008" w:rsidRDefault="00A11D0B" w:rsidP="002A15A8">
      <w:pPr>
        <w:ind w:firstLine="720"/>
        <w:jc w:val="both"/>
        <w:rPr>
          <w:rFonts w:ascii="Book Antiqua" w:eastAsia="Book Antiqua" w:hAnsi="Book Antiqua" w:cs="Book Antiqua"/>
        </w:rPr>
      </w:pPr>
      <w:r w:rsidRPr="00744008">
        <w:rPr>
          <w:rFonts w:ascii="Book Antiqua" w:eastAsia="Book Antiqua" w:hAnsi="Book Antiqua" w:cs="Book Antiqua"/>
        </w:rPr>
        <w:t xml:space="preserve">Por los fundamentos antes expuestos, la Comisión de Transportación e Infraestructura, somete el presente Informe </w:t>
      </w:r>
      <w:r w:rsidR="003649BC" w:rsidRPr="00744008">
        <w:rPr>
          <w:rFonts w:ascii="Book Antiqua" w:eastAsia="Book Antiqua" w:hAnsi="Book Antiqua" w:cs="Book Antiqua"/>
        </w:rPr>
        <w:t>Negativo</w:t>
      </w:r>
      <w:r w:rsidR="004277D8" w:rsidRPr="00744008">
        <w:rPr>
          <w:rFonts w:ascii="Book Antiqua" w:eastAsia="Book Antiqua" w:hAnsi="Book Antiqua" w:cs="Book Antiqua"/>
        </w:rPr>
        <w:t xml:space="preserve"> de</w:t>
      </w:r>
      <w:r w:rsidR="004F5778">
        <w:rPr>
          <w:rFonts w:ascii="Book Antiqua" w:eastAsia="Book Antiqua" w:hAnsi="Book Antiqua" w:cs="Book Antiqua"/>
        </w:rPr>
        <w:t xml:space="preserve">l </w:t>
      </w:r>
      <w:r w:rsidR="003649BC" w:rsidRPr="00744008">
        <w:rPr>
          <w:rFonts w:ascii="Book Antiqua" w:eastAsia="Book Antiqua" w:hAnsi="Book Antiqua" w:cs="Book Antiqua"/>
        </w:rPr>
        <w:t>P</w:t>
      </w:r>
      <w:r w:rsidR="004F5778">
        <w:rPr>
          <w:rFonts w:ascii="Book Antiqua" w:eastAsia="Book Antiqua" w:hAnsi="Book Antiqua" w:cs="Book Antiqua"/>
        </w:rPr>
        <w:t>royecto</w:t>
      </w:r>
      <w:r w:rsidR="00E82BA6" w:rsidRPr="00744008">
        <w:rPr>
          <w:rFonts w:ascii="Book Antiqua" w:eastAsia="Book Antiqua" w:hAnsi="Book Antiqua" w:cs="Book Antiqua"/>
        </w:rPr>
        <w:t xml:space="preserve"> </w:t>
      </w:r>
      <w:r w:rsidR="004277D8" w:rsidRPr="00744008">
        <w:rPr>
          <w:rFonts w:ascii="Book Antiqua" w:eastAsia="Book Antiqua" w:hAnsi="Book Antiqua" w:cs="Book Antiqua"/>
        </w:rPr>
        <w:t xml:space="preserve">de la </w:t>
      </w:r>
      <w:r w:rsidR="004F5778" w:rsidRPr="00744008">
        <w:rPr>
          <w:rFonts w:ascii="Book Antiqua" w:eastAsia="Book Antiqua" w:hAnsi="Book Antiqua" w:cs="Book Antiqua"/>
        </w:rPr>
        <w:t>C</w:t>
      </w:r>
      <w:r w:rsidR="004F5778">
        <w:rPr>
          <w:rFonts w:ascii="Book Antiqua" w:eastAsia="Book Antiqua" w:hAnsi="Book Antiqua" w:cs="Book Antiqua"/>
        </w:rPr>
        <w:t>ámara</w:t>
      </w:r>
      <w:r w:rsidR="004277D8" w:rsidRPr="00744008">
        <w:rPr>
          <w:rFonts w:ascii="Book Antiqua" w:eastAsia="Book Antiqua" w:hAnsi="Book Antiqua" w:cs="Book Antiqua"/>
        </w:rPr>
        <w:t xml:space="preserve"> Núm. </w:t>
      </w:r>
      <w:r w:rsidR="00AB0EE4">
        <w:rPr>
          <w:rFonts w:ascii="Book Antiqua" w:eastAsia="Book Antiqua" w:hAnsi="Book Antiqua" w:cs="Book Antiqua"/>
        </w:rPr>
        <w:t>278</w:t>
      </w:r>
      <w:r w:rsidR="003649BC" w:rsidRPr="00744008">
        <w:rPr>
          <w:rFonts w:ascii="Book Antiqua" w:eastAsia="Book Antiqua" w:hAnsi="Book Antiqua" w:cs="Book Antiqua"/>
        </w:rPr>
        <w:t xml:space="preserve">. </w:t>
      </w:r>
    </w:p>
    <w:p w14:paraId="00000026" w14:textId="071553C7" w:rsidR="003867AC" w:rsidRPr="00744008" w:rsidRDefault="003867AC">
      <w:pPr>
        <w:jc w:val="both"/>
        <w:rPr>
          <w:rFonts w:ascii="Book Antiqua" w:eastAsia="Book Antiqua" w:hAnsi="Book Antiqua" w:cs="Book Antiqua"/>
        </w:rPr>
      </w:pPr>
    </w:p>
    <w:p w14:paraId="00000027" w14:textId="77777777" w:rsidR="003867AC" w:rsidRPr="00744008" w:rsidRDefault="003867AC">
      <w:pPr>
        <w:jc w:val="both"/>
        <w:rPr>
          <w:rFonts w:ascii="Book Antiqua" w:eastAsia="Book Antiqua" w:hAnsi="Book Antiqua" w:cs="Book Antiqua"/>
        </w:rPr>
      </w:pPr>
    </w:p>
    <w:p w14:paraId="00000028"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Respetuosamente sometido,</w:t>
      </w:r>
    </w:p>
    <w:p w14:paraId="00000029" w14:textId="77777777" w:rsidR="003867AC" w:rsidRPr="00744008" w:rsidRDefault="003867AC">
      <w:pPr>
        <w:jc w:val="both"/>
        <w:rPr>
          <w:rFonts w:ascii="Book Antiqua" w:eastAsia="Book Antiqua" w:hAnsi="Book Antiqua" w:cs="Book Antiqua"/>
        </w:rPr>
      </w:pPr>
    </w:p>
    <w:p w14:paraId="0000002A" w14:textId="77777777" w:rsidR="003867AC" w:rsidRPr="00744008" w:rsidRDefault="003867AC">
      <w:pPr>
        <w:jc w:val="both"/>
        <w:rPr>
          <w:rFonts w:ascii="Book Antiqua" w:eastAsia="Book Antiqua" w:hAnsi="Book Antiqua" w:cs="Book Antiqua"/>
        </w:rPr>
      </w:pPr>
    </w:p>
    <w:p w14:paraId="0000002B" w14:textId="77777777" w:rsidR="003867AC" w:rsidRPr="00744008" w:rsidRDefault="003867AC">
      <w:pPr>
        <w:jc w:val="both"/>
        <w:rPr>
          <w:rFonts w:ascii="Book Antiqua" w:eastAsia="Book Antiqua" w:hAnsi="Book Antiqua" w:cs="Book Antiqua"/>
        </w:rPr>
      </w:pPr>
    </w:p>
    <w:p w14:paraId="0000002C" w14:textId="77777777" w:rsidR="003867AC" w:rsidRPr="00744008" w:rsidRDefault="003867AC">
      <w:pPr>
        <w:jc w:val="both"/>
        <w:rPr>
          <w:rFonts w:ascii="Book Antiqua" w:eastAsia="Book Antiqua" w:hAnsi="Book Antiqua" w:cs="Book Antiqua"/>
        </w:rPr>
      </w:pPr>
    </w:p>
    <w:p w14:paraId="0000002D" w14:textId="4577F10A"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Hon. José </w:t>
      </w:r>
      <w:r w:rsidR="00A11D0B" w:rsidRPr="00744008">
        <w:rPr>
          <w:rFonts w:ascii="Book Antiqua" w:eastAsia="Book Antiqua" w:hAnsi="Book Antiqua" w:cs="Book Antiqua"/>
        </w:rPr>
        <w:t xml:space="preserve">A. </w:t>
      </w:r>
      <w:r w:rsidRPr="00744008">
        <w:rPr>
          <w:rFonts w:ascii="Book Antiqua" w:eastAsia="Book Antiqua" w:hAnsi="Book Antiqua" w:cs="Book Antiqua"/>
        </w:rPr>
        <w:t xml:space="preserve">Hernández Concepción </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t xml:space="preserve"> </w:t>
      </w:r>
    </w:p>
    <w:p w14:paraId="0000002E"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Presidente</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p>
    <w:p w14:paraId="0000002F"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BAD93" w14:textId="77777777" w:rsidR="00AF30E9" w:rsidRDefault="00AF30E9">
      <w:r>
        <w:separator/>
      </w:r>
    </w:p>
  </w:endnote>
  <w:endnote w:type="continuationSeparator" w:id="0">
    <w:p w14:paraId="3461C936" w14:textId="77777777" w:rsidR="00AF30E9" w:rsidRDefault="00AF3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97B2868-571C-495E-A9C7-DA928605C764}"/>
  </w:font>
  <w:font w:name="Helvetica">
    <w:panose1 w:val="020B0604020202020204"/>
    <w:charset w:val="00"/>
    <w:family w:val="swiss"/>
    <w:pitch w:val="variable"/>
    <w:sig w:usb0="E0002EFF" w:usb1="C000785B" w:usb2="00000009" w:usb3="00000000" w:csb0="000001FF" w:csb1="00000000"/>
    <w:embedRegular r:id="rId2" w:fontKey="{462E4A7F-18BF-4333-A90D-7599B6D05E5B}"/>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3A79B4A-BAEC-42DE-90EF-D87706ECE02D}"/>
  </w:font>
  <w:font w:name="Georgia">
    <w:panose1 w:val="02040502050405020303"/>
    <w:charset w:val="00"/>
    <w:family w:val="roman"/>
    <w:pitch w:val="variable"/>
    <w:sig w:usb0="00000287" w:usb1="00000000" w:usb2="00000000" w:usb3="00000000" w:csb0="0000009F" w:csb1="00000000"/>
    <w:embedRegular r:id="rId4" w:fontKey="{A90DA946-8E74-4264-A08C-0A196F47029A}"/>
    <w:embedItalic r:id="rId5" w:fontKey="{8A0BD467-DE18-42DE-933E-0F4029337477}"/>
  </w:font>
  <w:font w:name="Book Antiqua">
    <w:panose1 w:val="02040602050305030304"/>
    <w:charset w:val="00"/>
    <w:family w:val="roman"/>
    <w:pitch w:val="variable"/>
    <w:sig w:usb0="00000287" w:usb1="00000000" w:usb2="00000000" w:usb3="00000000" w:csb0="0000009F" w:csb1="00000000"/>
    <w:embedRegular r:id="rId6" w:fontKey="{0669FB99-82E1-4AA3-9132-62DC0DA05915}"/>
    <w:embedBold r:id="rId7" w:fontKey="{E88180F7-3C1E-42DF-A746-D1F23ADF4A0C}"/>
  </w:font>
  <w:font w:name="Helvetica Neue">
    <w:charset w:val="00"/>
    <w:family w:val="auto"/>
    <w:pitch w:val="default"/>
    <w:embedRegular r:id="rId8" w:fontKey="{A595DCA5-85BC-45E8-9C03-D57055D4E77C}"/>
    <w:embedBold r:id="rId9" w:fontKey="{D09E46AD-4102-4B32-9A32-153A2CE6AA5A}"/>
  </w:font>
  <w:font w:name="Lustria">
    <w:altName w:val="Calibri"/>
    <w:charset w:val="00"/>
    <w:family w:val="auto"/>
    <w:pitch w:val="default"/>
    <w:embedRegular r:id="rId10" w:fontKey="{F51C2452-BB7C-4C0D-A67F-47EC4835CCBD}"/>
    <w:embedBoldItalic r:id="rId11" w:fontKey="{6827C416-826B-4668-8A29-0867CC1D2632}"/>
  </w:font>
  <w:font w:name="Cambria">
    <w:panose1 w:val="02040503050406030204"/>
    <w:charset w:val="00"/>
    <w:family w:val="roman"/>
    <w:pitch w:val="variable"/>
    <w:sig w:usb0="E00006FF" w:usb1="420024FF" w:usb2="02000000" w:usb3="00000000" w:csb0="0000019F" w:csb1="00000000"/>
    <w:embedRegular r:id="rId12" w:fontKey="{BF860297-9713-4729-8BEA-6F7AFC5FDAB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C9611" w14:textId="77777777" w:rsidR="00AF30E9" w:rsidRDefault="00AF30E9">
      <w:r>
        <w:separator/>
      </w:r>
    </w:p>
  </w:footnote>
  <w:footnote w:type="continuationSeparator" w:id="0">
    <w:p w14:paraId="1900294A" w14:textId="77777777" w:rsidR="00AF30E9" w:rsidRDefault="00AF3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0088F68"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3649BC">
      <w:rPr>
        <w:rFonts w:ascii="Lustria" w:eastAsia="Lustria" w:hAnsi="Lustria" w:cs="Lustria"/>
        <w:b/>
        <w:i/>
        <w:sz w:val="22"/>
        <w:szCs w:val="22"/>
      </w:rPr>
      <w:t xml:space="preserve"> Negativo</w:t>
    </w:r>
    <w:r>
      <w:rPr>
        <w:rFonts w:ascii="Lustria" w:eastAsia="Lustria" w:hAnsi="Lustria" w:cs="Lustria"/>
        <w:b/>
        <w:i/>
        <w:sz w:val="22"/>
        <w:szCs w:val="22"/>
      </w:rPr>
      <w:t xml:space="preserve"> sobre el </w:t>
    </w:r>
    <w:r w:rsidR="003649BC">
      <w:rPr>
        <w:rFonts w:ascii="Lustria" w:eastAsia="Lustria" w:hAnsi="Lustria" w:cs="Lustria"/>
        <w:b/>
        <w:i/>
        <w:sz w:val="22"/>
        <w:szCs w:val="22"/>
      </w:rPr>
      <w:t>P</w:t>
    </w:r>
    <w:r w:rsidR="00E82BA6">
      <w:rPr>
        <w:rFonts w:ascii="Lustria" w:eastAsia="Lustria" w:hAnsi="Lustria" w:cs="Lustria"/>
        <w:b/>
        <w:i/>
        <w:sz w:val="22"/>
        <w:szCs w:val="22"/>
      </w:rPr>
      <w:t xml:space="preserve"> </w:t>
    </w:r>
    <w:r>
      <w:rPr>
        <w:rFonts w:ascii="Lustria" w:eastAsia="Lustria" w:hAnsi="Lustria" w:cs="Lustria"/>
        <w:b/>
        <w:i/>
        <w:sz w:val="22"/>
        <w:szCs w:val="22"/>
      </w:rPr>
      <w:t xml:space="preserve">de la </w:t>
    </w:r>
    <w:r w:rsidR="004A35A7">
      <w:rPr>
        <w:rFonts w:ascii="Lustria" w:eastAsia="Lustria" w:hAnsi="Lustria" w:cs="Lustria"/>
        <w:b/>
        <w:i/>
        <w:sz w:val="22"/>
        <w:szCs w:val="22"/>
      </w:rPr>
      <w:t>C</w:t>
    </w:r>
    <w:r>
      <w:rPr>
        <w:rFonts w:ascii="Lustria" w:eastAsia="Lustria" w:hAnsi="Lustria" w:cs="Lustria"/>
        <w:b/>
        <w:i/>
        <w:sz w:val="22"/>
        <w:szCs w:val="22"/>
      </w:rPr>
      <w:t xml:space="preserve">. </w:t>
    </w:r>
    <w:r w:rsidR="00AE1C17">
      <w:rPr>
        <w:rFonts w:ascii="Lustria" w:eastAsia="Lustria" w:hAnsi="Lustria" w:cs="Lustria"/>
        <w:b/>
        <w:i/>
        <w:sz w:val="22"/>
        <w:szCs w:val="22"/>
      </w:rPr>
      <w:t>278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825C8"/>
    <w:rsid w:val="000A0BC8"/>
    <w:rsid w:val="000A23A1"/>
    <w:rsid w:val="000A752D"/>
    <w:rsid w:val="000C098A"/>
    <w:rsid w:val="000F7A24"/>
    <w:rsid w:val="00101FB4"/>
    <w:rsid w:val="0012417C"/>
    <w:rsid w:val="00147B7C"/>
    <w:rsid w:val="00156ED3"/>
    <w:rsid w:val="00160C1F"/>
    <w:rsid w:val="001619B2"/>
    <w:rsid w:val="00166443"/>
    <w:rsid w:val="001714C4"/>
    <w:rsid w:val="00191185"/>
    <w:rsid w:val="001A3E93"/>
    <w:rsid w:val="001D424E"/>
    <w:rsid w:val="001E16CE"/>
    <w:rsid w:val="001E2EB4"/>
    <w:rsid w:val="001E6E24"/>
    <w:rsid w:val="00202B9F"/>
    <w:rsid w:val="00204C67"/>
    <w:rsid w:val="00220975"/>
    <w:rsid w:val="00222393"/>
    <w:rsid w:val="00235829"/>
    <w:rsid w:val="00266B2F"/>
    <w:rsid w:val="00274850"/>
    <w:rsid w:val="002927A8"/>
    <w:rsid w:val="002A15A8"/>
    <w:rsid w:val="002D4DC3"/>
    <w:rsid w:val="002E1FA6"/>
    <w:rsid w:val="002E2622"/>
    <w:rsid w:val="002E62AC"/>
    <w:rsid w:val="002E69C5"/>
    <w:rsid w:val="002E6DD3"/>
    <w:rsid w:val="00316E29"/>
    <w:rsid w:val="0032546D"/>
    <w:rsid w:val="003277C8"/>
    <w:rsid w:val="00333FB4"/>
    <w:rsid w:val="003448B4"/>
    <w:rsid w:val="0035050C"/>
    <w:rsid w:val="0035616B"/>
    <w:rsid w:val="003649BC"/>
    <w:rsid w:val="0037197C"/>
    <w:rsid w:val="00373E49"/>
    <w:rsid w:val="00382780"/>
    <w:rsid w:val="00383D79"/>
    <w:rsid w:val="003867AC"/>
    <w:rsid w:val="0039352E"/>
    <w:rsid w:val="0039437F"/>
    <w:rsid w:val="003A0F94"/>
    <w:rsid w:val="003B1A27"/>
    <w:rsid w:val="003C2799"/>
    <w:rsid w:val="003E479C"/>
    <w:rsid w:val="00400B99"/>
    <w:rsid w:val="004277D8"/>
    <w:rsid w:val="00431557"/>
    <w:rsid w:val="004673DA"/>
    <w:rsid w:val="0047119B"/>
    <w:rsid w:val="00471A39"/>
    <w:rsid w:val="00472C8D"/>
    <w:rsid w:val="004730E0"/>
    <w:rsid w:val="00473D39"/>
    <w:rsid w:val="00475814"/>
    <w:rsid w:val="0049326F"/>
    <w:rsid w:val="004A35A7"/>
    <w:rsid w:val="004A6565"/>
    <w:rsid w:val="004D3D36"/>
    <w:rsid w:val="004E219C"/>
    <w:rsid w:val="004E28E4"/>
    <w:rsid w:val="004F5778"/>
    <w:rsid w:val="00501798"/>
    <w:rsid w:val="00505653"/>
    <w:rsid w:val="005059B4"/>
    <w:rsid w:val="0050681B"/>
    <w:rsid w:val="00506A3D"/>
    <w:rsid w:val="005227C0"/>
    <w:rsid w:val="005456F5"/>
    <w:rsid w:val="00550313"/>
    <w:rsid w:val="00557604"/>
    <w:rsid w:val="00565CDF"/>
    <w:rsid w:val="005858EA"/>
    <w:rsid w:val="005871B4"/>
    <w:rsid w:val="00596F5B"/>
    <w:rsid w:val="005A1843"/>
    <w:rsid w:val="005E4A2F"/>
    <w:rsid w:val="00605CE1"/>
    <w:rsid w:val="0060692B"/>
    <w:rsid w:val="006354F3"/>
    <w:rsid w:val="00642646"/>
    <w:rsid w:val="00653262"/>
    <w:rsid w:val="00662B84"/>
    <w:rsid w:val="00677312"/>
    <w:rsid w:val="00677380"/>
    <w:rsid w:val="006908FA"/>
    <w:rsid w:val="00691E06"/>
    <w:rsid w:val="006A552A"/>
    <w:rsid w:val="006A7E5E"/>
    <w:rsid w:val="006B26BD"/>
    <w:rsid w:val="006D297F"/>
    <w:rsid w:val="006E029C"/>
    <w:rsid w:val="006F71C7"/>
    <w:rsid w:val="00700566"/>
    <w:rsid w:val="0071797E"/>
    <w:rsid w:val="00735C8F"/>
    <w:rsid w:val="00744008"/>
    <w:rsid w:val="00747FD2"/>
    <w:rsid w:val="00766B8B"/>
    <w:rsid w:val="00772095"/>
    <w:rsid w:val="00775172"/>
    <w:rsid w:val="00785FCE"/>
    <w:rsid w:val="0079045F"/>
    <w:rsid w:val="00790497"/>
    <w:rsid w:val="007923B1"/>
    <w:rsid w:val="00797E58"/>
    <w:rsid w:val="00797FCC"/>
    <w:rsid w:val="007A023B"/>
    <w:rsid w:val="007C31AB"/>
    <w:rsid w:val="007C3C34"/>
    <w:rsid w:val="007C6404"/>
    <w:rsid w:val="007E4F82"/>
    <w:rsid w:val="007E6F6E"/>
    <w:rsid w:val="007F05CC"/>
    <w:rsid w:val="007F0CDC"/>
    <w:rsid w:val="00817784"/>
    <w:rsid w:val="00830D73"/>
    <w:rsid w:val="0083404D"/>
    <w:rsid w:val="008355F8"/>
    <w:rsid w:val="00835F7B"/>
    <w:rsid w:val="00842EBD"/>
    <w:rsid w:val="0085373F"/>
    <w:rsid w:val="0085568D"/>
    <w:rsid w:val="00875CE7"/>
    <w:rsid w:val="00880662"/>
    <w:rsid w:val="008A645B"/>
    <w:rsid w:val="008A65F0"/>
    <w:rsid w:val="008A7B90"/>
    <w:rsid w:val="008B1D55"/>
    <w:rsid w:val="008B5454"/>
    <w:rsid w:val="008C6705"/>
    <w:rsid w:val="008D3F5B"/>
    <w:rsid w:val="008E7719"/>
    <w:rsid w:val="008F04C1"/>
    <w:rsid w:val="008F30F0"/>
    <w:rsid w:val="008F4C1B"/>
    <w:rsid w:val="00903883"/>
    <w:rsid w:val="009048A3"/>
    <w:rsid w:val="00906F3B"/>
    <w:rsid w:val="0091544D"/>
    <w:rsid w:val="00940A79"/>
    <w:rsid w:val="009742B0"/>
    <w:rsid w:val="009821D1"/>
    <w:rsid w:val="009E0BE7"/>
    <w:rsid w:val="009E7555"/>
    <w:rsid w:val="00A11D0B"/>
    <w:rsid w:val="00A16802"/>
    <w:rsid w:val="00A24012"/>
    <w:rsid w:val="00A27CCB"/>
    <w:rsid w:val="00A43849"/>
    <w:rsid w:val="00A57E02"/>
    <w:rsid w:val="00A62FD8"/>
    <w:rsid w:val="00A95142"/>
    <w:rsid w:val="00AB0EE4"/>
    <w:rsid w:val="00AB45BB"/>
    <w:rsid w:val="00AC7FD7"/>
    <w:rsid w:val="00AD05EA"/>
    <w:rsid w:val="00AE1C17"/>
    <w:rsid w:val="00AE1FD3"/>
    <w:rsid w:val="00AE44CF"/>
    <w:rsid w:val="00AF30E9"/>
    <w:rsid w:val="00B43BBC"/>
    <w:rsid w:val="00B457FD"/>
    <w:rsid w:val="00B45C76"/>
    <w:rsid w:val="00B46ABC"/>
    <w:rsid w:val="00B52476"/>
    <w:rsid w:val="00B5291E"/>
    <w:rsid w:val="00B57A56"/>
    <w:rsid w:val="00B816C5"/>
    <w:rsid w:val="00BA4DF7"/>
    <w:rsid w:val="00BC7E43"/>
    <w:rsid w:val="00C023B0"/>
    <w:rsid w:val="00C13D9D"/>
    <w:rsid w:val="00C1423C"/>
    <w:rsid w:val="00C41F71"/>
    <w:rsid w:val="00C54554"/>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44616"/>
    <w:rsid w:val="00D5029F"/>
    <w:rsid w:val="00D60BBD"/>
    <w:rsid w:val="00D64D19"/>
    <w:rsid w:val="00D82337"/>
    <w:rsid w:val="00D83118"/>
    <w:rsid w:val="00DB02F9"/>
    <w:rsid w:val="00DB46A4"/>
    <w:rsid w:val="00DC3142"/>
    <w:rsid w:val="00DD6D1E"/>
    <w:rsid w:val="00DE6658"/>
    <w:rsid w:val="00E15339"/>
    <w:rsid w:val="00E16D68"/>
    <w:rsid w:val="00E24AC1"/>
    <w:rsid w:val="00E3056E"/>
    <w:rsid w:val="00E374AE"/>
    <w:rsid w:val="00E62D96"/>
    <w:rsid w:val="00E776D5"/>
    <w:rsid w:val="00E82BA6"/>
    <w:rsid w:val="00E8576C"/>
    <w:rsid w:val="00E86FC9"/>
    <w:rsid w:val="00E94557"/>
    <w:rsid w:val="00EA26A1"/>
    <w:rsid w:val="00EB340F"/>
    <w:rsid w:val="00EE495C"/>
    <w:rsid w:val="00EE5B6A"/>
    <w:rsid w:val="00F01A45"/>
    <w:rsid w:val="00F01B4D"/>
    <w:rsid w:val="00F0263C"/>
    <w:rsid w:val="00F032FA"/>
    <w:rsid w:val="00F05EFF"/>
    <w:rsid w:val="00F0620F"/>
    <w:rsid w:val="00F104E1"/>
    <w:rsid w:val="00F26D5A"/>
    <w:rsid w:val="00F366B9"/>
    <w:rsid w:val="00F64D5F"/>
    <w:rsid w:val="00F84592"/>
    <w:rsid w:val="00F84D5C"/>
    <w:rsid w:val="00FA71C8"/>
    <w:rsid w:val="00FA747A"/>
    <w:rsid w:val="00FB1972"/>
    <w:rsid w:val="00FB2FCA"/>
    <w:rsid w:val="00FD0780"/>
    <w:rsid w:val="00FD2347"/>
    <w:rsid w:val="00FE33BD"/>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780">
      <w:bodyDiv w:val="1"/>
      <w:marLeft w:val="0"/>
      <w:marRight w:val="0"/>
      <w:marTop w:val="0"/>
      <w:marBottom w:val="0"/>
      <w:divBdr>
        <w:top w:val="none" w:sz="0" w:space="0" w:color="auto"/>
        <w:left w:val="none" w:sz="0" w:space="0" w:color="auto"/>
        <w:bottom w:val="none" w:sz="0" w:space="0" w:color="auto"/>
        <w:right w:val="none" w:sz="0" w:space="0" w:color="auto"/>
      </w:divBdr>
    </w:div>
    <w:div w:id="364255584">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608856417">
      <w:bodyDiv w:val="1"/>
      <w:marLeft w:val="0"/>
      <w:marRight w:val="0"/>
      <w:marTop w:val="0"/>
      <w:marBottom w:val="0"/>
      <w:divBdr>
        <w:top w:val="none" w:sz="0" w:space="0" w:color="auto"/>
        <w:left w:val="none" w:sz="0" w:space="0" w:color="auto"/>
        <w:bottom w:val="none" w:sz="0" w:space="0" w:color="auto"/>
        <w:right w:val="none" w:sz="0" w:space="0" w:color="auto"/>
      </w:divBdr>
    </w:div>
    <w:div w:id="64909675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09845261">
      <w:bodyDiv w:val="1"/>
      <w:marLeft w:val="0"/>
      <w:marRight w:val="0"/>
      <w:marTop w:val="0"/>
      <w:marBottom w:val="0"/>
      <w:divBdr>
        <w:top w:val="none" w:sz="0" w:space="0" w:color="auto"/>
        <w:left w:val="none" w:sz="0" w:space="0" w:color="auto"/>
        <w:bottom w:val="none" w:sz="0" w:space="0" w:color="auto"/>
        <w:right w:val="none" w:sz="0" w:space="0" w:color="auto"/>
      </w:divBdr>
    </w:div>
    <w:div w:id="959649130">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97631117">
      <w:bodyDiv w:val="1"/>
      <w:marLeft w:val="0"/>
      <w:marRight w:val="0"/>
      <w:marTop w:val="0"/>
      <w:marBottom w:val="0"/>
      <w:divBdr>
        <w:top w:val="none" w:sz="0" w:space="0" w:color="auto"/>
        <w:left w:val="none" w:sz="0" w:space="0" w:color="auto"/>
        <w:bottom w:val="none" w:sz="0" w:space="0" w:color="auto"/>
        <w:right w:val="none" w:sz="0" w:space="0" w:color="auto"/>
      </w:divBdr>
    </w:div>
    <w:div w:id="1929073374">
      <w:bodyDiv w:val="1"/>
      <w:marLeft w:val="0"/>
      <w:marRight w:val="0"/>
      <w:marTop w:val="0"/>
      <w:marBottom w:val="0"/>
      <w:divBdr>
        <w:top w:val="none" w:sz="0" w:space="0" w:color="auto"/>
        <w:left w:val="none" w:sz="0" w:space="0" w:color="auto"/>
        <w:bottom w:val="none" w:sz="0" w:space="0" w:color="auto"/>
        <w:right w:val="none" w:sz="0" w:space="0" w:color="auto"/>
      </w:divBdr>
      <w:divsChild>
        <w:div w:id="19951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1194</Words>
  <Characters>6806</Characters>
  <Application>Microsoft Office Word</Application>
  <DocSecurity>4</DocSecurity>
  <Lines>56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2025-09-15T20:01:00Z</cp:lastPrinted>
  <dcterms:created xsi:type="dcterms:W3CDTF">2026-06-09T14:52:00Z</dcterms:created>
  <dcterms:modified xsi:type="dcterms:W3CDTF">2026-06-09T14:52:00Z</dcterms:modified>
</cp:coreProperties>
</file>