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9A622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9A622B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9A622B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9A622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9A622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9A622B">
        <w:rPr>
          <w:rFonts w:ascii="Book Antiqua" w:hAnsi="Book Antiqua"/>
          <w:szCs w:val="24"/>
          <w:lang w:val="es-ES_tradnl"/>
        </w:rPr>
        <w:t>20m</w:t>
      </w:r>
      <w:r w:rsidR="002670C1" w:rsidRPr="009A622B">
        <w:rPr>
          <w:rFonts w:ascii="Book Antiqua" w:hAnsi="Book Antiqua"/>
          <w:szCs w:val="24"/>
          <w:lang w:val="es-ES_tradnl"/>
        </w:rPr>
        <w:t>a. Asamblea</w:t>
      </w:r>
      <w:r w:rsidR="002670C1" w:rsidRPr="009A622B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9A622B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9A622B">
        <w:rPr>
          <w:rFonts w:ascii="Book Antiqua" w:hAnsi="Book Antiqua"/>
          <w:szCs w:val="24"/>
          <w:lang w:val="es-ES_tradnl"/>
        </w:rPr>
        <w:t xml:space="preserve">  </w:t>
      </w:r>
      <w:r w:rsidR="00445CFE" w:rsidRPr="009A622B">
        <w:rPr>
          <w:rFonts w:ascii="Book Antiqua" w:hAnsi="Book Antiqua"/>
          <w:szCs w:val="24"/>
          <w:lang w:val="es-ES_tradnl"/>
        </w:rPr>
        <w:t>1r</w:t>
      </w:r>
      <w:r w:rsidR="002670C1" w:rsidRPr="009A622B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9A622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9A622B">
        <w:rPr>
          <w:rFonts w:ascii="Book Antiqua" w:hAnsi="Book Antiqua"/>
          <w:szCs w:val="24"/>
          <w:lang w:val="es-ES_tradnl"/>
        </w:rPr>
        <w:tab/>
        <w:t>Legislativa</w:t>
      </w:r>
      <w:r w:rsidRPr="009A622B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9A622B">
        <w:rPr>
          <w:rFonts w:ascii="Book Antiqua" w:hAnsi="Book Antiqua"/>
          <w:szCs w:val="24"/>
          <w:lang w:val="es-ES_tradnl"/>
        </w:rPr>
        <w:t xml:space="preserve">       </w:t>
      </w:r>
      <w:r w:rsidRPr="009A622B">
        <w:rPr>
          <w:rFonts w:ascii="Book Antiqua" w:hAnsi="Book Antiqua"/>
          <w:szCs w:val="24"/>
          <w:lang w:val="es-ES_tradnl"/>
        </w:rPr>
        <w:t xml:space="preserve"> </w:t>
      </w:r>
      <w:r w:rsidR="00632DBA" w:rsidRPr="009A622B">
        <w:rPr>
          <w:rFonts w:ascii="Book Antiqua" w:hAnsi="Book Antiqua"/>
          <w:szCs w:val="24"/>
          <w:lang w:val="es-ES_tradnl"/>
        </w:rPr>
        <w:t xml:space="preserve"> </w:t>
      </w:r>
      <w:r w:rsidRPr="009A622B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9A622B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9A622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9A622B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9A622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9A622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0970079" w:rsidR="002670C1" w:rsidRPr="009A622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9A622B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287E61" w:rsidRPr="009A622B">
        <w:rPr>
          <w:rFonts w:ascii="Book Antiqua" w:hAnsi="Book Antiqua" w:cs="Tahoma"/>
          <w:b/>
          <w:sz w:val="52"/>
          <w:szCs w:val="52"/>
          <w:lang w:val="es-ES_tradnl"/>
        </w:rPr>
        <w:t>121</w:t>
      </w:r>
    </w:p>
    <w:p w14:paraId="2AB71EBC" w14:textId="77777777" w:rsidR="001A14B6" w:rsidRPr="009A622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9A622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9A622B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9A622B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9A622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B412DAA" w:rsidR="002670C1" w:rsidRPr="009A622B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9A622B">
        <w:rPr>
          <w:rFonts w:ascii="Book Antiqua" w:hAnsi="Book Antiqua" w:cs="Tahoma"/>
          <w:lang w:val="es-ES_tradnl"/>
        </w:rPr>
        <w:t xml:space="preserve">  </w:t>
      </w:r>
      <w:r w:rsidR="008A4022" w:rsidRPr="009A622B">
        <w:rPr>
          <w:rFonts w:ascii="Book Antiqua" w:hAnsi="Book Antiqua" w:cs="Tahoma"/>
          <w:lang w:val="es-ES_tradnl"/>
        </w:rPr>
        <w:t>1</w:t>
      </w:r>
      <w:r w:rsidR="00655810">
        <w:rPr>
          <w:rFonts w:ascii="Book Antiqua" w:hAnsi="Book Antiqua" w:cs="Tahoma"/>
          <w:lang w:val="es-ES_tradnl"/>
        </w:rPr>
        <w:t>3</w:t>
      </w:r>
      <w:r w:rsidR="00BD5F6F" w:rsidRPr="009A622B">
        <w:rPr>
          <w:rFonts w:ascii="Book Antiqua" w:hAnsi="Book Antiqua" w:cs="Tahoma"/>
          <w:lang w:val="es-ES_tradnl"/>
        </w:rPr>
        <w:t xml:space="preserve"> </w:t>
      </w:r>
      <w:r w:rsidRPr="009A622B">
        <w:rPr>
          <w:rFonts w:ascii="Book Antiqua" w:hAnsi="Book Antiqua" w:cs="Tahoma"/>
          <w:lang w:val="es-ES_tradnl"/>
        </w:rPr>
        <w:t xml:space="preserve">de </w:t>
      </w:r>
      <w:r w:rsidR="002252A6" w:rsidRPr="009A622B">
        <w:rPr>
          <w:rFonts w:ascii="Book Antiqua" w:hAnsi="Book Antiqua" w:cs="Tahoma"/>
          <w:lang w:val="es-ES_tradnl"/>
        </w:rPr>
        <w:t>febrero</w:t>
      </w:r>
      <w:r w:rsidRPr="009A622B">
        <w:rPr>
          <w:rFonts w:ascii="Book Antiqua" w:hAnsi="Book Antiqua" w:cs="Tahoma"/>
          <w:lang w:val="es-ES_tradnl"/>
        </w:rPr>
        <w:t xml:space="preserve"> de </w:t>
      </w:r>
      <w:r w:rsidR="00333864" w:rsidRPr="009A622B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9A622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9A622B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9A622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9A622B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9A622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0DB5B13F" w14:textId="367FE6B3" w:rsidR="00E86FF9" w:rsidRPr="009A622B" w:rsidRDefault="002670C1" w:rsidP="00E86FF9">
      <w:pPr>
        <w:jc w:val="both"/>
        <w:rPr>
          <w:rFonts w:ascii="Book Antiqua" w:hAnsi="Book Antiqua" w:cs="Tahoma"/>
          <w:lang w:val="es-ES_tradnl"/>
        </w:rPr>
      </w:pPr>
      <w:r w:rsidRPr="009A622B">
        <w:rPr>
          <w:rFonts w:ascii="Book Antiqua" w:hAnsi="Book Antiqua" w:cs="Tahoma"/>
          <w:lang w:val="es-ES_tradnl"/>
        </w:rPr>
        <w:tab/>
      </w:r>
      <w:r w:rsidR="008A4022" w:rsidRPr="009A622B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287E61" w:rsidRPr="009A622B">
        <w:rPr>
          <w:rFonts w:ascii="Book Antiqua" w:hAnsi="Book Antiqua" w:cs="Tahoma"/>
          <w:lang w:val="es-ES_tradnl"/>
        </w:rPr>
        <w:t>sideración de la R. de la C. 121, presentada por el representante Morey Noble</w:t>
      </w:r>
      <w:r w:rsidR="00E86FF9" w:rsidRPr="009A622B">
        <w:rPr>
          <w:rFonts w:ascii="Book Antiqua" w:hAnsi="Book Antiqua" w:cs="Tahoma"/>
          <w:lang w:val="es-ES_tradnl"/>
        </w:rPr>
        <w:t>, tiene a bien someter su informe recomendando la aprobación de la medida con las enmiendas contenidas en el entirillado electrónico que acompaña este informe, y cuyo título lee:</w:t>
      </w:r>
    </w:p>
    <w:p w14:paraId="02A5F4F6" w14:textId="77777777" w:rsidR="00E86FF9" w:rsidRPr="009A622B" w:rsidRDefault="00E86FF9" w:rsidP="008D4A0A">
      <w:pPr>
        <w:jc w:val="both"/>
        <w:rPr>
          <w:rFonts w:ascii="Book Antiqua" w:hAnsi="Book Antiqua" w:cs="Tahoma"/>
          <w:lang w:val="es-ES_tradnl"/>
        </w:rPr>
      </w:pPr>
    </w:p>
    <w:p w14:paraId="7E5524C0" w14:textId="3B6246E3" w:rsidR="00E86FF9" w:rsidRPr="009A622B" w:rsidRDefault="00E86FF9" w:rsidP="00287E61">
      <w:pPr>
        <w:ind w:left="567" w:hanging="567"/>
        <w:jc w:val="both"/>
        <w:rPr>
          <w:rFonts w:ascii="Book Antiqua" w:hAnsi="Book Antiqua"/>
          <w:lang w:val="es-ES_tradnl"/>
        </w:rPr>
      </w:pPr>
      <w:r w:rsidRPr="009A622B">
        <w:rPr>
          <w:rFonts w:ascii="Book Antiqua" w:hAnsi="Book Antiqua" w:cs="Tahoma"/>
          <w:lang w:val="es-ES_tradnl"/>
        </w:rPr>
        <w:t>“</w:t>
      </w:r>
      <w:r w:rsidRPr="009A622B">
        <w:rPr>
          <w:rFonts w:ascii="Book Antiqua" w:hAnsi="Book Antiqua"/>
          <w:lang w:val="es-ES_tradnl"/>
        </w:rPr>
        <w:t>Para</w:t>
      </w:r>
      <w:r w:rsidRPr="009A622B">
        <w:rPr>
          <w:lang w:val="es-ES_tradnl"/>
        </w:rPr>
        <w:t xml:space="preserve"> </w:t>
      </w:r>
      <w:r w:rsidRPr="009A622B">
        <w:rPr>
          <w:rFonts w:ascii="Book Antiqua" w:hAnsi="Book Antiqua"/>
          <w:lang w:val="es-ES_tradnl"/>
        </w:rPr>
        <w:t xml:space="preserve">ordenar a la Comisión de </w:t>
      </w:r>
      <w:r w:rsidR="00287E61" w:rsidRPr="009A622B">
        <w:rPr>
          <w:rFonts w:ascii="Book Antiqua" w:hAnsi="Book Antiqua"/>
          <w:lang w:val="es-ES_tradnl"/>
        </w:rPr>
        <w:t>Reorganización, Eficiencia y Diligencia</w:t>
      </w:r>
      <w:r w:rsidR="00287E61" w:rsidRPr="009A622B">
        <w:rPr>
          <w:rFonts w:ascii="Arial" w:hAnsi="Arial" w:cs="Arial"/>
          <w:color w:val="345326"/>
          <w:sz w:val="18"/>
          <w:szCs w:val="18"/>
          <w:lang w:val="es-ES_tradnl"/>
        </w:rPr>
        <w:t xml:space="preserve"> </w:t>
      </w:r>
      <w:r w:rsidR="00287E61" w:rsidRPr="009A622B">
        <w:rPr>
          <w:rFonts w:ascii="Book Antiqua" w:hAnsi="Book Antiqua"/>
          <w:lang w:val="es-ES_tradnl"/>
        </w:rPr>
        <w:t>de la Cámara de Representantes de Puerto Rico a realizar una investigación sobre todo asunto relacionado con l</w:t>
      </w:r>
      <w:r w:rsidR="00287E61" w:rsidRPr="009A622B">
        <w:rPr>
          <w:rFonts w:ascii="Palatino Linotype" w:hAnsi="Palatino Linotype"/>
          <w:lang w:val="es-ES_tradnl"/>
        </w:rPr>
        <w:t xml:space="preserve">a identificación de las leyes y los reglamentos que se consideran ‘letra muerta’ ya que han sido en todo o en parte sustituidos, parcialmente derogados o simplemente obsoletos, la identificación de las leyes que estén en conflicto con otras y/o regulen temas similares, la identificación de temas y </w:t>
      </w:r>
      <w:bookmarkStart w:id="0" w:name="_Hlk184969337"/>
      <w:r w:rsidR="00287E61" w:rsidRPr="009A622B">
        <w:rPr>
          <w:rFonts w:ascii="Palatino Linotype" w:hAnsi="Palatino Linotype"/>
          <w:lang w:val="es-ES_tradnl"/>
        </w:rPr>
        <w:t>á</w:t>
      </w:r>
      <w:bookmarkEnd w:id="0"/>
      <w:r w:rsidR="00287E61" w:rsidRPr="009A622B">
        <w:rPr>
          <w:rFonts w:ascii="Palatino Linotype" w:hAnsi="Palatino Linotype"/>
          <w:lang w:val="es-ES_tradnl"/>
        </w:rPr>
        <w:t xml:space="preserve">reas que sufren de sobre legislación y/o sobre reglamentación en las Agencias y organismos gubernamentales, la </w:t>
      </w:r>
      <w:r w:rsidR="00287E61" w:rsidRPr="009A622B">
        <w:rPr>
          <w:rFonts w:ascii="Book Antiqua" w:hAnsi="Book Antiqua"/>
          <w:lang w:val="es-ES_tradnl"/>
        </w:rPr>
        <w:t xml:space="preserve">investigación y rendición de cuentas con todo lo relacionado a la reorganización de las agencias del Gobierno de Puerto Rico y para otros fines relacionados. </w:t>
      </w:r>
      <w:r w:rsidRPr="009A622B">
        <w:rPr>
          <w:rFonts w:ascii="Book Antiqua" w:hAnsi="Book Antiqua"/>
          <w:lang w:val="es-ES_tradnl"/>
        </w:rPr>
        <w:t>”</w:t>
      </w:r>
    </w:p>
    <w:p w14:paraId="716A98FC" w14:textId="77777777" w:rsidR="008D4A0A" w:rsidRPr="009A622B" w:rsidRDefault="008D4A0A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9A622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9A622B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9A622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60A0AEE" w14:textId="5F9A3CEF" w:rsidR="00287E61" w:rsidRPr="009A622B" w:rsidRDefault="00CC4336" w:rsidP="00287E61">
      <w:pPr>
        <w:jc w:val="both"/>
        <w:rPr>
          <w:rFonts w:ascii="Book Antiqua" w:hAnsi="Book Antiqua"/>
          <w:lang w:val="es-ES_tradnl"/>
        </w:rPr>
      </w:pPr>
      <w:r w:rsidRPr="009A622B">
        <w:rPr>
          <w:rFonts w:ascii="Book Antiqua" w:eastAsiaTheme="minorHAnsi" w:hAnsi="Book Antiqua"/>
          <w:lang w:val="es-ES_tradnl"/>
        </w:rPr>
        <w:t xml:space="preserve">     </w:t>
      </w:r>
      <w:r w:rsidR="00DE02EB" w:rsidRPr="009A622B">
        <w:rPr>
          <w:rFonts w:ascii="Book Antiqua" w:hAnsi="Book Antiqua"/>
          <w:lang w:val="es-ES_tradnl"/>
        </w:rPr>
        <w:t>La</w:t>
      </w:r>
      <w:r w:rsidR="00194744" w:rsidRPr="009A622B">
        <w:rPr>
          <w:rFonts w:ascii="Book Antiqua" w:hAnsi="Book Antiqua"/>
          <w:lang w:val="es-ES_tradnl"/>
        </w:rPr>
        <w:t xml:space="preserve"> Resolución de la Cámara Núm.</w:t>
      </w:r>
      <w:r w:rsidR="00287E61" w:rsidRPr="009A622B">
        <w:rPr>
          <w:rFonts w:ascii="Book Antiqua" w:hAnsi="Book Antiqua"/>
          <w:lang w:val="es-ES_tradnl"/>
        </w:rPr>
        <w:t xml:space="preserve"> 121</w:t>
      </w:r>
      <w:r w:rsidR="003F3D8D" w:rsidRPr="009A622B">
        <w:rPr>
          <w:rFonts w:ascii="Book Antiqua" w:hAnsi="Book Antiqua"/>
          <w:lang w:val="es-ES_tradnl"/>
        </w:rPr>
        <w:t xml:space="preserve"> tiene el propósito de </w:t>
      </w:r>
      <w:r w:rsidR="00287E61" w:rsidRPr="009A622B">
        <w:rPr>
          <w:rFonts w:ascii="Book Antiqua" w:hAnsi="Book Antiqua"/>
          <w:lang w:val="es-ES_tradnl"/>
        </w:rPr>
        <w:t>evaluar el marco normativo vigente para identificar disposiciones legales y reglamentarias que han perdido vigencia o que generan conflictos dentro del ordenamiento jurídico. Se busca determinar el impacto de estas normativas en la eficiencia gubernamental y proponer estrategias para su modernización.</w:t>
      </w:r>
    </w:p>
    <w:p w14:paraId="2A523FC7" w14:textId="14088BB6" w:rsidR="00287E61" w:rsidRPr="009A622B" w:rsidRDefault="00287E61" w:rsidP="00287E61">
      <w:pPr>
        <w:jc w:val="both"/>
        <w:rPr>
          <w:rFonts w:ascii="Book Antiqua" w:hAnsi="Book Antiqua"/>
          <w:lang w:val="es-ES_tradnl"/>
        </w:rPr>
      </w:pPr>
      <w:r w:rsidRPr="009A622B">
        <w:rPr>
          <w:rFonts w:ascii="Book Antiqua" w:hAnsi="Book Antiqua"/>
          <w:lang w:val="es-ES_tradnl"/>
        </w:rPr>
        <w:lastRenderedPageBreak/>
        <w:t xml:space="preserve">     Entre los objetivos principales de la medida se encuentran:</w:t>
      </w:r>
    </w:p>
    <w:p w14:paraId="3B2093E3" w14:textId="77777777" w:rsidR="00287E61" w:rsidRPr="009A622B" w:rsidRDefault="00287E61" w:rsidP="00287E61">
      <w:pPr>
        <w:jc w:val="both"/>
        <w:rPr>
          <w:rFonts w:ascii="Book Antiqua" w:hAnsi="Book Antiqua"/>
          <w:lang w:val="es-ES_tradnl"/>
        </w:rPr>
      </w:pPr>
    </w:p>
    <w:p w14:paraId="30657DAD" w14:textId="77777777" w:rsidR="00287E61" w:rsidRPr="009A622B" w:rsidRDefault="00287E61" w:rsidP="00287E61">
      <w:pPr>
        <w:numPr>
          <w:ilvl w:val="0"/>
          <w:numId w:val="9"/>
        </w:numPr>
        <w:jc w:val="both"/>
        <w:rPr>
          <w:rFonts w:ascii="Book Antiqua" w:hAnsi="Book Antiqua"/>
          <w:lang w:val="es-ES_tradnl"/>
        </w:rPr>
      </w:pPr>
      <w:r w:rsidRPr="009A622B">
        <w:rPr>
          <w:rFonts w:ascii="Book Antiqua" w:hAnsi="Book Antiqua"/>
          <w:bCs/>
          <w:lang w:val="es-ES_tradnl"/>
        </w:rPr>
        <w:t>Revisión de leyes y reglamentos obsoletos:</w:t>
      </w:r>
      <w:r w:rsidRPr="009A622B">
        <w:rPr>
          <w:rFonts w:ascii="Book Antiqua" w:hAnsi="Book Antiqua"/>
          <w:lang w:val="es-ES_tradnl"/>
        </w:rPr>
        <w:t xml:space="preserve"> Identificar disposiciones normativas que han sido total o parcialmente derogadas, pero que aún generan confusión en la aplicación de la ley.</w:t>
      </w:r>
    </w:p>
    <w:p w14:paraId="40931B28" w14:textId="77777777" w:rsidR="00287E61" w:rsidRPr="009A622B" w:rsidRDefault="00287E61" w:rsidP="00287E61">
      <w:pPr>
        <w:numPr>
          <w:ilvl w:val="0"/>
          <w:numId w:val="9"/>
        </w:numPr>
        <w:jc w:val="both"/>
        <w:rPr>
          <w:rFonts w:ascii="Book Antiqua" w:hAnsi="Book Antiqua"/>
          <w:lang w:val="es-ES_tradnl"/>
        </w:rPr>
      </w:pPr>
      <w:r w:rsidRPr="009A622B">
        <w:rPr>
          <w:rFonts w:ascii="Book Antiqua" w:hAnsi="Book Antiqua"/>
          <w:bCs/>
          <w:lang w:val="es-ES_tradnl"/>
        </w:rPr>
        <w:t>Reducción de la sobre regulación:</w:t>
      </w:r>
      <w:r w:rsidRPr="009A622B">
        <w:rPr>
          <w:rFonts w:ascii="Book Antiqua" w:hAnsi="Book Antiqua"/>
          <w:lang w:val="es-ES_tradnl"/>
        </w:rPr>
        <w:t xml:space="preserve"> Analizar áreas donde la multiplicidad de normativas ha creado redundancia o carga excesiva en los procesos administrativos.</w:t>
      </w:r>
    </w:p>
    <w:p w14:paraId="6685A80B" w14:textId="77777777" w:rsidR="00287E61" w:rsidRPr="009A622B" w:rsidRDefault="00287E61" w:rsidP="00287E61">
      <w:pPr>
        <w:numPr>
          <w:ilvl w:val="0"/>
          <w:numId w:val="9"/>
        </w:numPr>
        <w:jc w:val="both"/>
        <w:rPr>
          <w:rFonts w:ascii="Book Antiqua" w:hAnsi="Book Antiqua"/>
          <w:lang w:val="es-ES_tradnl"/>
        </w:rPr>
      </w:pPr>
      <w:r w:rsidRPr="009A622B">
        <w:rPr>
          <w:rFonts w:ascii="Book Antiqua" w:hAnsi="Book Antiqua"/>
          <w:bCs/>
          <w:lang w:val="es-ES_tradnl"/>
        </w:rPr>
        <w:t>Eficiencia gubernamental:</w:t>
      </w:r>
      <w:r w:rsidRPr="009A622B">
        <w:rPr>
          <w:rFonts w:ascii="Book Antiqua" w:hAnsi="Book Antiqua"/>
          <w:lang w:val="es-ES_tradnl"/>
        </w:rPr>
        <w:t xml:space="preserve"> Examinar cómo la eliminación o consolidación de normativas puede mejorar la transparencia, accesibilidad y eficiencia en la gestión gubernamental.</w:t>
      </w:r>
    </w:p>
    <w:p w14:paraId="308C9805" w14:textId="77777777" w:rsidR="00287E61" w:rsidRPr="009A622B" w:rsidRDefault="00287E61" w:rsidP="00287E61">
      <w:pPr>
        <w:numPr>
          <w:ilvl w:val="0"/>
          <w:numId w:val="9"/>
        </w:numPr>
        <w:jc w:val="both"/>
        <w:rPr>
          <w:rFonts w:ascii="Book Antiqua" w:hAnsi="Book Antiqua"/>
          <w:lang w:val="es-ES_tradnl"/>
        </w:rPr>
      </w:pPr>
      <w:r w:rsidRPr="009A622B">
        <w:rPr>
          <w:rFonts w:ascii="Book Antiqua" w:hAnsi="Book Antiqua"/>
          <w:bCs/>
          <w:lang w:val="es-ES_tradnl"/>
        </w:rPr>
        <w:t>Revisión de conflictos normativos:</w:t>
      </w:r>
      <w:r w:rsidRPr="009A622B">
        <w:rPr>
          <w:rFonts w:ascii="Book Antiqua" w:hAnsi="Book Antiqua"/>
          <w:lang w:val="es-ES_tradnl"/>
        </w:rPr>
        <w:t xml:space="preserve"> Identificar leyes que regulan los mismos asuntos de manera contradictoria o inconsistente.</w:t>
      </w:r>
    </w:p>
    <w:p w14:paraId="6BD636FD" w14:textId="77777777" w:rsidR="00287E61" w:rsidRPr="009A622B" w:rsidRDefault="00287E61" w:rsidP="00287E61">
      <w:pPr>
        <w:ind w:left="720"/>
        <w:jc w:val="both"/>
        <w:rPr>
          <w:rFonts w:ascii="Book Antiqua" w:hAnsi="Book Antiqua"/>
          <w:lang w:val="es-ES_tradnl"/>
        </w:rPr>
      </w:pPr>
    </w:p>
    <w:p w14:paraId="1CB0D27B" w14:textId="26E48C13" w:rsidR="00287E61" w:rsidRPr="009A622B" w:rsidRDefault="00287E61" w:rsidP="00287E61">
      <w:pPr>
        <w:jc w:val="both"/>
        <w:rPr>
          <w:rFonts w:ascii="Book Antiqua" w:hAnsi="Book Antiqua"/>
          <w:lang w:val="es-ES_tradnl"/>
        </w:rPr>
      </w:pPr>
      <w:r w:rsidRPr="009A622B">
        <w:rPr>
          <w:rFonts w:ascii="Book Antiqua" w:hAnsi="Book Antiqua"/>
          <w:lang w:val="es-ES_tradnl"/>
        </w:rPr>
        <w:t xml:space="preserve">     En la </w:t>
      </w:r>
      <w:r w:rsidRPr="009A622B">
        <w:rPr>
          <w:rFonts w:ascii="Book Antiqua" w:hAnsi="Book Antiqua"/>
          <w:bCs/>
          <w:lang w:val="es-ES_tradnl"/>
        </w:rPr>
        <w:t>Exposición de Motivos</w:t>
      </w:r>
      <w:r w:rsidRPr="009A622B">
        <w:rPr>
          <w:rFonts w:ascii="Book Antiqua" w:hAnsi="Book Antiqua"/>
          <w:lang w:val="es-ES_tradnl"/>
        </w:rPr>
        <w:t xml:space="preserve"> se justifica la necesidad de este proceso en función de la complejidad del ordenamiento jurídico actual y su impacto en la administración pública y la ciudadanía. Además, se enfatiza la importancia de garantizar que el marco legal responda a las necesidades presentes sin generar obstáculos innecesarios.</w:t>
      </w:r>
    </w:p>
    <w:p w14:paraId="4807223E" w14:textId="77777777" w:rsidR="00287E61" w:rsidRPr="009A622B" w:rsidRDefault="00287E61" w:rsidP="00E86FF9">
      <w:pPr>
        <w:jc w:val="both"/>
        <w:rPr>
          <w:rFonts w:ascii="Book Antiqua" w:hAnsi="Book Antiqua"/>
          <w:lang w:val="es-ES_tradnl"/>
        </w:rPr>
      </w:pPr>
    </w:p>
    <w:p w14:paraId="698FE8D7" w14:textId="7D2AFFC9" w:rsidR="00E86FF9" w:rsidRPr="009A622B" w:rsidRDefault="00287E61" w:rsidP="003F3D8D">
      <w:pPr>
        <w:jc w:val="both"/>
        <w:rPr>
          <w:rFonts w:ascii="Book Antiqua" w:hAnsi="Book Antiqua"/>
          <w:lang w:val="es-ES_tradnl"/>
        </w:rPr>
      </w:pPr>
      <w:r w:rsidRPr="009A622B">
        <w:rPr>
          <w:rFonts w:ascii="Book Antiqua" w:hAnsi="Book Antiqua"/>
          <w:lang w:val="es-ES_tradnl"/>
        </w:rPr>
        <w:t xml:space="preserve">     </w:t>
      </w:r>
      <w:r w:rsidR="00E86FF9" w:rsidRPr="009A622B">
        <w:rPr>
          <w:rFonts w:ascii="Book Antiqua" w:hAnsi="Book Antiqua"/>
          <w:lang w:val="es-ES_tradnl"/>
        </w:rPr>
        <w:t xml:space="preserve">La Comisión de Asuntos Internos ha evaluado el contenido de esta resolución y ha incorporado enmiendas dirigidas a precisar los términos utilizados y garantizar el cumplimiento de la normativa vigente. </w:t>
      </w:r>
    </w:p>
    <w:p w14:paraId="3F4BB2E4" w14:textId="77777777" w:rsidR="00F27289" w:rsidRPr="009A622B" w:rsidRDefault="00F27289" w:rsidP="009852E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9A622B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722EFB1" w14:textId="3FF88FA8" w:rsidR="00E86FF9" w:rsidRPr="009A622B" w:rsidRDefault="00B65C62" w:rsidP="00E86FF9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9A622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27289" w:rsidRPr="009A622B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3F3D8D" w:rsidRPr="009A622B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recomienda la aprobación de la R</w:t>
      </w:r>
      <w:r w:rsidR="009A622B" w:rsidRPr="009A622B">
        <w:rPr>
          <w:rFonts w:ascii="Book Antiqua" w:hAnsi="Book Antiqua"/>
          <w:sz w:val="24"/>
          <w:szCs w:val="24"/>
          <w:lang w:val="es-ES_tradnl"/>
        </w:rPr>
        <w:t>esolución de la Cámara 121</w:t>
      </w:r>
      <w:r w:rsidR="00E86FF9" w:rsidRPr="009A622B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="003F3D8D" w:rsidRPr="009A622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86FF9" w:rsidRPr="009A622B">
        <w:rPr>
          <w:rFonts w:ascii="Book Antiqua" w:hAnsi="Book Antiqua"/>
          <w:sz w:val="24"/>
          <w:szCs w:val="24"/>
          <w:lang w:val="es-ES_tradnl"/>
        </w:rPr>
        <w:t>las enmiendas contenidas en el entirillado electrónico que acompaña a este informe.</w:t>
      </w:r>
    </w:p>
    <w:p w14:paraId="056FDC4D" w14:textId="77777777" w:rsidR="003F3D8D" w:rsidRPr="009A622B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9A622B">
        <w:rPr>
          <w:rFonts w:ascii="Book Antiqua" w:hAnsi="Book Antiqua" w:cs="Tahoma"/>
          <w:lang w:val="es-ES_tradnl"/>
        </w:rPr>
        <w:t>Respetuosamente sometido,</w:t>
      </w:r>
    </w:p>
    <w:p w14:paraId="2F63252E" w14:textId="77777777" w:rsidR="003F3D8D" w:rsidRPr="009A622B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099619D3" w14:textId="77777777" w:rsidR="003F3D8D" w:rsidRPr="009A622B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5E696B66" w14:textId="77777777" w:rsidR="003F3D8D" w:rsidRPr="009A622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D4A074B" w14:textId="77777777" w:rsidR="003F3D8D" w:rsidRPr="009A622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9A622B" w:rsidRDefault="003F3D8D" w:rsidP="003F3D8D">
      <w:pPr>
        <w:rPr>
          <w:rFonts w:ascii="Book Antiqua" w:hAnsi="Book Antiqua" w:cs="Tahoma"/>
          <w:lang w:val="es-ES_tradnl"/>
        </w:rPr>
      </w:pPr>
    </w:p>
    <w:p w14:paraId="4EFEE2CD" w14:textId="77777777" w:rsidR="003F3D8D" w:rsidRPr="009A622B" w:rsidRDefault="003F3D8D" w:rsidP="003F3D8D">
      <w:pPr>
        <w:rPr>
          <w:lang w:val="es-ES_tradnl"/>
        </w:rPr>
      </w:pPr>
      <w:r w:rsidRPr="009A622B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9A622B">
        <w:rPr>
          <w:rFonts w:ascii="Book Antiqua" w:hAnsi="Book Antiqua" w:cs="Tahoma"/>
          <w:lang w:val="es-ES_tradnl"/>
        </w:rPr>
        <w:br/>
        <w:t>Presidente</w:t>
      </w:r>
      <w:r w:rsidRPr="009A622B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0B4CE0C4" w:rsidR="00307416" w:rsidRPr="009A622B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9A622B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A622B" w:rsidRDefault="009A622B" w:rsidP="00614C2C">
      <w:r>
        <w:separator/>
      </w:r>
    </w:p>
  </w:endnote>
  <w:endnote w:type="continuationSeparator" w:id="0">
    <w:p w14:paraId="483CD127" w14:textId="77777777" w:rsidR="009A622B" w:rsidRDefault="009A62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A622B" w:rsidRDefault="009A62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09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A622B" w:rsidRDefault="009A62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A622B" w:rsidRDefault="009A622B" w:rsidP="00614C2C">
      <w:r>
        <w:separator/>
      </w:r>
    </w:p>
  </w:footnote>
  <w:footnote w:type="continuationSeparator" w:id="0">
    <w:p w14:paraId="6D8415B7" w14:textId="77777777" w:rsidR="009A622B" w:rsidRDefault="009A62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2698209">
    <w:abstractNumId w:val="4"/>
  </w:num>
  <w:num w:numId="2" w16cid:durableId="1556625828">
    <w:abstractNumId w:val="8"/>
  </w:num>
  <w:num w:numId="3" w16cid:durableId="639119728">
    <w:abstractNumId w:val="1"/>
  </w:num>
  <w:num w:numId="4" w16cid:durableId="523785522">
    <w:abstractNumId w:val="0"/>
  </w:num>
  <w:num w:numId="5" w16cid:durableId="748963842">
    <w:abstractNumId w:val="5"/>
  </w:num>
  <w:num w:numId="6" w16cid:durableId="1626234805">
    <w:abstractNumId w:val="2"/>
  </w:num>
  <w:num w:numId="7" w16cid:durableId="1713726959">
    <w:abstractNumId w:val="3"/>
  </w:num>
  <w:num w:numId="8" w16cid:durableId="885143660">
    <w:abstractNumId w:val="6"/>
  </w:num>
  <w:num w:numId="9" w16cid:durableId="15923564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606B3"/>
    <w:rsid w:val="000608DB"/>
    <w:rsid w:val="00075A15"/>
    <w:rsid w:val="000836CB"/>
    <w:rsid w:val="00083DFD"/>
    <w:rsid w:val="000A3CD4"/>
    <w:rsid w:val="000C6264"/>
    <w:rsid w:val="000E15AD"/>
    <w:rsid w:val="0010030C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5662B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7030F"/>
    <w:rsid w:val="00373892"/>
    <w:rsid w:val="00377037"/>
    <w:rsid w:val="00382273"/>
    <w:rsid w:val="0038556D"/>
    <w:rsid w:val="003976DE"/>
    <w:rsid w:val="003B03D6"/>
    <w:rsid w:val="003F3D8D"/>
    <w:rsid w:val="00410C54"/>
    <w:rsid w:val="0043389C"/>
    <w:rsid w:val="00445CFE"/>
    <w:rsid w:val="004552A8"/>
    <w:rsid w:val="00455A9A"/>
    <w:rsid w:val="004761BE"/>
    <w:rsid w:val="00476691"/>
    <w:rsid w:val="004C1BC6"/>
    <w:rsid w:val="004C29A4"/>
    <w:rsid w:val="004D42C2"/>
    <w:rsid w:val="004E3952"/>
    <w:rsid w:val="00525E8D"/>
    <w:rsid w:val="00582242"/>
    <w:rsid w:val="005930E2"/>
    <w:rsid w:val="00595644"/>
    <w:rsid w:val="005A5DF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55810"/>
    <w:rsid w:val="006B0997"/>
    <w:rsid w:val="007106D1"/>
    <w:rsid w:val="00712D94"/>
    <w:rsid w:val="007156BD"/>
    <w:rsid w:val="0076703E"/>
    <w:rsid w:val="00780620"/>
    <w:rsid w:val="0079275C"/>
    <w:rsid w:val="007B31DC"/>
    <w:rsid w:val="007B6091"/>
    <w:rsid w:val="007C5A2C"/>
    <w:rsid w:val="007D7209"/>
    <w:rsid w:val="007F0E20"/>
    <w:rsid w:val="008171E8"/>
    <w:rsid w:val="00846B7C"/>
    <w:rsid w:val="00851127"/>
    <w:rsid w:val="008A1F08"/>
    <w:rsid w:val="008A4022"/>
    <w:rsid w:val="008C4EC6"/>
    <w:rsid w:val="008C757B"/>
    <w:rsid w:val="008D4A0A"/>
    <w:rsid w:val="008E0870"/>
    <w:rsid w:val="008E31FE"/>
    <w:rsid w:val="00935128"/>
    <w:rsid w:val="009757CC"/>
    <w:rsid w:val="0098035D"/>
    <w:rsid w:val="00981986"/>
    <w:rsid w:val="009852EB"/>
    <w:rsid w:val="0099466E"/>
    <w:rsid w:val="009A622B"/>
    <w:rsid w:val="009A6A71"/>
    <w:rsid w:val="009A7DF3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751B4"/>
    <w:rsid w:val="00A84A3B"/>
    <w:rsid w:val="00AB0555"/>
    <w:rsid w:val="00AB099D"/>
    <w:rsid w:val="00AC06D5"/>
    <w:rsid w:val="00AC35C0"/>
    <w:rsid w:val="00AF186C"/>
    <w:rsid w:val="00B0402B"/>
    <w:rsid w:val="00B16CF6"/>
    <w:rsid w:val="00B26882"/>
    <w:rsid w:val="00B30114"/>
    <w:rsid w:val="00B330A4"/>
    <w:rsid w:val="00B34E25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D5F6F"/>
    <w:rsid w:val="00BF384D"/>
    <w:rsid w:val="00C05FA6"/>
    <w:rsid w:val="00C20404"/>
    <w:rsid w:val="00C211F8"/>
    <w:rsid w:val="00C456AB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7F5"/>
    <w:rsid w:val="00DE7E07"/>
    <w:rsid w:val="00E032DE"/>
    <w:rsid w:val="00E04853"/>
    <w:rsid w:val="00E13CC6"/>
    <w:rsid w:val="00E85C50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46FEB4ED-6B52-4FFD-9429-CF8EF0FD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3</cp:revision>
  <cp:lastPrinted>2025-02-12T14:01:00Z</cp:lastPrinted>
  <dcterms:created xsi:type="dcterms:W3CDTF">2025-02-13T14:41:00Z</dcterms:created>
  <dcterms:modified xsi:type="dcterms:W3CDTF">2025-02-13T20:30:00Z</dcterms:modified>
</cp:coreProperties>
</file>