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3175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3175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3175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3175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D3175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3175B">
        <w:rPr>
          <w:rFonts w:ascii="Book Antiqua" w:hAnsi="Book Antiqua"/>
          <w:szCs w:val="24"/>
          <w:lang w:val="es-ES_tradnl"/>
        </w:rPr>
        <w:t>20m</w:t>
      </w:r>
      <w:r w:rsidR="002670C1" w:rsidRPr="00D3175B">
        <w:rPr>
          <w:rFonts w:ascii="Book Antiqua" w:hAnsi="Book Antiqua"/>
          <w:szCs w:val="24"/>
          <w:lang w:val="es-ES_tradnl"/>
        </w:rPr>
        <w:t>a. Asamblea</w:t>
      </w:r>
      <w:r w:rsidR="002670C1" w:rsidRPr="00D3175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3175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3175B">
        <w:rPr>
          <w:rFonts w:ascii="Book Antiqua" w:hAnsi="Book Antiqua"/>
          <w:szCs w:val="24"/>
          <w:lang w:val="es-ES_tradnl"/>
        </w:rPr>
        <w:t xml:space="preserve">  </w:t>
      </w:r>
      <w:r w:rsidR="00445CFE" w:rsidRPr="00D3175B">
        <w:rPr>
          <w:rFonts w:ascii="Book Antiqua" w:hAnsi="Book Antiqua"/>
          <w:szCs w:val="24"/>
          <w:lang w:val="es-ES_tradnl"/>
        </w:rPr>
        <w:t>1r</w:t>
      </w:r>
      <w:r w:rsidR="002670C1" w:rsidRPr="00D3175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3175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3175B">
        <w:rPr>
          <w:rFonts w:ascii="Book Antiqua" w:hAnsi="Book Antiqua"/>
          <w:szCs w:val="24"/>
          <w:lang w:val="es-ES_tradnl"/>
        </w:rPr>
        <w:tab/>
        <w:t>Legislativa</w:t>
      </w:r>
      <w:r w:rsidRPr="00D3175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3175B">
        <w:rPr>
          <w:rFonts w:ascii="Book Antiqua" w:hAnsi="Book Antiqua"/>
          <w:szCs w:val="24"/>
          <w:lang w:val="es-ES_tradnl"/>
        </w:rPr>
        <w:t xml:space="preserve">       </w:t>
      </w:r>
      <w:r w:rsidRPr="00D3175B">
        <w:rPr>
          <w:rFonts w:ascii="Book Antiqua" w:hAnsi="Book Antiqua"/>
          <w:szCs w:val="24"/>
          <w:lang w:val="es-ES_tradnl"/>
        </w:rPr>
        <w:t xml:space="preserve"> </w:t>
      </w:r>
      <w:r w:rsidR="00632DBA" w:rsidRPr="00D3175B">
        <w:rPr>
          <w:rFonts w:ascii="Book Antiqua" w:hAnsi="Book Antiqua"/>
          <w:szCs w:val="24"/>
          <w:lang w:val="es-ES_tradnl"/>
        </w:rPr>
        <w:t xml:space="preserve"> </w:t>
      </w:r>
      <w:r w:rsidRPr="00D3175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3175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3175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3175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3175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3175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45D662E" w:rsidR="002670C1" w:rsidRPr="00D3175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3175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5406D" w:rsidRPr="00D3175B">
        <w:rPr>
          <w:rFonts w:ascii="Book Antiqua" w:hAnsi="Book Antiqua" w:cs="Tahoma"/>
          <w:b/>
          <w:sz w:val="52"/>
          <w:szCs w:val="52"/>
          <w:lang w:val="es-ES_tradnl"/>
        </w:rPr>
        <w:t>125</w:t>
      </w:r>
    </w:p>
    <w:p w14:paraId="2AB71EBC" w14:textId="77777777" w:rsidR="001A14B6" w:rsidRPr="00D3175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3175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3175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3175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3175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04DCEA1" w:rsidR="002670C1" w:rsidRPr="00D3175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D3175B">
        <w:rPr>
          <w:rFonts w:ascii="Book Antiqua" w:hAnsi="Book Antiqua" w:cs="Tahoma"/>
          <w:lang w:val="es-ES_tradnl"/>
        </w:rPr>
        <w:t xml:space="preserve">  </w:t>
      </w:r>
      <w:r w:rsidR="00FA5F29" w:rsidRPr="00D3175B">
        <w:rPr>
          <w:rFonts w:ascii="Book Antiqua" w:hAnsi="Book Antiqua" w:cs="Tahoma"/>
          <w:lang w:val="es-ES_tradnl"/>
        </w:rPr>
        <w:t>1</w:t>
      </w:r>
      <w:r w:rsidR="0012378B">
        <w:rPr>
          <w:rFonts w:ascii="Book Antiqua" w:hAnsi="Book Antiqua" w:cs="Tahoma"/>
          <w:lang w:val="es-ES_tradnl"/>
        </w:rPr>
        <w:t>9</w:t>
      </w:r>
      <w:r w:rsidR="00BD5F6F" w:rsidRPr="00D3175B">
        <w:rPr>
          <w:rFonts w:ascii="Book Antiqua" w:hAnsi="Book Antiqua" w:cs="Tahoma"/>
          <w:lang w:val="es-ES_tradnl"/>
        </w:rPr>
        <w:t xml:space="preserve"> </w:t>
      </w:r>
      <w:r w:rsidRPr="00D3175B">
        <w:rPr>
          <w:rFonts w:ascii="Book Antiqua" w:hAnsi="Book Antiqua" w:cs="Tahoma"/>
          <w:lang w:val="es-ES_tradnl"/>
        </w:rPr>
        <w:t xml:space="preserve">de </w:t>
      </w:r>
      <w:r w:rsidR="002252A6" w:rsidRPr="00D3175B">
        <w:rPr>
          <w:rFonts w:ascii="Book Antiqua" w:hAnsi="Book Antiqua" w:cs="Tahoma"/>
          <w:lang w:val="es-ES_tradnl"/>
        </w:rPr>
        <w:t>febrero</w:t>
      </w:r>
      <w:r w:rsidRPr="00D3175B">
        <w:rPr>
          <w:rFonts w:ascii="Book Antiqua" w:hAnsi="Book Antiqua" w:cs="Tahoma"/>
          <w:lang w:val="es-ES_tradnl"/>
        </w:rPr>
        <w:t xml:space="preserve"> de </w:t>
      </w:r>
      <w:r w:rsidR="00333864" w:rsidRPr="00D3175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D3175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3175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3175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3175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3175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E1C5245" w14:textId="0D0A6CC3" w:rsidR="007F3B99" w:rsidRPr="00D3175B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D3175B">
        <w:rPr>
          <w:rFonts w:ascii="Book Antiqua" w:hAnsi="Book Antiqua" w:cs="Tahoma"/>
          <w:lang w:val="es-ES_tradnl"/>
        </w:rPr>
        <w:tab/>
      </w:r>
      <w:r w:rsidR="008A4022" w:rsidRPr="00D3175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D3175B">
        <w:rPr>
          <w:rFonts w:ascii="Book Antiqua" w:hAnsi="Book Antiqua" w:cs="Tahoma"/>
          <w:lang w:val="es-ES_tradnl"/>
        </w:rPr>
        <w:t xml:space="preserve">sideración de la R. de la C. </w:t>
      </w:r>
      <w:r w:rsidR="00D3175B" w:rsidRPr="00D3175B">
        <w:rPr>
          <w:rFonts w:ascii="Book Antiqua" w:hAnsi="Book Antiqua" w:cs="Tahoma"/>
          <w:bCs/>
          <w:lang w:val="es-ES_tradnl"/>
        </w:rPr>
        <w:t>125</w:t>
      </w:r>
      <w:r w:rsidR="00FA5F29" w:rsidRPr="00D3175B">
        <w:rPr>
          <w:rFonts w:ascii="Book Antiqua" w:hAnsi="Book Antiqua" w:cs="Tahoma"/>
          <w:lang w:val="es-ES_tradnl"/>
        </w:rPr>
        <w:t xml:space="preserve">, presentada por </w:t>
      </w:r>
      <w:r w:rsidR="00C52FD2" w:rsidRPr="00D3175B">
        <w:rPr>
          <w:rFonts w:ascii="Book Antiqua" w:hAnsi="Book Antiqua" w:cs="Tahoma"/>
          <w:lang w:val="es-ES_tradnl"/>
        </w:rPr>
        <w:t xml:space="preserve"> </w:t>
      </w:r>
      <w:r w:rsidR="00D3175B" w:rsidRPr="00D3175B">
        <w:rPr>
          <w:rFonts w:ascii="Book Antiqua" w:hAnsi="Book Antiqua" w:cs="Tahoma"/>
          <w:lang w:val="es-ES_tradnl"/>
        </w:rPr>
        <w:t>el representante Navarro Suárez</w:t>
      </w:r>
      <w:r w:rsidR="007F3B99" w:rsidRPr="00D3175B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7F3B99" w:rsidRPr="00D3175B">
        <w:rPr>
          <w:rFonts w:ascii="Book Antiqua" w:hAnsi="Book Antiqua" w:cs="Tahoma"/>
          <w:lang w:val="es-ES_tradnl"/>
        </w:rPr>
        <w:t>entirillado</w:t>
      </w:r>
      <w:proofErr w:type="spellEnd"/>
      <w:r w:rsidR="007F3B99" w:rsidRPr="00D3175B">
        <w:rPr>
          <w:rFonts w:ascii="Book Antiqua" w:hAnsi="Book Antiqua" w:cs="Tahoma"/>
          <w:lang w:val="es-ES_tradnl"/>
        </w:rPr>
        <w:t xml:space="preserve"> electrónico que acompaña este informe, y cuyo título lee:</w:t>
      </w:r>
    </w:p>
    <w:p w14:paraId="02A5F4F6" w14:textId="77777777" w:rsidR="00E86FF9" w:rsidRPr="00D3175B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63367A2" w14:textId="2639B8D4" w:rsidR="00FA5F29" w:rsidRPr="00D3175B" w:rsidRDefault="00E86FF9" w:rsidP="00D3175B">
      <w:pPr>
        <w:ind w:left="567" w:hanging="567"/>
        <w:jc w:val="both"/>
        <w:rPr>
          <w:rFonts w:ascii="Book Antiqua" w:hAnsi="Book Antiqua" w:cs="Tahoma"/>
          <w:lang w:val="es-ES_tradnl"/>
        </w:rPr>
      </w:pPr>
      <w:r w:rsidRPr="00D3175B">
        <w:rPr>
          <w:rFonts w:ascii="Book Antiqua" w:hAnsi="Book Antiqua" w:cs="Tahoma"/>
          <w:lang w:val="es-ES_tradnl"/>
        </w:rPr>
        <w:t>“</w:t>
      </w:r>
      <w:r w:rsidR="00D3175B" w:rsidRPr="00D3175B">
        <w:rPr>
          <w:rFonts w:ascii="Book Antiqua" w:hAnsi="Book Antiqua"/>
          <w:lang w:val="es-ES_tradnl"/>
        </w:rPr>
        <w:t>Para ordenar a la Comisión de Banca, Seguros y Comercio de la Cámara de Representantes del Gobierno de Puerto Rico realizar una investigación de naturaleza continua sobre la vigencia, implementación, suficiencia de la legislación y reglamentación que se ha aprobado en asuntos relacionados a la banca, seguros y comercios en Puerto Rico; y para otros fines</w:t>
      </w:r>
      <w:r w:rsidR="00FA5F29" w:rsidRPr="00D3175B">
        <w:rPr>
          <w:rFonts w:ascii="Book Antiqua" w:hAnsi="Book Antiqua"/>
          <w:bCs/>
          <w:lang w:val="es-ES_tradnl"/>
        </w:rPr>
        <w:t>.”</w:t>
      </w:r>
    </w:p>
    <w:p w14:paraId="4802F661" w14:textId="77777777" w:rsidR="004C5BCE" w:rsidRPr="00D3175B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3175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3175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3175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C5B1FA5" w14:textId="3385BA24" w:rsidR="00D3175B" w:rsidRPr="00D3175B" w:rsidRDefault="00CC4336" w:rsidP="00D3175B">
      <w:p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eastAsiaTheme="minorHAnsi" w:hAnsi="Book Antiqua"/>
          <w:lang w:val="es-ES_tradnl"/>
        </w:rPr>
        <w:t xml:space="preserve">     </w:t>
      </w:r>
      <w:r w:rsidR="00DE02EB" w:rsidRPr="00D3175B">
        <w:rPr>
          <w:rFonts w:ascii="Book Antiqua" w:hAnsi="Book Antiqua"/>
          <w:lang w:val="es-ES_tradnl"/>
        </w:rPr>
        <w:t>La</w:t>
      </w:r>
      <w:r w:rsidR="00194744" w:rsidRPr="00D3175B">
        <w:rPr>
          <w:rFonts w:ascii="Book Antiqua" w:hAnsi="Book Antiqua"/>
          <w:lang w:val="es-ES_tradnl"/>
        </w:rPr>
        <w:t xml:space="preserve"> Resolución de la Cámara Núm.</w:t>
      </w:r>
      <w:r w:rsidR="00C52FD2" w:rsidRPr="00D3175B">
        <w:rPr>
          <w:rFonts w:ascii="Book Antiqua" w:hAnsi="Book Antiqua"/>
          <w:lang w:val="es-ES_tradnl"/>
        </w:rPr>
        <w:t xml:space="preserve"> </w:t>
      </w:r>
      <w:r w:rsidR="00D3175B" w:rsidRPr="00D3175B">
        <w:rPr>
          <w:rFonts w:ascii="Book Antiqua" w:hAnsi="Book Antiqua"/>
          <w:lang w:val="es-ES_tradnl"/>
        </w:rPr>
        <w:t>125</w:t>
      </w:r>
      <w:r w:rsidR="004C5BCE" w:rsidRPr="00D3175B">
        <w:rPr>
          <w:rFonts w:ascii="Book Antiqua" w:hAnsi="Book Antiqua"/>
          <w:lang w:val="es-ES_tradnl"/>
        </w:rPr>
        <w:t xml:space="preserve"> </w:t>
      </w:r>
      <w:r w:rsidR="00D3175B" w:rsidRPr="00D3175B">
        <w:rPr>
          <w:rFonts w:ascii="Book Antiqua" w:hAnsi="Book Antiqua"/>
          <w:lang w:val="es-ES_tradnl"/>
        </w:rPr>
        <w:t>tiene el propósito de evaluar y fiscalizar el marco regulatorio vigente en materia de banca, seguros y comercio en Puerto Rico. Esta Comisión considera imperativo analizar la suficiencia y aplicabilidad de las leyes y regulaciones que rigen estos sectores clave para el desarrollo económico de la Isla.</w:t>
      </w:r>
    </w:p>
    <w:p w14:paraId="5ED9C8C4" w14:textId="77777777" w:rsidR="00D3175B" w:rsidRPr="00D3175B" w:rsidRDefault="00D3175B" w:rsidP="00D3175B">
      <w:p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Dentro del alcance de la investigación, se examinarán los siguientes aspectos fundamentales:</w:t>
      </w:r>
    </w:p>
    <w:p w14:paraId="2C42C348" w14:textId="77777777" w:rsidR="00D3175B" w:rsidRPr="00D3175B" w:rsidRDefault="00D3175B" w:rsidP="00D3175B">
      <w:pPr>
        <w:jc w:val="both"/>
        <w:rPr>
          <w:rFonts w:ascii="Book Antiqua" w:hAnsi="Book Antiqua"/>
          <w:lang w:val="es-ES_tradnl"/>
        </w:rPr>
      </w:pPr>
    </w:p>
    <w:p w14:paraId="63F80083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negociación colectiva entre proveedores y empresas aseguradoras, promoviendo la equidad en la determinación de tarifas y condiciones contractuales.</w:t>
      </w:r>
    </w:p>
    <w:p w14:paraId="3C387E5A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lastRenderedPageBreak/>
        <w:t>La suficiencia y disponibilidad de seguros para condominios, especialmente en zonas de alto riesgo.</w:t>
      </w:r>
    </w:p>
    <w:p w14:paraId="5E541796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estructura tarifaria de los planes médicos y la flexibilidad en el diseño de productos de salud.</w:t>
      </w:r>
    </w:p>
    <w:p w14:paraId="5B19CDFA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regulación y fiscalización de contratos y pagos a proveedores del sector asegurador.</w:t>
      </w:r>
    </w:p>
    <w:p w14:paraId="07FFCCA9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efectividad de la Ley 59-2024 en la protección de los proveedores contra reclamaciones sorpresivas.</w:t>
      </w:r>
    </w:p>
    <w:p w14:paraId="7B5B24E4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incidencia de avances tecnológicos en los costos operacionales de las aseguradoras y su impacto en los consumidores.</w:t>
      </w:r>
    </w:p>
    <w:p w14:paraId="72A33330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supervisión y fiscalización del sector financiero, incluyendo entidades bancarias internacionales.</w:t>
      </w:r>
    </w:p>
    <w:p w14:paraId="79EFBC15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regulación de los procesos de otorgación de préstamos hipotecarios y la protección de los derechos de los deudores.</w:t>
      </w:r>
    </w:p>
    <w:p w14:paraId="7D0F775F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>La necesidad de fortalecer la mediación compulsoria en litigios financieros y aseguradores.</w:t>
      </w:r>
    </w:p>
    <w:p w14:paraId="5563808E" w14:textId="77777777" w:rsidR="00D3175B" w:rsidRPr="00D3175B" w:rsidRDefault="00D3175B" w:rsidP="00D3175B">
      <w:pPr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bCs/>
          <w:lang w:val="es-ES_tradnl"/>
        </w:rPr>
        <w:t>El impacto del mercado de criptomonedas en el sistema financiero, así como en los ciudadanos y consumidores.</w:t>
      </w:r>
    </w:p>
    <w:p w14:paraId="184A7095" w14:textId="77777777" w:rsidR="00D3175B" w:rsidRPr="00D3175B" w:rsidRDefault="00D3175B" w:rsidP="00D3175B">
      <w:pPr>
        <w:ind w:left="720"/>
        <w:jc w:val="both"/>
        <w:rPr>
          <w:rFonts w:ascii="Book Antiqua" w:hAnsi="Book Antiqua"/>
          <w:lang w:val="es-ES_tradnl"/>
        </w:rPr>
      </w:pPr>
    </w:p>
    <w:p w14:paraId="48B57A2F" w14:textId="4422E349" w:rsidR="00D3175B" w:rsidRPr="00D3175B" w:rsidRDefault="00D3175B" w:rsidP="004C5BCE">
      <w:pPr>
        <w:jc w:val="both"/>
        <w:rPr>
          <w:rFonts w:ascii="Book Antiqua" w:hAnsi="Book Antiqua"/>
          <w:lang w:val="es-ES_tradnl"/>
        </w:rPr>
      </w:pPr>
      <w:r w:rsidRPr="00D3175B">
        <w:rPr>
          <w:rFonts w:ascii="Book Antiqua" w:hAnsi="Book Antiqua"/>
          <w:lang w:val="es-ES_tradnl"/>
        </w:rPr>
        <w:t xml:space="preserve">     Las enmiendas introducidas en el </w:t>
      </w:r>
      <w:proofErr w:type="spellStart"/>
      <w:r w:rsidRPr="00D3175B">
        <w:rPr>
          <w:rFonts w:ascii="Book Antiqua" w:hAnsi="Book Antiqua"/>
          <w:lang w:val="es-ES_tradnl"/>
        </w:rPr>
        <w:t>entirillado</w:t>
      </w:r>
      <w:proofErr w:type="spellEnd"/>
      <w:r w:rsidRPr="00D3175B">
        <w:rPr>
          <w:rFonts w:ascii="Book Antiqua" w:hAnsi="Book Antiqua"/>
          <w:lang w:val="es-ES_tradnl"/>
        </w:rPr>
        <w:t xml:space="preserve"> electrónico atienden ajustes técnicos en el lenguaje de la medida para clarificar su alcance y aplicabilidad, asegurando que la investigación se realice de manera eficaz y dentro de los parámetros regulatorios vigentes.</w:t>
      </w:r>
    </w:p>
    <w:p w14:paraId="3F4BB2E4" w14:textId="77777777" w:rsidR="00F27289" w:rsidRPr="00D3175B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3175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1AB02156" w:rsidR="004C5BCE" w:rsidRPr="00D3175B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3175B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D3175B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D3175B" w:rsidRPr="00D3175B">
        <w:rPr>
          <w:rFonts w:ascii="Book Antiqua" w:hAnsi="Book Antiqua"/>
          <w:sz w:val="24"/>
          <w:szCs w:val="24"/>
          <w:lang w:val="es-ES_tradnl"/>
        </w:rPr>
        <w:t>e la Resolución de la Cámara 125</w:t>
      </w:r>
      <w:r w:rsidR="004C5BCE" w:rsidRPr="00D3175B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D3175B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D3175B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D3175B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D3175B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D3175B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D3175B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D3175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D3175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3175B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D3175B" w:rsidRDefault="003F3D8D" w:rsidP="003F3D8D">
      <w:pPr>
        <w:rPr>
          <w:lang w:val="es-ES_tradnl"/>
        </w:rPr>
      </w:pPr>
      <w:r w:rsidRPr="00D3175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3175B">
        <w:rPr>
          <w:rFonts w:ascii="Book Antiqua" w:hAnsi="Book Antiqua" w:cs="Tahoma"/>
          <w:lang w:val="es-ES_tradnl"/>
        </w:rPr>
        <w:br/>
        <w:t>Presidente</w:t>
      </w:r>
      <w:r w:rsidRPr="00D3175B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D3175B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D3175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45406D" w:rsidRDefault="0045406D" w:rsidP="00614C2C">
      <w:r>
        <w:separator/>
      </w:r>
    </w:p>
  </w:endnote>
  <w:endnote w:type="continuationSeparator" w:id="0">
    <w:p w14:paraId="483CD127" w14:textId="77777777" w:rsidR="0045406D" w:rsidRDefault="0045406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45406D" w:rsidRDefault="004540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7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45406D" w:rsidRDefault="004540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45406D" w:rsidRDefault="0045406D" w:rsidP="00614C2C">
      <w:r>
        <w:separator/>
      </w:r>
    </w:p>
  </w:footnote>
  <w:footnote w:type="continuationSeparator" w:id="0">
    <w:p w14:paraId="6D8415B7" w14:textId="77777777" w:rsidR="0045406D" w:rsidRDefault="0045406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913DE3"/>
    <w:multiLevelType w:val="multilevel"/>
    <w:tmpl w:val="D3AE6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9271242">
    <w:abstractNumId w:val="5"/>
  </w:num>
  <w:num w:numId="2" w16cid:durableId="306517279">
    <w:abstractNumId w:val="9"/>
  </w:num>
  <w:num w:numId="3" w16cid:durableId="111902085">
    <w:abstractNumId w:val="1"/>
  </w:num>
  <w:num w:numId="4" w16cid:durableId="308823186">
    <w:abstractNumId w:val="0"/>
  </w:num>
  <w:num w:numId="5" w16cid:durableId="1656031343">
    <w:abstractNumId w:val="6"/>
  </w:num>
  <w:num w:numId="6" w16cid:durableId="672878649">
    <w:abstractNumId w:val="2"/>
  </w:num>
  <w:num w:numId="7" w16cid:durableId="1822886069">
    <w:abstractNumId w:val="4"/>
  </w:num>
  <w:num w:numId="8" w16cid:durableId="1404598839">
    <w:abstractNumId w:val="7"/>
  </w:num>
  <w:num w:numId="9" w16cid:durableId="1366951906">
    <w:abstractNumId w:val="8"/>
  </w:num>
  <w:num w:numId="10" w16cid:durableId="5258723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2378B"/>
    <w:rsid w:val="0013137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320D"/>
    <w:rsid w:val="00224DE4"/>
    <w:rsid w:val="002252A6"/>
    <w:rsid w:val="002345C3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C36D3"/>
    <w:rsid w:val="003F3D8D"/>
    <w:rsid w:val="00410C54"/>
    <w:rsid w:val="004129D2"/>
    <w:rsid w:val="0043389C"/>
    <w:rsid w:val="00445CFE"/>
    <w:rsid w:val="0045406D"/>
    <w:rsid w:val="004552A8"/>
    <w:rsid w:val="00455A9A"/>
    <w:rsid w:val="004761BE"/>
    <w:rsid w:val="00476691"/>
    <w:rsid w:val="00494052"/>
    <w:rsid w:val="004C1BC6"/>
    <w:rsid w:val="004C29A4"/>
    <w:rsid w:val="004C5BCE"/>
    <w:rsid w:val="004D42C2"/>
    <w:rsid w:val="004E3952"/>
    <w:rsid w:val="00525E8D"/>
    <w:rsid w:val="00582242"/>
    <w:rsid w:val="005930E2"/>
    <w:rsid w:val="005A5DF4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60F9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C05FA6"/>
    <w:rsid w:val="00C20404"/>
    <w:rsid w:val="00C211F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3175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058C118-1D6D-40DF-97C8-50998F56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2021-02-09T20:55:00Z</cp:lastPrinted>
  <dcterms:created xsi:type="dcterms:W3CDTF">2025-02-19T20:08:00Z</dcterms:created>
  <dcterms:modified xsi:type="dcterms:W3CDTF">2025-02-19T20:08:00Z</dcterms:modified>
</cp:coreProperties>
</file>