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9C4E8" w14:textId="0678E907" w:rsidR="006C4D01" w:rsidRDefault="006C4D01" w:rsidP="005313B3">
      <w:pPr>
        <w:jc w:val="center"/>
        <w:rPr>
          <w:rFonts w:ascii="Book Antiqua" w:eastAsia="SimSun" w:hAnsi="Book Antiqua"/>
          <w:sz w:val="28"/>
          <w:szCs w:val="28"/>
          <w:lang w:val="es-ES_tradnl"/>
        </w:rPr>
      </w:pPr>
      <w:r>
        <w:rPr>
          <w:rFonts w:ascii="Book Antiqua" w:eastAsia="SimSun" w:hAnsi="Book Antiqua"/>
          <w:sz w:val="28"/>
          <w:szCs w:val="28"/>
          <w:lang w:val="es-ES_tradnl"/>
        </w:rPr>
        <w:t>(ENTIRILLADO ELECTRÓNICO)</w:t>
      </w:r>
    </w:p>
    <w:p w14:paraId="7E8C167E" w14:textId="06B3D2C7" w:rsidR="008C2FF7" w:rsidRPr="00A81608" w:rsidRDefault="002910AB" w:rsidP="005313B3">
      <w:pPr>
        <w:jc w:val="center"/>
        <w:rPr>
          <w:rFonts w:ascii="Book Antiqua" w:eastAsia="SimSun" w:hAnsi="Book Antiqua"/>
          <w:sz w:val="28"/>
          <w:szCs w:val="28"/>
          <w:lang w:val="es-ES_tradnl"/>
        </w:rPr>
      </w:pPr>
      <w:r>
        <w:rPr>
          <w:rFonts w:ascii="Book Antiqua" w:eastAsia="SimSun" w:hAnsi="Book Antiqua"/>
          <w:sz w:val="28"/>
          <w:szCs w:val="28"/>
          <w:lang w:val="es-ES_tradnl"/>
        </w:rPr>
        <w:t>GOBIERNO</w:t>
      </w:r>
      <w:r w:rsidR="008C2FF7" w:rsidRPr="00A81608">
        <w:rPr>
          <w:rFonts w:ascii="Book Antiqua" w:eastAsia="SimSun" w:hAnsi="Book Antiqua"/>
          <w:sz w:val="28"/>
          <w:szCs w:val="28"/>
          <w:lang w:val="es-ES_tradnl"/>
        </w:rPr>
        <w:t xml:space="preserve"> DE PUERTO RICO</w:t>
      </w:r>
    </w:p>
    <w:p w14:paraId="5F47DB8E" w14:textId="77777777" w:rsidR="008C2FF7" w:rsidRPr="00A81608" w:rsidRDefault="008C2FF7" w:rsidP="005313B3">
      <w:pPr>
        <w:rPr>
          <w:rFonts w:ascii="Book Antiqua" w:eastAsia="SimSun" w:hAnsi="Book Antiqua"/>
          <w:lang w:val="es-ES_tradnl"/>
        </w:rPr>
      </w:pPr>
    </w:p>
    <w:p w14:paraId="62BEB31F" w14:textId="007B9149" w:rsidR="008C2FF7" w:rsidRPr="00A81608" w:rsidRDefault="008C2FF7" w:rsidP="005313B3">
      <w:pPr>
        <w:tabs>
          <w:tab w:val="left" w:pos="540"/>
          <w:tab w:val="right" w:pos="9360"/>
        </w:tabs>
        <w:jc w:val="both"/>
        <w:rPr>
          <w:rFonts w:ascii="Book Antiqua" w:eastAsia="SimSun" w:hAnsi="Book Antiqua"/>
          <w:lang w:val="es-ES"/>
        </w:rPr>
      </w:pPr>
      <w:r w:rsidRPr="202727DC">
        <w:rPr>
          <w:rFonts w:ascii="Book Antiqua" w:eastAsia="SimSun" w:hAnsi="Book Antiqua"/>
          <w:lang w:val="es-ES"/>
        </w:rPr>
        <w:t>20</w:t>
      </w:r>
      <w:r w:rsidRPr="202727DC">
        <w:rPr>
          <w:rFonts w:ascii="Book Antiqua" w:eastAsia="SimSun" w:hAnsi="Book Antiqua"/>
          <w:vertAlign w:val="superscript"/>
          <w:lang w:val="es-ES"/>
        </w:rPr>
        <w:t>ma.</w:t>
      </w:r>
      <w:r w:rsidRPr="202727DC">
        <w:rPr>
          <w:rFonts w:ascii="Book Antiqua" w:eastAsia="SimSun" w:hAnsi="Book Antiqua"/>
          <w:lang w:val="es-ES"/>
        </w:rPr>
        <w:t xml:space="preserve"> Asamblea                                                                                                         </w:t>
      </w:r>
      <w:r w:rsidR="002910AB">
        <w:rPr>
          <w:rFonts w:ascii="Book Antiqua" w:eastAsia="SimSun" w:hAnsi="Book Antiqua"/>
          <w:lang w:val="es-ES"/>
        </w:rPr>
        <w:t>1</w:t>
      </w:r>
      <w:r w:rsidR="002910AB" w:rsidRPr="002910AB">
        <w:rPr>
          <w:rFonts w:ascii="Book Antiqua" w:eastAsia="SimSun" w:hAnsi="Book Antiqua"/>
          <w:vertAlign w:val="superscript"/>
          <w:lang w:val="es-ES"/>
        </w:rPr>
        <w:t>era</w:t>
      </w:r>
      <w:r w:rsidR="002910AB">
        <w:rPr>
          <w:rFonts w:ascii="Book Antiqua" w:eastAsia="SimSun" w:hAnsi="Book Antiqua"/>
          <w:vertAlign w:val="superscript"/>
          <w:lang w:val="es-ES"/>
        </w:rPr>
        <w:t>.</w:t>
      </w:r>
      <w:r w:rsidRPr="202727DC">
        <w:rPr>
          <w:rFonts w:ascii="Book Antiqua" w:eastAsia="SimSun" w:hAnsi="Book Antiqua"/>
          <w:sz w:val="20"/>
          <w:lang w:val="es-ES"/>
        </w:rPr>
        <w:t xml:space="preserve"> </w:t>
      </w:r>
      <w:r w:rsidRPr="202727DC">
        <w:rPr>
          <w:rFonts w:ascii="Book Antiqua" w:eastAsia="SimSun" w:hAnsi="Book Antiqua"/>
          <w:lang w:val="es-ES"/>
        </w:rPr>
        <w:t>Sesión</w:t>
      </w:r>
    </w:p>
    <w:p w14:paraId="48EA929D" w14:textId="77777777" w:rsidR="008C2FF7" w:rsidRPr="00A81608" w:rsidRDefault="008C2FF7" w:rsidP="005313B3">
      <w:pPr>
        <w:tabs>
          <w:tab w:val="left" w:pos="540"/>
          <w:tab w:val="right" w:pos="9360"/>
        </w:tabs>
        <w:jc w:val="both"/>
        <w:rPr>
          <w:rFonts w:ascii="Book Antiqua" w:eastAsia="SimSun" w:hAnsi="Book Antiqua"/>
          <w:lang w:val="es-ES"/>
        </w:rPr>
      </w:pPr>
      <w:r w:rsidRPr="00A81608">
        <w:rPr>
          <w:rFonts w:ascii="Book Antiqua" w:eastAsia="SimSun" w:hAnsi="Book Antiqua"/>
          <w:lang w:val="es-ES_tradnl"/>
        </w:rPr>
        <w:tab/>
      </w:r>
      <w:r w:rsidRPr="202727DC">
        <w:rPr>
          <w:rFonts w:ascii="Book Antiqua" w:eastAsia="SimSun" w:hAnsi="Book Antiqua"/>
          <w:lang w:val="es-ES"/>
        </w:rPr>
        <w:t>Legislativa</w:t>
      </w:r>
      <w:r w:rsidRPr="00A81608">
        <w:rPr>
          <w:rFonts w:ascii="Book Antiqua" w:eastAsia="SimSun" w:hAnsi="Book Antiqua"/>
          <w:lang w:val="es-ES_tradnl"/>
        </w:rPr>
        <w:tab/>
      </w:r>
      <w:r w:rsidRPr="202727DC">
        <w:rPr>
          <w:rFonts w:ascii="Book Antiqua" w:eastAsia="SimSun" w:hAnsi="Book Antiqua"/>
          <w:lang w:val="es-ES"/>
        </w:rPr>
        <w:t>Ordinaria</w:t>
      </w:r>
    </w:p>
    <w:p w14:paraId="6A076F84" w14:textId="77777777" w:rsidR="008C2FF7" w:rsidRPr="00A81608" w:rsidRDefault="008C2FF7" w:rsidP="005313B3">
      <w:pPr>
        <w:jc w:val="center"/>
        <w:rPr>
          <w:rFonts w:ascii="Book Antiqua" w:eastAsia="SimSun" w:hAnsi="Book Antiqua"/>
          <w:lang w:val="es-ES"/>
        </w:rPr>
      </w:pPr>
    </w:p>
    <w:p w14:paraId="3A4E1D08" w14:textId="77777777" w:rsidR="008C2FF7" w:rsidRDefault="008C2FF7" w:rsidP="005313B3">
      <w:pPr>
        <w:jc w:val="center"/>
        <w:rPr>
          <w:rFonts w:ascii="Book Antiqua" w:eastAsia="SimSun" w:hAnsi="Book Antiqua"/>
          <w:b/>
          <w:bCs/>
          <w:sz w:val="36"/>
          <w:szCs w:val="36"/>
          <w:lang w:val="es-ES"/>
        </w:rPr>
      </w:pPr>
      <w:r w:rsidRPr="202727DC">
        <w:rPr>
          <w:rFonts w:ascii="Book Antiqua" w:eastAsia="SimSun" w:hAnsi="Book Antiqua"/>
          <w:b/>
          <w:bCs/>
          <w:sz w:val="36"/>
          <w:szCs w:val="36"/>
          <w:lang w:val="es-ES"/>
        </w:rPr>
        <w:t xml:space="preserve">CÁMARA DE REPRESENTANTES </w:t>
      </w:r>
    </w:p>
    <w:p w14:paraId="13165924" w14:textId="77777777" w:rsidR="005313B3" w:rsidRPr="005313B3" w:rsidRDefault="005313B3" w:rsidP="005313B3">
      <w:pPr>
        <w:jc w:val="center"/>
        <w:rPr>
          <w:rFonts w:ascii="Book Antiqua" w:eastAsia="SimSun" w:hAnsi="Book Antiqua"/>
          <w:b/>
          <w:bCs/>
          <w:szCs w:val="24"/>
          <w:lang w:val="es-ES"/>
        </w:rPr>
      </w:pPr>
    </w:p>
    <w:p w14:paraId="61BC7BF8" w14:textId="790B15E5" w:rsidR="008C2FF7" w:rsidRDefault="008C2FF7" w:rsidP="005313B3">
      <w:pPr>
        <w:jc w:val="center"/>
        <w:rPr>
          <w:rFonts w:ascii="Book Antiqua" w:eastAsia="SimSun" w:hAnsi="Book Antiqua"/>
          <w:b/>
          <w:bCs/>
          <w:sz w:val="52"/>
          <w:szCs w:val="52"/>
          <w:lang w:val="es-ES"/>
        </w:rPr>
      </w:pPr>
      <w:r w:rsidRPr="202727DC">
        <w:rPr>
          <w:rFonts w:ascii="Book Antiqua" w:eastAsia="SimSun" w:hAnsi="Book Antiqua"/>
          <w:b/>
          <w:bCs/>
          <w:sz w:val="52"/>
          <w:szCs w:val="52"/>
          <w:lang w:val="es-ES"/>
        </w:rPr>
        <w:t xml:space="preserve">P. de la C. </w:t>
      </w:r>
      <w:r w:rsidR="00BF2274">
        <w:rPr>
          <w:rFonts w:ascii="Book Antiqua" w:eastAsia="SimSun" w:hAnsi="Book Antiqua"/>
          <w:b/>
          <w:bCs/>
          <w:sz w:val="52"/>
          <w:szCs w:val="52"/>
          <w:lang w:val="es-ES"/>
        </w:rPr>
        <w:t>308</w:t>
      </w:r>
    </w:p>
    <w:p w14:paraId="03045815" w14:textId="77777777" w:rsidR="005313B3" w:rsidRPr="005313B3" w:rsidRDefault="005313B3" w:rsidP="005313B3">
      <w:pPr>
        <w:jc w:val="center"/>
        <w:rPr>
          <w:rFonts w:ascii="Book Antiqua" w:eastAsia="SimSun" w:hAnsi="Book Antiqua"/>
          <w:b/>
          <w:bCs/>
          <w:szCs w:val="24"/>
          <w:u w:val="single"/>
          <w:lang w:val="es-ES"/>
        </w:rPr>
      </w:pPr>
    </w:p>
    <w:p w14:paraId="16ECBE8D" w14:textId="484E1F94" w:rsidR="008C2FF7" w:rsidRDefault="00BF2274" w:rsidP="005313B3">
      <w:pPr>
        <w:jc w:val="center"/>
        <w:rPr>
          <w:rFonts w:ascii="Book Antiqua" w:eastAsia="SimSun" w:hAnsi="Book Antiqua"/>
          <w:lang w:val="es-ES"/>
        </w:rPr>
      </w:pPr>
      <w:r>
        <w:rPr>
          <w:rFonts w:ascii="Book Antiqua" w:eastAsia="SimSun" w:hAnsi="Book Antiqua"/>
          <w:lang w:val="es-ES"/>
        </w:rPr>
        <w:t>5</w:t>
      </w:r>
      <w:r w:rsidR="008C2FF7" w:rsidRPr="202727DC">
        <w:rPr>
          <w:rFonts w:ascii="Book Antiqua" w:eastAsia="SimSun" w:hAnsi="Book Antiqua"/>
          <w:lang w:val="es-ES"/>
        </w:rPr>
        <w:t xml:space="preserve"> DE </w:t>
      </w:r>
      <w:r w:rsidR="002910AB">
        <w:rPr>
          <w:rFonts w:ascii="Book Antiqua" w:eastAsia="SimSun" w:hAnsi="Book Antiqua"/>
          <w:lang w:val="es-ES"/>
        </w:rPr>
        <w:t>FEBRERO</w:t>
      </w:r>
      <w:r w:rsidR="008C2FF7" w:rsidRPr="202727DC">
        <w:rPr>
          <w:rFonts w:ascii="Book Antiqua" w:eastAsia="SimSun" w:hAnsi="Book Antiqua"/>
          <w:lang w:val="es-ES"/>
        </w:rPr>
        <w:t xml:space="preserve"> DE 2025</w:t>
      </w:r>
    </w:p>
    <w:p w14:paraId="04643641" w14:textId="77777777" w:rsidR="005313B3" w:rsidRPr="00A81608" w:rsidRDefault="005313B3" w:rsidP="005313B3">
      <w:pPr>
        <w:jc w:val="center"/>
        <w:rPr>
          <w:rFonts w:ascii="Book Antiqua" w:eastAsia="SimSun" w:hAnsi="Book Antiqua"/>
          <w:lang w:val="es-ES"/>
        </w:rPr>
      </w:pPr>
    </w:p>
    <w:p w14:paraId="1356D874" w14:textId="276FE712" w:rsidR="008C2FF7" w:rsidRPr="00A81608" w:rsidRDefault="008C2FF7" w:rsidP="005313B3">
      <w:pPr>
        <w:jc w:val="center"/>
        <w:rPr>
          <w:rFonts w:ascii="Book Antiqua" w:eastAsia="SimSun" w:hAnsi="Book Antiqua"/>
          <w:lang w:val="es-ES"/>
        </w:rPr>
      </w:pPr>
      <w:r w:rsidRPr="202727DC">
        <w:rPr>
          <w:rFonts w:ascii="Book Antiqua" w:eastAsia="SimSun" w:hAnsi="Book Antiqua"/>
          <w:lang w:val="es-ES"/>
        </w:rPr>
        <w:t xml:space="preserve">Presentado por el representante </w:t>
      </w:r>
      <w:r w:rsidR="002910AB" w:rsidRPr="002910AB">
        <w:rPr>
          <w:rFonts w:ascii="Book Antiqua" w:eastAsia="SimSun" w:hAnsi="Book Antiqua"/>
          <w:i/>
          <w:iCs/>
          <w:lang w:val="es-ES"/>
        </w:rPr>
        <w:t>Méndez Núñez</w:t>
      </w:r>
    </w:p>
    <w:p w14:paraId="05BA9A95" w14:textId="77777777" w:rsidR="008C2FF7" w:rsidRPr="00A81608" w:rsidRDefault="008C2FF7" w:rsidP="005313B3">
      <w:pPr>
        <w:jc w:val="center"/>
        <w:rPr>
          <w:rFonts w:ascii="Book Antiqua" w:hAnsi="Book Antiqua"/>
        </w:rPr>
      </w:pPr>
    </w:p>
    <w:p w14:paraId="62C901B2" w14:textId="77777777" w:rsidR="008C2FF7" w:rsidRPr="00A81608" w:rsidRDefault="008C2FF7" w:rsidP="005313B3">
      <w:pPr>
        <w:jc w:val="center"/>
        <w:rPr>
          <w:rFonts w:ascii="Book Antiqua" w:hAnsi="Book Antiqua"/>
        </w:rPr>
      </w:pPr>
      <w:r w:rsidRPr="202727DC">
        <w:rPr>
          <w:rFonts w:ascii="Book Antiqua" w:hAnsi="Book Antiqua"/>
          <w:i/>
          <w:iCs/>
        </w:rPr>
        <w:t>Por petición de la Oficina del Inspector General de Puerto Rico</w:t>
      </w:r>
    </w:p>
    <w:p w14:paraId="5452F303" w14:textId="77777777" w:rsidR="008C2FF7" w:rsidRPr="00A81608" w:rsidRDefault="008C2FF7" w:rsidP="005313B3">
      <w:pPr>
        <w:jc w:val="center"/>
        <w:rPr>
          <w:rFonts w:ascii="Book Antiqua" w:eastAsia="SimSun" w:hAnsi="Book Antiqua"/>
          <w:lang w:val="es-ES"/>
        </w:rPr>
      </w:pPr>
    </w:p>
    <w:p w14:paraId="0D41A2C5" w14:textId="68A75CBE" w:rsidR="008C2FF7" w:rsidRDefault="008C2FF7" w:rsidP="005313B3">
      <w:pPr>
        <w:jc w:val="center"/>
        <w:rPr>
          <w:rFonts w:ascii="Book Antiqua" w:eastAsia="SimSun" w:hAnsi="Book Antiqua"/>
          <w:lang w:val="es-ES"/>
        </w:rPr>
      </w:pPr>
      <w:r w:rsidRPr="202727DC">
        <w:rPr>
          <w:rFonts w:ascii="Book Antiqua" w:eastAsia="SimSun" w:hAnsi="Book Antiqua"/>
          <w:lang w:val="es-ES"/>
        </w:rPr>
        <w:t xml:space="preserve">Referido a la Comisión de </w:t>
      </w:r>
      <w:r w:rsidR="001375FA">
        <w:rPr>
          <w:rFonts w:ascii="Book Antiqua" w:eastAsia="SimSun" w:hAnsi="Book Antiqua"/>
          <w:lang w:val="es-ES"/>
        </w:rPr>
        <w:t>Gobierno</w:t>
      </w:r>
    </w:p>
    <w:p w14:paraId="2B5354D8" w14:textId="77777777" w:rsidR="005313B3" w:rsidRPr="00A81608" w:rsidRDefault="005313B3" w:rsidP="005313B3">
      <w:pPr>
        <w:jc w:val="center"/>
        <w:rPr>
          <w:rFonts w:ascii="Book Antiqua" w:eastAsia="SimSun" w:hAnsi="Book Antiqua"/>
          <w:i/>
          <w:iCs/>
          <w:lang w:val="es-ES"/>
        </w:rPr>
      </w:pPr>
    </w:p>
    <w:p w14:paraId="2A0E0987" w14:textId="77777777" w:rsidR="008C2FF7" w:rsidRPr="00A81608" w:rsidRDefault="008C2FF7" w:rsidP="005313B3">
      <w:pPr>
        <w:jc w:val="center"/>
        <w:rPr>
          <w:rFonts w:ascii="Book Antiqua" w:eastAsia="SimSun" w:hAnsi="Book Antiqua"/>
          <w:b/>
          <w:sz w:val="32"/>
          <w:szCs w:val="32"/>
          <w:lang w:val="es-ES_tradnl"/>
        </w:rPr>
      </w:pPr>
      <w:r w:rsidRPr="00A81608">
        <w:rPr>
          <w:rFonts w:ascii="Book Antiqua" w:eastAsia="SimSun" w:hAnsi="Book Antiqua"/>
          <w:b/>
          <w:sz w:val="32"/>
          <w:szCs w:val="32"/>
          <w:lang w:val="es-ES_tradnl"/>
        </w:rPr>
        <w:t>LEY</w:t>
      </w:r>
    </w:p>
    <w:p w14:paraId="77904F17" w14:textId="77777777" w:rsidR="008C2FF7" w:rsidRPr="00A81608" w:rsidRDefault="008C2FF7" w:rsidP="005313B3">
      <w:pPr>
        <w:jc w:val="both"/>
        <w:rPr>
          <w:rFonts w:ascii="Book Antiqua" w:hAnsi="Book Antiqua"/>
          <w:sz w:val="16"/>
          <w:szCs w:val="16"/>
          <w:lang w:val="es-ES_tradnl"/>
        </w:rPr>
      </w:pPr>
      <w:bookmarkStart w:id="0" w:name="_Hlk180590778"/>
    </w:p>
    <w:p w14:paraId="76371765" w14:textId="79805289" w:rsidR="008C2FF7" w:rsidRPr="00A81608" w:rsidRDefault="008C2FF7" w:rsidP="28A3C3CF">
      <w:pPr>
        <w:ind w:left="720" w:hanging="720"/>
        <w:jc w:val="both"/>
        <w:rPr>
          <w:rFonts w:ascii="Book Antiqua" w:hAnsi="Book Antiqua" w:cs="Mongolian Baiti"/>
          <w:lang w:val="es-ES"/>
        </w:rPr>
      </w:pPr>
      <w:bookmarkStart w:id="1" w:name="_Hlk180587757"/>
      <w:r w:rsidRPr="47CFD983">
        <w:rPr>
          <w:rFonts w:ascii="Book Antiqua" w:hAnsi="Book Antiqua"/>
        </w:rPr>
        <w:t>Para enmendar el Artículo 3</w:t>
      </w:r>
      <w:r w:rsidR="002910AB" w:rsidRPr="47CFD983">
        <w:rPr>
          <w:rFonts w:ascii="Book Antiqua" w:hAnsi="Book Antiqua"/>
        </w:rPr>
        <w:t>;</w:t>
      </w:r>
      <w:r w:rsidRPr="47CFD983">
        <w:rPr>
          <w:rFonts w:ascii="Book Antiqua" w:hAnsi="Book Antiqua"/>
        </w:rPr>
        <w:t xml:space="preserve"> y añadir un nuevo inciso (</w:t>
      </w:r>
      <w:proofErr w:type="spellStart"/>
      <w:r w:rsidRPr="47CFD983">
        <w:rPr>
          <w:rFonts w:ascii="Book Antiqua" w:hAnsi="Book Antiqua"/>
        </w:rPr>
        <w:t>aa</w:t>
      </w:r>
      <w:proofErr w:type="spellEnd"/>
      <w:r w:rsidRPr="47CFD983">
        <w:rPr>
          <w:rFonts w:ascii="Book Antiqua" w:hAnsi="Book Antiqua"/>
        </w:rPr>
        <w:t>) al Artículo 7 de la Ley 15-2017, según enmendada, conocida como “Ley del Inspector General de Puerto Rico”, a los fines de ampliar la jurisdicción de la Oficina del Inspector General para incluir a exservidores públicos, contratistas y excontratistas gubernamentales, permitiendo la investigación de actos o irregularidades cometidos durante su servicio</w:t>
      </w:r>
      <w:r w:rsidR="00677AF0" w:rsidRPr="47CFD983">
        <w:rPr>
          <w:rFonts w:ascii="Book Antiqua" w:hAnsi="Book Antiqua"/>
        </w:rPr>
        <w:t xml:space="preserve"> público</w:t>
      </w:r>
      <w:r w:rsidRPr="47CFD983">
        <w:rPr>
          <w:rFonts w:ascii="Book Antiqua" w:hAnsi="Book Antiqua"/>
        </w:rPr>
        <w:t xml:space="preserve">; </w:t>
      </w:r>
      <w:r w:rsidR="4993A95A" w:rsidRPr="47CFD983">
        <w:rPr>
          <w:rFonts w:ascii="Book Antiqua" w:eastAsia="Book Antiqua" w:hAnsi="Book Antiqua" w:cs="Book Antiqua"/>
          <w:i/>
          <w:iCs/>
          <w:u w:val="single"/>
        </w:rPr>
        <w:t>establecer un término para el ejercicio de dicha jurisdicción</w:t>
      </w:r>
      <w:r w:rsidR="4993A95A" w:rsidRPr="47CFD983">
        <w:rPr>
          <w:rFonts w:ascii="Book Antiqua" w:eastAsia="Book Antiqua" w:hAnsi="Book Antiqua" w:cs="Book Antiqua"/>
        </w:rPr>
        <w:t xml:space="preserve"> </w:t>
      </w:r>
      <w:r w:rsidRPr="47CFD983">
        <w:rPr>
          <w:rFonts w:ascii="Book Antiqua" w:hAnsi="Book Antiqua"/>
        </w:rPr>
        <w:t xml:space="preserve">y para otros fines relacionados. </w:t>
      </w:r>
      <w:bookmarkEnd w:id="0"/>
      <w:bookmarkEnd w:id="1"/>
    </w:p>
    <w:p w14:paraId="3A896937" w14:textId="77777777" w:rsidR="008C2FF7" w:rsidRPr="00A81608" w:rsidRDefault="008C2FF7" w:rsidP="005313B3">
      <w:pPr>
        <w:jc w:val="both"/>
        <w:rPr>
          <w:rFonts w:ascii="Book Antiqua" w:hAnsi="Book Antiqua"/>
          <w:szCs w:val="24"/>
          <w:lang w:val="es-ES_tradnl"/>
        </w:rPr>
      </w:pPr>
    </w:p>
    <w:p w14:paraId="44962FA2" w14:textId="77777777" w:rsidR="008C2FF7" w:rsidRDefault="008C2FF7" w:rsidP="005313B3">
      <w:pPr>
        <w:keepNext/>
        <w:jc w:val="center"/>
        <w:outlineLvl w:val="1"/>
        <w:rPr>
          <w:rFonts w:ascii="Book Antiqua" w:hAnsi="Book Antiqua"/>
          <w:bCs/>
          <w:szCs w:val="24"/>
        </w:rPr>
      </w:pPr>
      <w:r w:rsidRPr="005313B3">
        <w:rPr>
          <w:rFonts w:ascii="Book Antiqua" w:hAnsi="Book Antiqua"/>
          <w:bCs/>
          <w:szCs w:val="24"/>
        </w:rPr>
        <w:t>EXPOSICIÓN DE MOTIVOS</w:t>
      </w:r>
    </w:p>
    <w:p w14:paraId="5E2A8902" w14:textId="77777777" w:rsidR="005313B3" w:rsidRPr="005313B3" w:rsidRDefault="005313B3" w:rsidP="005313B3">
      <w:pPr>
        <w:keepNext/>
        <w:jc w:val="center"/>
        <w:outlineLvl w:val="1"/>
        <w:rPr>
          <w:rFonts w:ascii="Book Antiqua" w:hAnsi="Book Antiqua"/>
          <w:bCs/>
          <w:szCs w:val="24"/>
        </w:rPr>
      </w:pPr>
    </w:p>
    <w:p w14:paraId="50AE2CB9" w14:textId="62BB2414" w:rsidR="008C2FF7" w:rsidRPr="00482BF2" w:rsidRDefault="008C2FF7" w:rsidP="47CFD983">
      <w:pPr>
        <w:ind w:firstLine="720"/>
        <w:jc w:val="both"/>
        <w:rPr>
          <w:rFonts w:ascii="Book Antiqua" w:eastAsia="Book Antiqua" w:hAnsi="Book Antiqua" w:cs="Book Antiqua"/>
          <w:i/>
          <w:iCs/>
          <w:u w:val="single"/>
          <w:shd w:val="clear" w:color="auto" w:fill="FFFFFF"/>
        </w:rPr>
      </w:pPr>
      <w:r w:rsidRPr="28A3C3CF">
        <w:rPr>
          <w:rFonts w:ascii="Book Antiqua" w:hAnsi="Book Antiqua"/>
          <w:shd w:val="clear" w:color="auto" w:fill="FFFFFF"/>
        </w:rPr>
        <w:t>El fortalecimiento de la rendición de cuentas es esencial para la integridad de las instituciones gubernamentales y la confianza de la ciudadanía en el sistema público. Actualmente, la limitación de la jurisdicción de la Oficina del Inspector General (OIG) a los servidores públicos activos y las entidades gubernamentales cubiertas puede crear una brecha en la capacidad de fiscalización de actos cometidos en el ámbito público. Por tanto, este proyecto busca cerrar esa brecha extendiendo la jurisdicción de la OIG para que pueda investigar actos y conductas de exservidores públicos, contratistas y excontratistas, aun después de su desvinculación de la administración pública.</w:t>
      </w:r>
      <w:r w:rsidR="5FDE3480" w:rsidRPr="28A3C3CF">
        <w:rPr>
          <w:rFonts w:ascii="Book Antiqua" w:hAnsi="Book Antiqua"/>
          <w:shd w:val="clear" w:color="auto" w:fill="FFFFFF"/>
        </w:rPr>
        <w:t xml:space="preserve">  </w:t>
      </w:r>
      <w:r w:rsidR="5FDE3480" w:rsidRPr="00482BF2">
        <w:rPr>
          <w:rFonts w:ascii="Book Antiqua" w:hAnsi="Book Antiqua"/>
          <w:i/>
          <w:iCs/>
          <w:u w:val="single"/>
          <w:shd w:val="clear" w:color="auto" w:fill="FFFFFF"/>
        </w:rPr>
        <w:t xml:space="preserve">Del mismo modo, establece un término mediante el cual </w:t>
      </w:r>
      <w:r w:rsidR="5FDE3480" w:rsidRPr="00482BF2">
        <w:rPr>
          <w:rFonts w:ascii="Book Antiqua" w:eastAsia="Book Antiqua" w:hAnsi="Book Antiqua" w:cs="Book Antiqua"/>
          <w:i/>
          <w:iCs/>
          <w:u w:val="single"/>
        </w:rPr>
        <w:t>un exservidor público o excontratista puede ser objeto de investigaci</w:t>
      </w:r>
      <w:r w:rsidR="679D3EB5" w:rsidRPr="00482BF2">
        <w:rPr>
          <w:rFonts w:ascii="Book Antiqua" w:eastAsia="Book Antiqua" w:hAnsi="Book Antiqua" w:cs="Book Antiqua"/>
          <w:i/>
          <w:iCs/>
          <w:u w:val="single"/>
        </w:rPr>
        <w:t>ó</w:t>
      </w:r>
      <w:r w:rsidR="5FDE3480" w:rsidRPr="00482BF2">
        <w:rPr>
          <w:rFonts w:ascii="Book Antiqua" w:eastAsia="Book Antiqua" w:hAnsi="Book Antiqua" w:cs="Book Antiqua"/>
          <w:i/>
          <w:iCs/>
          <w:u w:val="single"/>
        </w:rPr>
        <w:t>n</w:t>
      </w:r>
      <w:r w:rsidR="4259C650" w:rsidRPr="00482BF2">
        <w:rPr>
          <w:rFonts w:ascii="Book Antiqua" w:eastAsia="Book Antiqua" w:hAnsi="Book Antiqua" w:cs="Book Antiqua"/>
          <w:i/>
          <w:iCs/>
          <w:u w:val="single"/>
        </w:rPr>
        <w:t>.</w:t>
      </w:r>
    </w:p>
    <w:p w14:paraId="4E4E88CA" w14:textId="77777777" w:rsidR="000916A2" w:rsidRPr="00A81608" w:rsidRDefault="000916A2" w:rsidP="005313B3">
      <w:pPr>
        <w:ind w:firstLine="720"/>
        <w:jc w:val="both"/>
        <w:rPr>
          <w:rFonts w:ascii="Book Antiqua" w:hAnsi="Book Antiqua"/>
          <w:szCs w:val="24"/>
          <w:shd w:val="clear" w:color="auto" w:fill="FFFFFF"/>
        </w:rPr>
      </w:pPr>
    </w:p>
    <w:p w14:paraId="44F68B00" w14:textId="55006564" w:rsidR="008C2FF7" w:rsidRDefault="1AFA9175" w:rsidP="28A3C3CF">
      <w:pPr>
        <w:ind w:firstLine="720"/>
        <w:jc w:val="both"/>
        <w:rPr>
          <w:rFonts w:ascii="Book Antiqua" w:hAnsi="Book Antiqua"/>
        </w:rPr>
      </w:pPr>
      <w:r w:rsidRPr="28A3C3CF">
        <w:rPr>
          <w:rFonts w:ascii="Book Antiqua" w:hAnsi="Book Antiqua"/>
          <w:i/>
          <w:iCs/>
          <w:u w:val="single"/>
        </w:rPr>
        <w:lastRenderedPageBreak/>
        <w:t>Cónsono con lo anterior</w:t>
      </w:r>
      <w:r w:rsidR="577390C1" w:rsidRPr="28A3C3CF">
        <w:rPr>
          <w:rFonts w:ascii="Book Antiqua" w:hAnsi="Book Antiqua"/>
          <w:i/>
          <w:iCs/>
          <w:u w:val="single"/>
        </w:rPr>
        <w:t>,</w:t>
      </w:r>
      <w:r w:rsidR="577390C1" w:rsidRPr="28A3C3CF">
        <w:rPr>
          <w:rFonts w:ascii="Book Antiqua" w:hAnsi="Book Antiqua"/>
        </w:rPr>
        <w:t xml:space="preserve"> </w:t>
      </w:r>
      <w:r w:rsidR="000916A2" w:rsidRPr="28A3C3CF">
        <w:rPr>
          <w:rFonts w:ascii="Book Antiqua" w:hAnsi="Book Antiqua"/>
          <w:strike/>
          <w:shd w:val="clear" w:color="auto" w:fill="FFFFFF"/>
        </w:rPr>
        <w:t>Esta</w:t>
      </w:r>
      <w:r w:rsidR="000916A2" w:rsidRPr="28A3C3CF">
        <w:rPr>
          <w:rFonts w:ascii="Book Antiqua" w:hAnsi="Book Antiqua"/>
          <w:shd w:val="clear" w:color="auto" w:fill="FFFFFF"/>
        </w:rPr>
        <w:t xml:space="preserve"> </w:t>
      </w:r>
      <w:r w:rsidR="03AE04A5" w:rsidRPr="28A3C3CF">
        <w:rPr>
          <w:rFonts w:ascii="Book Antiqua" w:hAnsi="Book Antiqua"/>
          <w:i/>
          <w:iCs/>
          <w:u w:val="single"/>
          <w:shd w:val="clear" w:color="auto" w:fill="FFFFFF"/>
        </w:rPr>
        <w:t>esta</w:t>
      </w:r>
      <w:r w:rsidR="03AE04A5" w:rsidRPr="28A3C3CF">
        <w:rPr>
          <w:rFonts w:ascii="Book Antiqua" w:hAnsi="Book Antiqua"/>
          <w:shd w:val="clear" w:color="auto" w:fill="FFFFFF"/>
        </w:rPr>
        <w:t xml:space="preserve"> </w:t>
      </w:r>
      <w:r w:rsidR="000916A2" w:rsidRPr="28A3C3CF">
        <w:rPr>
          <w:rFonts w:ascii="Book Antiqua" w:hAnsi="Book Antiqua"/>
          <w:shd w:val="clear" w:color="auto" w:fill="FFFFFF"/>
        </w:rPr>
        <w:t>Ley</w:t>
      </w:r>
      <w:r w:rsidR="008C2FF7" w:rsidRPr="28A3C3CF">
        <w:rPr>
          <w:rFonts w:ascii="Book Antiqua" w:hAnsi="Book Antiqua"/>
          <w:shd w:val="clear" w:color="auto" w:fill="FFFFFF"/>
        </w:rPr>
        <w:t xml:space="preserve"> pretende garantizar que los exservidores públicos, contratistas y excontratistas gubernamentales no puedan eludir la rendición de cuentas simplemente al desvincularse del gobierno. Sin esta jurisdicción extendida, la posibilidad de evitar la responsabilidad de sus actos podría resultar en una impunidad que menoscaba el objetivo de la </w:t>
      </w:r>
      <w:r w:rsidR="008C2FF7" w:rsidRPr="28A3C3CF">
        <w:rPr>
          <w:rFonts w:ascii="Book Antiqua" w:hAnsi="Book Antiqua"/>
        </w:rPr>
        <w:t xml:space="preserve">Ley </w:t>
      </w:r>
      <w:r w:rsidR="008C2FF7" w:rsidRPr="28A3C3CF">
        <w:rPr>
          <w:rFonts w:ascii="Book Antiqua" w:hAnsi="Book Antiqua"/>
          <w:strike/>
        </w:rPr>
        <w:t>Núm.</w:t>
      </w:r>
      <w:r w:rsidR="008C2FF7" w:rsidRPr="28A3C3CF">
        <w:rPr>
          <w:rFonts w:ascii="Book Antiqua" w:hAnsi="Book Antiqua"/>
        </w:rPr>
        <w:t xml:space="preserve"> 15-2017, según enmendada, conocida como “Ley del Inspector General de Puerto Rico”, de erradicar la corrupción y promover la integridad en el servicio público. De este modo, la OIG mantendría la autoridad para completar investigaciones de actos ocurridos durante el tiempo de servicio, independientemente del estatus laboral de la persona natural o jurídica investigada.</w:t>
      </w:r>
    </w:p>
    <w:p w14:paraId="4DACAFEA" w14:textId="77777777" w:rsidR="000916A2" w:rsidRPr="00A81608" w:rsidRDefault="000916A2" w:rsidP="005313B3">
      <w:pPr>
        <w:ind w:firstLine="720"/>
        <w:jc w:val="both"/>
        <w:rPr>
          <w:rFonts w:ascii="Book Antiqua" w:hAnsi="Book Antiqua"/>
          <w:szCs w:val="24"/>
        </w:rPr>
      </w:pPr>
    </w:p>
    <w:p w14:paraId="413F5804" w14:textId="3D7074E0" w:rsidR="008C2FF7" w:rsidRDefault="008C2FF7" w:rsidP="005313B3">
      <w:pPr>
        <w:ind w:firstLine="720"/>
        <w:jc w:val="both"/>
        <w:rPr>
          <w:rFonts w:ascii="Book Antiqua" w:hAnsi="Book Antiqua"/>
        </w:rPr>
      </w:pPr>
      <w:r w:rsidRPr="202727DC">
        <w:rPr>
          <w:rFonts w:ascii="Book Antiqua" w:hAnsi="Book Antiqua"/>
        </w:rPr>
        <w:t>Como se sabe, la corrupción y las malas prácticas administrativas pueden tener efectos duraderos que afectan la administración pública y los recursos del Estado. E</w:t>
      </w:r>
      <w:r w:rsidR="214C3FF4" w:rsidRPr="202727DC">
        <w:rPr>
          <w:rFonts w:ascii="Book Antiqua" w:hAnsi="Book Antiqua"/>
        </w:rPr>
        <w:t>n</w:t>
      </w:r>
      <w:r w:rsidRPr="202727DC">
        <w:rPr>
          <w:rFonts w:ascii="Book Antiqua" w:hAnsi="Book Antiqua"/>
        </w:rPr>
        <w:t xml:space="preserve"> atención a ello, este proyecto contribuye a una fiscalización completa al permitir a la OIG investigar actos pasados de aquellos que ya no tienen relación formal con la entidad gubernamental investigada. Al ampliar la capacidad de la OIG, se fortalece la lucha contra la corrupción y se asegura que ningún acto ilícito quede sin el debido escrutinio.</w:t>
      </w:r>
    </w:p>
    <w:p w14:paraId="6E14029E" w14:textId="77777777" w:rsidR="000916A2" w:rsidRPr="00A81608" w:rsidRDefault="000916A2" w:rsidP="005313B3">
      <w:pPr>
        <w:ind w:firstLine="720"/>
        <w:jc w:val="both"/>
        <w:rPr>
          <w:rFonts w:ascii="Book Antiqua" w:hAnsi="Book Antiqua"/>
        </w:rPr>
      </w:pPr>
    </w:p>
    <w:p w14:paraId="36206333" w14:textId="04DA7D5B" w:rsidR="008C2FF7" w:rsidRDefault="008C2FF7" w:rsidP="005313B3">
      <w:pPr>
        <w:ind w:firstLine="720"/>
        <w:jc w:val="both"/>
        <w:rPr>
          <w:rFonts w:ascii="Book Antiqua" w:hAnsi="Book Antiqua"/>
          <w:szCs w:val="24"/>
        </w:rPr>
      </w:pPr>
      <w:r w:rsidRPr="00A81608">
        <w:rPr>
          <w:rFonts w:ascii="Book Antiqua" w:hAnsi="Book Antiqua"/>
          <w:szCs w:val="24"/>
        </w:rPr>
        <w:t xml:space="preserve">Los funcionarios públicos y contratistas, actuales o </w:t>
      </w:r>
      <w:r>
        <w:rPr>
          <w:rFonts w:ascii="Book Antiqua" w:hAnsi="Book Antiqua"/>
          <w:szCs w:val="24"/>
        </w:rPr>
        <w:t>previos</w:t>
      </w:r>
      <w:r w:rsidRPr="00A81608">
        <w:rPr>
          <w:rFonts w:ascii="Book Antiqua" w:hAnsi="Book Antiqua"/>
          <w:szCs w:val="24"/>
        </w:rPr>
        <w:t xml:space="preserve">, tienen acceso y responsabilidad sobre los fondos y bienes públicos. Si alguno de ellos cometió irregularidades o actos que afectaron estos recursos, es fundamental que la OIG conserve la jurisdicción para investigar tales actos, sin importar si la persona en cuestión ya no está vinculada al gobierno. Con esta </w:t>
      </w:r>
      <w:r w:rsidR="00061C06">
        <w:rPr>
          <w:rFonts w:ascii="Book Antiqua" w:hAnsi="Book Antiqua"/>
          <w:szCs w:val="24"/>
        </w:rPr>
        <w:t>Ley</w:t>
      </w:r>
      <w:r w:rsidRPr="00A81608">
        <w:rPr>
          <w:rFonts w:ascii="Book Antiqua" w:hAnsi="Book Antiqua"/>
          <w:szCs w:val="24"/>
        </w:rPr>
        <w:t xml:space="preserve">, se protege el </w:t>
      </w:r>
      <w:r>
        <w:rPr>
          <w:rFonts w:ascii="Book Antiqua" w:hAnsi="Book Antiqua"/>
          <w:szCs w:val="24"/>
        </w:rPr>
        <w:t>erario</w:t>
      </w:r>
      <w:r w:rsidRPr="00A81608">
        <w:rPr>
          <w:rFonts w:ascii="Book Antiqua" w:hAnsi="Book Antiqua"/>
          <w:szCs w:val="24"/>
        </w:rPr>
        <w:t xml:space="preserve"> y se asegura la transparencia en el uso de los recursos públicos.</w:t>
      </w:r>
    </w:p>
    <w:p w14:paraId="1577A89E" w14:textId="77777777" w:rsidR="000916A2" w:rsidRPr="00A81608" w:rsidRDefault="000916A2" w:rsidP="005313B3">
      <w:pPr>
        <w:ind w:firstLine="720"/>
        <w:jc w:val="both"/>
        <w:rPr>
          <w:rFonts w:ascii="Book Antiqua" w:hAnsi="Book Antiqua"/>
          <w:szCs w:val="24"/>
        </w:rPr>
      </w:pPr>
    </w:p>
    <w:p w14:paraId="138A7BE3" w14:textId="5B2DBC64" w:rsidR="008C2FF7" w:rsidRDefault="008C2FF7" w:rsidP="005313B3">
      <w:pPr>
        <w:ind w:firstLine="720"/>
        <w:jc w:val="both"/>
        <w:rPr>
          <w:rFonts w:ascii="Book Antiqua" w:hAnsi="Book Antiqua"/>
          <w:szCs w:val="24"/>
          <w:shd w:val="clear" w:color="auto" w:fill="FFFFFF"/>
        </w:rPr>
      </w:pPr>
      <w:r>
        <w:rPr>
          <w:rFonts w:ascii="Book Antiqua" w:hAnsi="Book Antiqua"/>
          <w:szCs w:val="24"/>
        </w:rPr>
        <w:t>Precisa indicar, a</w:t>
      </w:r>
      <w:r w:rsidRPr="00A81608">
        <w:rPr>
          <w:rFonts w:ascii="Book Antiqua" w:hAnsi="Book Antiqua"/>
          <w:szCs w:val="24"/>
        </w:rPr>
        <w:t xml:space="preserve">demás, </w:t>
      </w:r>
      <w:r>
        <w:rPr>
          <w:rFonts w:ascii="Book Antiqua" w:hAnsi="Book Antiqua"/>
          <w:szCs w:val="24"/>
        </w:rPr>
        <w:t xml:space="preserve">que </w:t>
      </w:r>
      <w:r w:rsidRPr="00A81608">
        <w:rPr>
          <w:rFonts w:ascii="Book Antiqua" w:hAnsi="Book Antiqua"/>
          <w:szCs w:val="24"/>
        </w:rPr>
        <w:t>est</w:t>
      </w:r>
      <w:r>
        <w:rPr>
          <w:rFonts w:ascii="Book Antiqua" w:hAnsi="Book Antiqua"/>
          <w:szCs w:val="24"/>
        </w:rPr>
        <w:t xml:space="preserve">a </w:t>
      </w:r>
      <w:r w:rsidR="00061C06">
        <w:rPr>
          <w:rFonts w:ascii="Book Antiqua" w:hAnsi="Book Antiqua"/>
          <w:szCs w:val="24"/>
        </w:rPr>
        <w:t>Ley</w:t>
      </w:r>
      <w:r w:rsidRPr="00A81608">
        <w:rPr>
          <w:rFonts w:ascii="Book Antiqua" w:hAnsi="Book Antiqua"/>
          <w:szCs w:val="24"/>
        </w:rPr>
        <w:t xml:space="preserve"> responde a la necesidad de garantizar que los recursos públicos del Estado se administren con la máxima responsabilidad, sin importar el momento en que las irregularidades pueden salir a la luz. En ocasiones, las consecuencias de actos indebidos en la administración pública sólo se descubren tiempo después de la desvinculación de los responsables. Por lo tanto, al otorgar a la OIG la jurisdicción continua sobre </w:t>
      </w:r>
      <w:r w:rsidRPr="00A81608">
        <w:rPr>
          <w:rFonts w:ascii="Book Antiqua" w:hAnsi="Book Antiqua"/>
          <w:szCs w:val="24"/>
          <w:shd w:val="clear" w:color="auto" w:fill="FFFFFF"/>
        </w:rPr>
        <w:t>exservidores públicos, contratistas y excontratistas, el Estado se asegura de que la administración de fondos y bienes públicos esté protegida a largo plazo y de que se identifiquen y sanciones todas las conductas inapropiadas, sin importar cuándo se detecten.</w:t>
      </w:r>
    </w:p>
    <w:p w14:paraId="7D8E8EF4" w14:textId="77777777" w:rsidR="000916A2" w:rsidRPr="00A81608" w:rsidRDefault="000916A2" w:rsidP="005313B3">
      <w:pPr>
        <w:ind w:firstLine="720"/>
        <w:jc w:val="both"/>
        <w:rPr>
          <w:rFonts w:ascii="Book Antiqua" w:hAnsi="Book Antiqua"/>
          <w:szCs w:val="24"/>
          <w:shd w:val="clear" w:color="auto" w:fill="FFFFFF"/>
        </w:rPr>
      </w:pPr>
    </w:p>
    <w:p w14:paraId="42BF7D92" w14:textId="15E19FFE" w:rsidR="008C2FF7" w:rsidRDefault="00061C06" w:rsidP="28A3C3CF">
      <w:pPr>
        <w:ind w:firstLine="720"/>
        <w:jc w:val="both"/>
        <w:rPr>
          <w:rFonts w:ascii="Book Antiqua" w:hAnsi="Book Antiqua"/>
          <w:shd w:val="clear" w:color="auto" w:fill="FFFFFF"/>
        </w:rPr>
      </w:pPr>
      <w:r w:rsidRPr="28A3C3CF">
        <w:rPr>
          <w:rFonts w:ascii="Book Antiqua" w:hAnsi="Book Antiqua"/>
          <w:shd w:val="clear" w:color="auto" w:fill="FFFFFF"/>
        </w:rPr>
        <w:t>Esta Ley</w:t>
      </w:r>
      <w:r w:rsidR="008C2FF7" w:rsidRPr="28A3C3CF">
        <w:rPr>
          <w:rFonts w:ascii="Book Antiqua" w:hAnsi="Book Antiqua"/>
          <w:shd w:val="clear" w:color="auto" w:fill="FFFFFF"/>
        </w:rPr>
        <w:t xml:space="preserve"> refuerza el sistema de prevención y control dentro de la administración pública. Al crear una disposición firme y sin </w:t>
      </w:r>
      <w:r w:rsidR="008C2FF7" w:rsidRPr="28A3C3CF">
        <w:rPr>
          <w:rFonts w:ascii="Book Antiqua" w:hAnsi="Book Antiqua"/>
          <w:strike/>
          <w:shd w:val="clear" w:color="auto" w:fill="FFFFFF"/>
        </w:rPr>
        <w:t>ambages</w:t>
      </w:r>
      <w:r w:rsidR="008C2FF7" w:rsidRPr="28A3C3CF">
        <w:rPr>
          <w:rFonts w:ascii="Book Antiqua" w:hAnsi="Book Antiqua"/>
          <w:shd w:val="clear" w:color="auto" w:fill="FFFFFF"/>
        </w:rPr>
        <w:t xml:space="preserve"> </w:t>
      </w:r>
      <w:r w:rsidR="2E463000" w:rsidRPr="28A3C3CF">
        <w:rPr>
          <w:rFonts w:ascii="Book Antiqua" w:hAnsi="Book Antiqua"/>
          <w:i/>
          <w:iCs/>
          <w:u w:val="single"/>
          <w:shd w:val="clear" w:color="auto" w:fill="FFFFFF"/>
        </w:rPr>
        <w:t>ambigüedad</w:t>
      </w:r>
      <w:r w:rsidR="2E463000" w:rsidRPr="28A3C3CF">
        <w:rPr>
          <w:rFonts w:ascii="Book Antiqua" w:hAnsi="Book Antiqua"/>
          <w:shd w:val="clear" w:color="auto" w:fill="FFFFFF"/>
        </w:rPr>
        <w:t xml:space="preserve"> </w:t>
      </w:r>
      <w:r w:rsidR="008C2FF7" w:rsidRPr="28A3C3CF">
        <w:rPr>
          <w:rFonts w:ascii="Book Antiqua" w:hAnsi="Book Antiqua"/>
          <w:shd w:val="clear" w:color="auto" w:fill="FFFFFF"/>
        </w:rPr>
        <w:t xml:space="preserve">que </w:t>
      </w:r>
      <w:r w:rsidR="008C2FF7" w:rsidRPr="28A3C3CF">
        <w:rPr>
          <w:rFonts w:ascii="Book Antiqua" w:hAnsi="Book Antiqua"/>
          <w:strike/>
          <w:shd w:val="clear" w:color="auto" w:fill="FFFFFF"/>
        </w:rPr>
        <w:t>establece</w:t>
      </w:r>
      <w:r w:rsidR="008C2FF7" w:rsidRPr="28A3C3CF">
        <w:rPr>
          <w:rFonts w:ascii="Book Antiqua" w:hAnsi="Book Antiqua"/>
          <w:shd w:val="clear" w:color="auto" w:fill="FFFFFF"/>
        </w:rPr>
        <w:t xml:space="preserve"> </w:t>
      </w:r>
      <w:r w:rsidR="205C3A99" w:rsidRPr="28A3C3CF">
        <w:rPr>
          <w:rFonts w:ascii="Book Antiqua" w:hAnsi="Book Antiqua"/>
          <w:i/>
          <w:iCs/>
          <w:u w:val="single"/>
          <w:shd w:val="clear" w:color="auto" w:fill="FFFFFF"/>
        </w:rPr>
        <w:t>establezca</w:t>
      </w:r>
      <w:r w:rsidR="205C3A99" w:rsidRPr="28A3C3CF">
        <w:rPr>
          <w:rFonts w:ascii="Book Antiqua" w:hAnsi="Book Antiqua"/>
          <w:shd w:val="clear" w:color="auto" w:fill="FFFFFF"/>
        </w:rPr>
        <w:t xml:space="preserve"> </w:t>
      </w:r>
      <w:r w:rsidR="008C2FF7" w:rsidRPr="28A3C3CF">
        <w:rPr>
          <w:rFonts w:ascii="Book Antiqua" w:hAnsi="Book Antiqua"/>
          <w:shd w:val="clear" w:color="auto" w:fill="FFFFFF"/>
        </w:rPr>
        <w:t>la permanencia de la jurisdicción de la OIG sobre exservidores públicos, contratistas y excontratistas, se envía un mensaje contundente sobre el compromiso del gobierno con la lucha contra la corrupción. Ello actúa como un elemento disuasivo medular, generando conciencia sobre la responsabilidad duradera y reforzando los estándares de transparencia y eficiencia que deben prevalecer en el servicio público.</w:t>
      </w:r>
    </w:p>
    <w:p w14:paraId="1B8612E9" w14:textId="77777777" w:rsidR="000916A2" w:rsidRPr="00A81608" w:rsidRDefault="000916A2" w:rsidP="005313B3">
      <w:pPr>
        <w:ind w:firstLine="720"/>
        <w:jc w:val="both"/>
        <w:rPr>
          <w:rFonts w:ascii="Book Antiqua" w:hAnsi="Book Antiqua"/>
          <w:szCs w:val="24"/>
          <w:shd w:val="clear" w:color="auto" w:fill="FFFFFF"/>
        </w:rPr>
      </w:pPr>
    </w:p>
    <w:p w14:paraId="4741162B" w14:textId="77777777" w:rsidR="008C2FF7" w:rsidRDefault="008C2FF7" w:rsidP="005313B3">
      <w:pPr>
        <w:ind w:firstLine="720"/>
        <w:jc w:val="both"/>
        <w:rPr>
          <w:rFonts w:ascii="Book Antiqua" w:hAnsi="Book Antiqua"/>
          <w:szCs w:val="24"/>
          <w:shd w:val="clear" w:color="auto" w:fill="FFFFFF"/>
        </w:rPr>
      </w:pPr>
      <w:r w:rsidRPr="00A81608">
        <w:rPr>
          <w:rFonts w:ascii="Book Antiqua" w:hAnsi="Book Antiqua"/>
          <w:szCs w:val="24"/>
          <w:shd w:val="clear" w:color="auto" w:fill="FFFFFF"/>
        </w:rPr>
        <w:lastRenderedPageBreak/>
        <w:t xml:space="preserve">También, la confianza pública en las instituciones gubernamentales se ve reforzada cuando la ciudadanía percibe que los mecanismos de control son efectivos y </w:t>
      </w:r>
      <w:r>
        <w:rPr>
          <w:rFonts w:ascii="Book Antiqua" w:hAnsi="Book Antiqua"/>
          <w:szCs w:val="24"/>
          <w:shd w:val="clear" w:color="auto" w:fill="FFFFFF"/>
        </w:rPr>
        <w:t>adecuados</w:t>
      </w:r>
      <w:r w:rsidRPr="00A81608">
        <w:rPr>
          <w:rFonts w:ascii="Book Antiqua" w:hAnsi="Book Antiqua"/>
          <w:szCs w:val="24"/>
          <w:shd w:val="clear" w:color="auto" w:fill="FFFFFF"/>
        </w:rPr>
        <w:t xml:space="preserve">. Esta enmienda </w:t>
      </w:r>
      <w:r>
        <w:rPr>
          <w:rFonts w:ascii="Book Antiqua" w:hAnsi="Book Antiqua"/>
          <w:szCs w:val="24"/>
          <w:shd w:val="clear" w:color="auto" w:fill="FFFFFF"/>
        </w:rPr>
        <w:t>demuestra</w:t>
      </w:r>
      <w:r w:rsidRPr="00A81608">
        <w:rPr>
          <w:rFonts w:ascii="Book Antiqua" w:hAnsi="Book Antiqua"/>
          <w:szCs w:val="24"/>
          <w:shd w:val="clear" w:color="auto" w:fill="FFFFFF"/>
        </w:rPr>
        <w:t xml:space="preserve"> el compromiso del gobierno con la transparencia y la integridad, manifestando que no permitirá que exservidores públicos, contratistas o excontratistas eludan la responsabilidad de sus actos por desvincularse</w:t>
      </w:r>
      <w:r>
        <w:rPr>
          <w:rFonts w:ascii="Book Antiqua" w:hAnsi="Book Antiqua"/>
          <w:szCs w:val="24"/>
          <w:shd w:val="clear" w:color="auto" w:fill="FFFFFF"/>
        </w:rPr>
        <w:t xml:space="preserve"> de su accionar gubernamental</w:t>
      </w:r>
      <w:r w:rsidRPr="00A81608">
        <w:rPr>
          <w:rFonts w:ascii="Book Antiqua" w:hAnsi="Book Antiqua"/>
          <w:szCs w:val="24"/>
          <w:shd w:val="clear" w:color="auto" w:fill="FFFFFF"/>
        </w:rPr>
        <w:t xml:space="preserve">. La rendición de cuentas no debe estar atada a la permanencia laboral, sino que </w:t>
      </w:r>
      <w:r>
        <w:rPr>
          <w:rFonts w:ascii="Book Antiqua" w:hAnsi="Book Antiqua"/>
          <w:szCs w:val="24"/>
          <w:shd w:val="clear" w:color="auto" w:fill="FFFFFF"/>
        </w:rPr>
        <w:t xml:space="preserve">a </w:t>
      </w:r>
      <w:r w:rsidRPr="00A81608">
        <w:rPr>
          <w:rFonts w:ascii="Book Antiqua" w:hAnsi="Book Antiqua"/>
          <w:szCs w:val="24"/>
          <w:shd w:val="clear" w:color="auto" w:fill="FFFFFF"/>
        </w:rPr>
        <w:t>la conducta exhibida en el servicio público.</w:t>
      </w:r>
    </w:p>
    <w:p w14:paraId="6F3589F0" w14:textId="77777777" w:rsidR="000916A2" w:rsidRPr="00A81608" w:rsidRDefault="000916A2" w:rsidP="005313B3">
      <w:pPr>
        <w:ind w:firstLine="720"/>
        <w:jc w:val="both"/>
        <w:rPr>
          <w:rFonts w:ascii="Book Antiqua" w:hAnsi="Book Antiqua"/>
          <w:szCs w:val="24"/>
          <w:shd w:val="clear" w:color="auto" w:fill="FFFFFF"/>
        </w:rPr>
      </w:pPr>
    </w:p>
    <w:p w14:paraId="26FC3814" w14:textId="56559084" w:rsidR="008C2FF7" w:rsidRDefault="008C2FF7" w:rsidP="005313B3">
      <w:pPr>
        <w:ind w:firstLine="720"/>
        <w:jc w:val="both"/>
        <w:rPr>
          <w:rFonts w:ascii="Book Antiqua" w:hAnsi="Book Antiqua"/>
          <w:szCs w:val="24"/>
          <w:shd w:val="clear" w:color="auto" w:fill="FFFFFF"/>
        </w:rPr>
      </w:pPr>
      <w:r>
        <w:rPr>
          <w:rFonts w:ascii="Book Antiqua" w:hAnsi="Book Antiqua"/>
          <w:szCs w:val="24"/>
          <w:shd w:val="clear" w:color="auto" w:fill="FFFFFF"/>
        </w:rPr>
        <w:t xml:space="preserve">Sabido es que la </w:t>
      </w:r>
      <w:r w:rsidRPr="00A81608">
        <w:rPr>
          <w:rFonts w:ascii="Book Antiqua" w:hAnsi="Book Antiqua"/>
          <w:szCs w:val="24"/>
          <w:shd w:val="clear" w:color="auto" w:fill="FFFFFF"/>
        </w:rPr>
        <w:t xml:space="preserve">naturaleza compleja de ciertas investigaciones requiere tiempo y un análisis detallado, que en ocasiones excede el período de contratación o el tiempo de servicio de los involucrados. Con esta </w:t>
      </w:r>
      <w:r w:rsidR="000916A2">
        <w:rPr>
          <w:rFonts w:ascii="Book Antiqua" w:hAnsi="Book Antiqua"/>
          <w:szCs w:val="24"/>
          <w:shd w:val="clear" w:color="auto" w:fill="FFFFFF"/>
        </w:rPr>
        <w:t>Ley</w:t>
      </w:r>
      <w:r w:rsidRPr="00A81608">
        <w:rPr>
          <w:rFonts w:ascii="Book Antiqua" w:hAnsi="Book Antiqua"/>
          <w:szCs w:val="24"/>
          <w:shd w:val="clear" w:color="auto" w:fill="FFFFFF"/>
        </w:rPr>
        <w:t>, se evita que la desvinculación laboral de los investigados limite la capacidad de la OIG para cerrar casos complejos y determinar los responsables en situaciones de corrupción o mal uso de recursos públicos.</w:t>
      </w:r>
    </w:p>
    <w:p w14:paraId="0DCFCA76" w14:textId="77777777" w:rsidR="000916A2" w:rsidRPr="00A81608" w:rsidRDefault="000916A2" w:rsidP="005313B3">
      <w:pPr>
        <w:ind w:firstLine="720"/>
        <w:jc w:val="both"/>
        <w:rPr>
          <w:rFonts w:ascii="Book Antiqua" w:hAnsi="Book Antiqua"/>
          <w:szCs w:val="24"/>
          <w:shd w:val="clear" w:color="auto" w:fill="FFFFFF"/>
        </w:rPr>
      </w:pPr>
    </w:p>
    <w:p w14:paraId="3500238B" w14:textId="36CD51F6" w:rsidR="008C2FF7" w:rsidRDefault="008C2FF7" w:rsidP="005313B3">
      <w:pPr>
        <w:ind w:firstLine="720"/>
        <w:jc w:val="both"/>
        <w:rPr>
          <w:rFonts w:ascii="Book Antiqua" w:hAnsi="Book Antiqua"/>
          <w:szCs w:val="24"/>
          <w:shd w:val="clear" w:color="auto" w:fill="FFFFFF"/>
        </w:rPr>
      </w:pPr>
      <w:r w:rsidRPr="00A81608">
        <w:rPr>
          <w:rFonts w:ascii="Book Antiqua" w:hAnsi="Book Antiqua"/>
          <w:szCs w:val="24"/>
          <w:shd w:val="clear" w:color="auto" w:fill="FFFFFF"/>
        </w:rPr>
        <w:t xml:space="preserve">Finalmente, esta </w:t>
      </w:r>
      <w:r w:rsidR="000916A2">
        <w:rPr>
          <w:rFonts w:ascii="Book Antiqua" w:hAnsi="Book Antiqua"/>
          <w:szCs w:val="24"/>
          <w:shd w:val="clear" w:color="auto" w:fill="FFFFFF"/>
        </w:rPr>
        <w:t>Ley</w:t>
      </w:r>
      <w:r w:rsidRPr="00A81608">
        <w:rPr>
          <w:rFonts w:ascii="Book Antiqua" w:hAnsi="Book Antiqua"/>
          <w:szCs w:val="24"/>
          <w:shd w:val="clear" w:color="auto" w:fill="FFFFFF"/>
        </w:rPr>
        <w:t xml:space="preserve"> permitirá que la OIG coopere de manera efectiva con otras entidades de fiscalización, logrando un enfoque coordinado en la lucha contra el mal uso de fondos públicos. Al mantener la jurisdicción sobre exservidores públicos, contratistas y excontratistas, la OIG puede ofrecer continuidad en las investigaciones y propender a una sana administración pública. Esta continuidad fortalecerá la capacidad del gobierno para salvaguardar los fondos públicos y fomentar una cultura de integridad y eficiencia gubernamental.</w:t>
      </w:r>
    </w:p>
    <w:p w14:paraId="29D6DD18" w14:textId="77777777" w:rsidR="000916A2" w:rsidRPr="00A81608" w:rsidRDefault="000916A2" w:rsidP="005313B3">
      <w:pPr>
        <w:ind w:firstLine="720"/>
        <w:jc w:val="both"/>
        <w:rPr>
          <w:rFonts w:ascii="Book Antiqua" w:hAnsi="Book Antiqua"/>
          <w:szCs w:val="24"/>
          <w:shd w:val="clear" w:color="auto" w:fill="FFFFFF"/>
        </w:rPr>
      </w:pPr>
    </w:p>
    <w:p w14:paraId="616061E3" w14:textId="7CF6A3CC" w:rsidR="008C2FF7" w:rsidRDefault="000916A2" w:rsidP="005313B3">
      <w:pPr>
        <w:ind w:firstLine="720"/>
        <w:jc w:val="both"/>
        <w:rPr>
          <w:rFonts w:ascii="Book Antiqua" w:hAnsi="Book Antiqua"/>
          <w:szCs w:val="24"/>
        </w:rPr>
      </w:pPr>
      <w:r>
        <w:rPr>
          <w:rFonts w:ascii="Book Antiqua" w:hAnsi="Book Antiqua"/>
          <w:szCs w:val="24"/>
          <w:shd w:val="clear" w:color="auto" w:fill="FFFFFF"/>
        </w:rPr>
        <w:t>Esta</w:t>
      </w:r>
      <w:r w:rsidR="008C2FF7" w:rsidRPr="00A81608">
        <w:rPr>
          <w:rFonts w:ascii="Book Antiqua" w:hAnsi="Book Antiqua"/>
          <w:szCs w:val="24"/>
          <w:shd w:val="clear" w:color="auto" w:fill="FFFFFF"/>
        </w:rPr>
        <w:t xml:space="preserve"> Asamblea Legislativa, en el descargo de sus facultades constitucionales, entiende necesario e impostergable enmendar la Ley Núm. 15, </w:t>
      </w:r>
      <w:r w:rsidR="008C2FF7" w:rsidRPr="00A81608">
        <w:rPr>
          <w:rFonts w:ascii="Book Antiqua" w:hAnsi="Book Antiqua"/>
          <w:i/>
          <w:iCs/>
          <w:szCs w:val="24"/>
          <w:shd w:val="clear" w:color="auto" w:fill="FFFFFF"/>
        </w:rPr>
        <w:t>supra</w:t>
      </w:r>
      <w:r w:rsidR="008C2FF7" w:rsidRPr="00A81608">
        <w:rPr>
          <w:rFonts w:ascii="Book Antiqua" w:hAnsi="Book Antiqua"/>
          <w:szCs w:val="24"/>
          <w:shd w:val="clear" w:color="auto" w:fill="FFFFFF"/>
        </w:rPr>
        <w:t xml:space="preserve">, a los efectos antes discutidos. La ampliación del alcance de la jurisdicción de la OIG a exservidores públicos, contratistas y excontratistas </w:t>
      </w:r>
      <w:r w:rsidR="008C2FF7">
        <w:rPr>
          <w:rFonts w:ascii="Book Antiqua" w:hAnsi="Book Antiqua"/>
          <w:szCs w:val="24"/>
          <w:shd w:val="clear" w:color="auto" w:fill="FFFFFF"/>
        </w:rPr>
        <w:t xml:space="preserve">de las entidades gubernamentales cubiertas bajo la citada ley </w:t>
      </w:r>
      <w:r w:rsidR="008C2FF7" w:rsidRPr="00A81608">
        <w:rPr>
          <w:rFonts w:ascii="Book Antiqua" w:hAnsi="Book Antiqua"/>
          <w:szCs w:val="24"/>
          <w:shd w:val="clear" w:color="auto" w:fill="FFFFFF"/>
        </w:rPr>
        <w:t>fortalecerá el marco de la fiscalización y la rendición de cuentas en el Gobierno de Puerto Rico, en aras de fortalecer la sana administración.</w:t>
      </w:r>
      <w:r w:rsidR="008C2FF7" w:rsidRPr="00A81608">
        <w:rPr>
          <w:rFonts w:ascii="Book Antiqua" w:hAnsi="Book Antiqua"/>
          <w:szCs w:val="24"/>
        </w:rPr>
        <w:t xml:space="preserve"> </w:t>
      </w:r>
    </w:p>
    <w:p w14:paraId="034CD8EA" w14:textId="77777777" w:rsidR="00E80F2E" w:rsidRPr="00A81608" w:rsidRDefault="00E80F2E" w:rsidP="005313B3">
      <w:pPr>
        <w:ind w:firstLine="720"/>
        <w:jc w:val="both"/>
        <w:rPr>
          <w:rFonts w:ascii="Book Antiqua" w:hAnsi="Book Antiqua"/>
          <w:szCs w:val="24"/>
        </w:rPr>
      </w:pPr>
    </w:p>
    <w:p w14:paraId="49982BDD" w14:textId="77777777" w:rsidR="008C2FF7" w:rsidRPr="00A81608" w:rsidRDefault="008C2FF7" w:rsidP="005313B3">
      <w:pPr>
        <w:pStyle w:val="BodyTextIndent2"/>
        <w:spacing w:before="0" w:after="0" w:line="480" w:lineRule="auto"/>
        <w:ind w:firstLine="0"/>
        <w:rPr>
          <w:rFonts w:ascii="Book Antiqua" w:hAnsi="Book Antiqua"/>
          <w:bCs/>
          <w:i/>
          <w:iCs/>
          <w:szCs w:val="24"/>
        </w:rPr>
      </w:pPr>
      <w:r w:rsidRPr="00A81608">
        <w:rPr>
          <w:rFonts w:ascii="Book Antiqua" w:hAnsi="Book Antiqua"/>
          <w:bCs/>
          <w:i/>
          <w:iCs/>
          <w:szCs w:val="24"/>
        </w:rPr>
        <w:t>DECRÉTASE POR LA ASAMBLEA LEGISLATIVA DE PUERTO RICO:</w:t>
      </w:r>
    </w:p>
    <w:p w14:paraId="6DD7946D" w14:textId="77777777" w:rsidR="008C2FF7" w:rsidRPr="00A81608" w:rsidRDefault="008C2FF7" w:rsidP="008C2FF7">
      <w:pPr>
        <w:pStyle w:val="BodyTextIndent2"/>
        <w:spacing w:before="0" w:after="0" w:line="480" w:lineRule="auto"/>
        <w:ind w:firstLine="0"/>
        <w:rPr>
          <w:rFonts w:ascii="Book Antiqua" w:hAnsi="Book Antiqua"/>
          <w:bCs/>
          <w:i/>
          <w:iCs/>
          <w:szCs w:val="24"/>
        </w:rPr>
        <w:sectPr w:rsidR="008C2FF7" w:rsidRPr="00A81608" w:rsidSect="008C2FF7">
          <w:headerReference w:type="default" r:id="rId7"/>
          <w:headerReference w:type="first" r:id="rId8"/>
          <w:pgSz w:w="12240" w:h="15840" w:code="1"/>
          <w:pgMar w:top="1440" w:right="1440" w:bottom="1440" w:left="1440" w:header="720" w:footer="720" w:gutter="0"/>
          <w:cols w:space="720"/>
          <w:titlePg/>
          <w:docGrid w:linePitch="326"/>
        </w:sectPr>
      </w:pPr>
    </w:p>
    <w:p w14:paraId="0265FCF5" w14:textId="138EC582" w:rsidR="008C2FF7" w:rsidRPr="00A81608" w:rsidRDefault="008C2FF7" w:rsidP="28A3C3CF">
      <w:pPr>
        <w:suppressAutoHyphens/>
        <w:spacing w:line="480" w:lineRule="auto"/>
        <w:ind w:firstLine="720"/>
        <w:jc w:val="both"/>
        <w:rPr>
          <w:rFonts w:ascii="Book Antiqua" w:hAnsi="Book Antiqua"/>
          <w:lang w:val="es-ES"/>
        </w:rPr>
      </w:pPr>
      <w:r w:rsidRPr="28A3C3CF">
        <w:rPr>
          <w:rFonts w:ascii="Book Antiqua" w:hAnsi="Book Antiqua"/>
          <w:lang w:val="es-ES"/>
        </w:rPr>
        <w:t xml:space="preserve">Sección 1.- Se enmienda el Artículo 3 de la </w:t>
      </w:r>
      <w:r w:rsidRPr="28A3C3CF">
        <w:rPr>
          <w:rFonts w:ascii="Book Antiqua" w:hAnsi="Book Antiqua"/>
        </w:rPr>
        <w:t xml:space="preserve">Ley </w:t>
      </w:r>
      <w:r w:rsidRPr="28A3C3CF">
        <w:rPr>
          <w:rFonts w:ascii="Book Antiqua" w:hAnsi="Book Antiqua"/>
          <w:strike/>
        </w:rPr>
        <w:t>Núm.</w:t>
      </w:r>
      <w:r w:rsidRPr="28A3C3CF">
        <w:rPr>
          <w:rFonts w:ascii="Book Antiqua" w:hAnsi="Book Antiqua"/>
        </w:rPr>
        <w:t xml:space="preserve"> 15-2017, según enmendada,</w:t>
      </w:r>
      <w:r w:rsidRPr="28A3C3CF">
        <w:rPr>
          <w:rFonts w:ascii="Book Antiqua" w:hAnsi="Book Antiqua"/>
          <w:lang w:val="es-ES"/>
        </w:rPr>
        <w:t xml:space="preserve"> para que se lea como sigue:</w:t>
      </w:r>
    </w:p>
    <w:p w14:paraId="1DA5F116" w14:textId="77777777" w:rsidR="008C2FF7" w:rsidRPr="00A81608" w:rsidRDefault="008C2FF7" w:rsidP="008C2FF7">
      <w:pPr>
        <w:tabs>
          <w:tab w:val="left" w:pos="0"/>
        </w:tabs>
        <w:suppressAutoHyphens/>
        <w:spacing w:line="480" w:lineRule="auto"/>
        <w:ind w:firstLine="720"/>
        <w:jc w:val="both"/>
        <w:rPr>
          <w:rFonts w:ascii="Book Antiqua" w:hAnsi="Book Antiqua"/>
          <w:szCs w:val="24"/>
        </w:rPr>
      </w:pPr>
      <w:r w:rsidRPr="00A81608">
        <w:rPr>
          <w:rFonts w:ascii="Book Antiqua" w:hAnsi="Book Antiqua"/>
          <w:szCs w:val="24"/>
          <w:lang w:val="es-ES_tradnl"/>
        </w:rPr>
        <w:t>“</w:t>
      </w:r>
      <w:r w:rsidRPr="00A81608">
        <w:rPr>
          <w:rFonts w:ascii="Book Antiqua" w:hAnsi="Book Antiqua"/>
          <w:szCs w:val="24"/>
        </w:rPr>
        <w:t xml:space="preserve">Artículo 3. — Definiciones. </w:t>
      </w:r>
    </w:p>
    <w:p w14:paraId="021EA7AC" w14:textId="77777777" w:rsidR="008C2FF7" w:rsidRPr="00A81608" w:rsidRDefault="008C2FF7" w:rsidP="008C2FF7">
      <w:pPr>
        <w:tabs>
          <w:tab w:val="left" w:pos="0"/>
        </w:tabs>
        <w:suppressAutoHyphens/>
        <w:spacing w:line="480" w:lineRule="auto"/>
        <w:ind w:left="720"/>
        <w:jc w:val="both"/>
        <w:rPr>
          <w:rFonts w:ascii="Book Antiqua" w:hAnsi="Book Antiqua"/>
          <w:szCs w:val="24"/>
        </w:rPr>
      </w:pPr>
      <w:r w:rsidRPr="00A81608">
        <w:rPr>
          <w:rFonts w:ascii="Book Antiqua" w:hAnsi="Book Antiqua"/>
          <w:szCs w:val="24"/>
        </w:rPr>
        <w:tab/>
        <w:t>Para propósitos de esta Ley, los siguientes términos tendrán el significado que a continuación se indica:</w:t>
      </w:r>
    </w:p>
    <w:p w14:paraId="6D133152" w14:textId="77777777" w:rsidR="008C2FF7" w:rsidRPr="00A81608" w:rsidRDefault="008C2FF7" w:rsidP="008C2FF7">
      <w:pPr>
        <w:pStyle w:val="ListParagraph"/>
        <w:numPr>
          <w:ilvl w:val="0"/>
          <w:numId w:val="1"/>
        </w:numPr>
        <w:tabs>
          <w:tab w:val="left" w:pos="0"/>
        </w:tabs>
        <w:suppressAutoHyphens/>
        <w:spacing w:line="480" w:lineRule="auto"/>
        <w:jc w:val="both"/>
        <w:rPr>
          <w:rFonts w:ascii="Book Antiqua" w:hAnsi="Book Antiqua"/>
          <w:i/>
          <w:iCs/>
          <w:szCs w:val="24"/>
        </w:rPr>
      </w:pPr>
      <w:r w:rsidRPr="00A81608">
        <w:rPr>
          <w:rFonts w:ascii="Book Antiqua" w:hAnsi="Book Antiqua"/>
          <w:i/>
          <w:iCs/>
          <w:szCs w:val="24"/>
        </w:rPr>
        <w:lastRenderedPageBreak/>
        <w:t>Acciones Antiéticas — aquellos actos reconocidos por cada individuo y por la sociedad como contrarios a la moral, la ética o la ley. Incluye actos de fraude, corrupción, abuso del poder, apropiación ilegal de fondos, malversación de fondos, uso de fondos y propiedad pública para propósitos personales, enriquecimiento ilícito, privación al pueblo de servicios honestos, negligencia crasa en el desempeño del deber, entre otros.</w:t>
      </w:r>
    </w:p>
    <w:p w14:paraId="14580DB5" w14:textId="77777777" w:rsidR="008C2FF7" w:rsidRPr="00A81608" w:rsidRDefault="008C2FF7" w:rsidP="008C2FF7">
      <w:pPr>
        <w:pStyle w:val="ListParagraph"/>
        <w:numPr>
          <w:ilvl w:val="0"/>
          <w:numId w:val="1"/>
        </w:numPr>
        <w:tabs>
          <w:tab w:val="left" w:pos="0"/>
        </w:tabs>
        <w:suppressAutoHyphens/>
        <w:spacing w:line="480" w:lineRule="auto"/>
        <w:jc w:val="both"/>
        <w:rPr>
          <w:rFonts w:ascii="Book Antiqua" w:hAnsi="Book Antiqua"/>
          <w:i/>
          <w:iCs/>
          <w:szCs w:val="24"/>
        </w:rPr>
      </w:pPr>
      <w:r w:rsidRPr="00A81608">
        <w:rPr>
          <w:rFonts w:ascii="Book Antiqua" w:hAnsi="Book Antiqua"/>
          <w:i/>
          <w:iCs/>
          <w:szCs w:val="24"/>
        </w:rPr>
        <w:t>Contrato — convenio o negocio jurídico para hacer o dejar de hacer determinado acto, otorgado con el consentimiento de las partes contratantes, relacionado con un objeto cierto y por virtud de la causa que se establezca. Incluye, pero sin limitarse, los acuerdos de bienes, de obras, de servicios y las órdenes de compra y de servicios.</w:t>
      </w:r>
    </w:p>
    <w:p w14:paraId="111286FD" w14:textId="77777777" w:rsidR="008C2FF7" w:rsidRPr="00A81608" w:rsidRDefault="008C2FF7" w:rsidP="008C2FF7">
      <w:pPr>
        <w:pStyle w:val="ListParagraph"/>
        <w:numPr>
          <w:ilvl w:val="0"/>
          <w:numId w:val="1"/>
        </w:numPr>
        <w:tabs>
          <w:tab w:val="left" w:pos="0"/>
        </w:tabs>
        <w:suppressAutoHyphens/>
        <w:spacing w:line="480" w:lineRule="auto"/>
        <w:jc w:val="both"/>
        <w:rPr>
          <w:rFonts w:ascii="Book Antiqua" w:hAnsi="Book Antiqua"/>
          <w:i/>
          <w:iCs/>
          <w:szCs w:val="24"/>
        </w:rPr>
      </w:pPr>
      <w:r w:rsidRPr="00A81608">
        <w:rPr>
          <w:rFonts w:ascii="Book Antiqua" w:hAnsi="Book Antiqua"/>
          <w:i/>
          <w:iCs/>
          <w:szCs w:val="24"/>
        </w:rPr>
        <w:t>Contratistas — Toda persona natural o jurídica a quien una entidad gubernamental le haya otorgado un contrato.</w:t>
      </w:r>
    </w:p>
    <w:p w14:paraId="0ED14E29"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t>[a]</w:t>
      </w:r>
      <w:r w:rsidRPr="00A81608">
        <w:rPr>
          <w:rFonts w:ascii="Book Antiqua" w:hAnsi="Book Antiqua"/>
          <w:i/>
          <w:iCs/>
          <w:szCs w:val="24"/>
        </w:rPr>
        <w:t>d</w:t>
      </w:r>
      <w:r w:rsidRPr="00A81608">
        <w:rPr>
          <w:rFonts w:ascii="Book Antiqua" w:hAnsi="Book Antiqua"/>
          <w:szCs w:val="24"/>
        </w:rPr>
        <w:t xml:space="preserve">) Corrupción — </w:t>
      </w:r>
      <w:r w:rsidRPr="00A81608">
        <w:rPr>
          <w:rFonts w:ascii="Book Antiqua" w:hAnsi="Book Antiqua"/>
          <w:b/>
          <w:bCs/>
          <w:szCs w:val="24"/>
        </w:rPr>
        <w:t>[significa]</w:t>
      </w:r>
      <w:r w:rsidRPr="00A81608">
        <w:rPr>
          <w:rFonts w:ascii="Book Antiqua" w:hAnsi="Book Antiqua"/>
          <w:szCs w:val="24"/>
        </w:rPr>
        <w:t xml:space="preserve"> el mal uso del poder de un funcionario o empleado público para conseguir una ventaja ilegítima. Es la práctica consistente en la utilización de las funciones y medios de las organizaciones públicas en provecho, económico o de otra índole, de sus gestores. </w:t>
      </w:r>
    </w:p>
    <w:p w14:paraId="0EB041DB"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t>[b]</w:t>
      </w:r>
      <w:r w:rsidRPr="00A81608">
        <w:rPr>
          <w:rFonts w:ascii="Book Antiqua" w:hAnsi="Book Antiqua"/>
          <w:i/>
          <w:iCs/>
          <w:szCs w:val="24"/>
        </w:rPr>
        <w:t>e</w:t>
      </w:r>
      <w:r w:rsidRPr="00A81608">
        <w:rPr>
          <w:rFonts w:ascii="Book Antiqua" w:hAnsi="Book Antiqua"/>
          <w:szCs w:val="24"/>
        </w:rPr>
        <w:t xml:space="preserve">) Efectividad — </w:t>
      </w:r>
      <w:r w:rsidRPr="00A81608">
        <w:rPr>
          <w:rFonts w:ascii="Book Antiqua" w:hAnsi="Book Antiqua"/>
          <w:b/>
          <w:bCs/>
          <w:szCs w:val="24"/>
        </w:rPr>
        <w:t>[significa]</w:t>
      </w:r>
      <w:r w:rsidRPr="00A81608">
        <w:rPr>
          <w:rFonts w:ascii="Book Antiqua" w:hAnsi="Book Antiqua"/>
          <w:szCs w:val="24"/>
        </w:rPr>
        <w:t xml:space="preserve"> el logro de los objetivos o resultados de un programa o actividad con los recursos disponibles en un tiempo determinado. </w:t>
      </w:r>
    </w:p>
    <w:p w14:paraId="1ADB2290"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t>[c]</w:t>
      </w:r>
      <w:r w:rsidRPr="00A81608">
        <w:rPr>
          <w:rFonts w:ascii="Book Antiqua" w:hAnsi="Book Antiqua"/>
          <w:i/>
          <w:iCs/>
          <w:szCs w:val="24"/>
        </w:rPr>
        <w:t>f</w:t>
      </w:r>
      <w:r w:rsidRPr="00A81608">
        <w:rPr>
          <w:rFonts w:ascii="Book Antiqua" w:hAnsi="Book Antiqua"/>
          <w:szCs w:val="24"/>
        </w:rPr>
        <w:t xml:space="preserve">) Eficiencia — </w:t>
      </w:r>
      <w:r w:rsidRPr="00A81608">
        <w:rPr>
          <w:rFonts w:ascii="Book Antiqua" w:hAnsi="Book Antiqua"/>
          <w:b/>
          <w:bCs/>
          <w:szCs w:val="24"/>
        </w:rPr>
        <w:t>[significa]</w:t>
      </w:r>
      <w:r w:rsidRPr="00A81608">
        <w:rPr>
          <w:rFonts w:ascii="Book Antiqua" w:hAnsi="Book Antiqua"/>
          <w:szCs w:val="24"/>
        </w:rPr>
        <w:t xml:space="preserve"> la capacidad de alcanzar los objetivos y metas programadas con el mínimo de recursos disponibles y el menor tiempo, logrando su optimización. Se trata de obtener el máximo rendimiento de un volumen determinado de recursos. </w:t>
      </w:r>
    </w:p>
    <w:p w14:paraId="63C9A409"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lastRenderedPageBreak/>
        <w:t>[d]</w:t>
      </w:r>
      <w:r w:rsidRPr="00A81608">
        <w:rPr>
          <w:rFonts w:ascii="Book Antiqua" w:hAnsi="Book Antiqua"/>
          <w:i/>
          <w:iCs/>
          <w:szCs w:val="24"/>
        </w:rPr>
        <w:t>g</w:t>
      </w:r>
      <w:r w:rsidRPr="00A81608">
        <w:rPr>
          <w:rFonts w:ascii="Book Antiqua" w:hAnsi="Book Antiqua"/>
          <w:szCs w:val="24"/>
        </w:rPr>
        <w:t xml:space="preserve">) Empleado Público — </w:t>
      </w:r>
      <w:r w:rsidRPr="00A81608">
        <w:rPr>
          <w:rFonts w:ascii="Book Antiqua" w:hAnsi="Book Antiqua"/>
          <w:b/>
          <w:bCs/>
          <w:szCs w:val="24"/>
        </w:rPr>
        <w:t>[significa]</w:t>
      </w:r>
      <w:r w:rsidRPr="00A81608">
        <w:rPr>
          <w:rFonts w:ascii="Book Antiqua" w:hAnsi="Book Antiqua"/>
          <w:szCs w:val="24"/>
        </w:rPr>
        <w:t xml:space="preserve"> aquellas personas que ocupan cargos o empleos en el Gobierno de Puerto Rico que no están investidas de parte de la soberanía del Estado; comprende a los empleados públicos regulares e irregulares, de confianza o de carrera, los que prestan servicios por contrato que equivalen a un puesto o cargo regular, los de nombramiento transitorio y los que se encuentran en período probatorio. </w:t>
      </w:r>
    </w:p>
    <w:p w14:paraId="49A6D02D"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t>[e]</w:t>
      </w:r>
      <w:r w:rsidRPr="00A81608">
        <w:rPr>
          <w:rFonts w:ascii="Book Antiqua" w:hAnsi="Book Antiqua"/>
          <w:i/>
          <w:iCs/>
          <w:szCs w:val="24"/>
        </w:rPr>
        <w:t>h</w:t>
      </w:r>
      <w:r w:rsidRPr="00A81608">
        <w:rPr>
          <w:rFonts w:ascii="Book Antiqua" w:hAnsi="Book Antiqua"/>
          <w:szCs w:val="24"/>
        </w:rPr>
        <w:t xml:space="preserve">) Entidades Gubernamentales — </w:t>
      </w:r>
      <w:r w:rsidRPr="00A81608">
        <w:rPr>
          <w:rFonts w:ascii="Book Antiqua" w:hAnsi="Book Antiqua"/>
          <w:b/>
          <w:bCs/>
          <w:szCs w:val="24"/>
        </w:rPr>
        <w:t>[significa]</w:t>
      </w:r>
      <w:r w:rsidRPr="00A81608">
        <w:rPr>
          <w:rFonts w:ascii="Book Antiqua" w:hAnsi="Book Antiqua"/>
          <w:szCs w:val="24"/>
        </w:rPr>
        <w:t xml:space="preserve"> las agencias, departamentos, oficinas y corporaciones públicas de la Rama Ejecutiva, se excluyen de este término los municipios, la Universidad de Puerto Rico, el Centro de Recaudación de Impuesto Municipal, la Oficina de Gerencia y Presupuesto, la Oficina de Ética Gubernamental, la Corporación del Proyecto ENLACE del Caño Martín Peña y la Compañía para el Desarrollo Integral de la Península de Cantera. </w:t>
      </w:r>
    </w:p>
    <w:p w14:paraId="1F8D1F33"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i/>
          <w:iCs/>
          <w:szCs w:val="24"/>
        </w:rPr>
        <w:t>i) Exservidor público — aquella persona que haya trabajado como servidor público.</w:t>
      </w:r>
    </w:p>
    <w:p w14:paraId="03F29AA2" w14:textId="37FF17F3" w:rsidR="008C2FF7" w:rsidRPr="00A81608" w:rsidRDefault="008C2FF7" w:rsidP="28A3C3CF">
      <w:pPr>
        <w:suppressAutoHyphens/>
        <w:spacing w:line="480" w:lineRule="auto"/>
        <w:ind w:left="1080" w:hanging="360"/>
        <w:jc w:val="both"/>
        <w:rPr>
          <w:rFonts w:ascii="Book Antiqua" w:hAnsi="Book Antiqua"/>
        </w:rPr>
      </w:pPr>
      <w:r w:rsidRPr="28A3C3CF">
        <w:rPr>
          <w:rFonts w:ascii="Book Antiqua" w:hAnsi="Book Antiqua"/>
          <w:b/>
          <w:bCs/>
        </w:rPr>
        <w:t>[f]</w:t>
      </w:r>
      <w:r w:rsidRPr="28A3C3CF">
        <w:rPr>
          <w:rFonts w:ascii="Book Antiqua" w:hAnsi="Book Antiqua"/>
          <w:i/>
          <w:iCs/>
        </w:rPr>
        <w:t>j</w:t>
      </w:r>
      <w:r w:rsidRPr="28A3C3CF">
        <w:rPr>
          <w:rFonts w:ascii="Book Antiqua" w:hAnsi="Book Antiqua"/>
        </w:rPr>
        <w:t xml:space="preserve">) Fraude — según establece el Código Penal de Puerto Rico, según enmendado, cuando una persona fraudulentamente induce a otra a realizar actos u omisiones que afecten derechos o intereses patrimoniales sobre bienes inmuebles del Estado; o realizare actos u omisiones que priven a otra persona o afecten los derechos o intereses patrimoniales sobre bienes inmuebles para perjuicio de </w:t>
      </w:r>
      <w:proofErr w:type="gramStart"/>
      <w:r w:rsidRPr="28A3C3CF">
        <w:rPr>
          <w:rFonts w:ascii="Book Antiqua" w:hAnsi="Book Antiqua"/>
          <w:strike/>
        </w:rPr>
        <w:t>ésta</w:t>
      </w:r>
      <w:r w:rsidRPr="28A3C3CF">
        <w:rPr>
          <w:rFonts w:ascii="Book Antiqua" w:hAnsi="Book Antiqua"/>
        </w:rPr>
        <w:t xml:space="preserve"> </w:t>
      </w:r>
      <w:r w:rsidR="6B7F4727" w:rsidRPr="28A3C3CF">
        <w:rPr>
          <w:rFonts w:ascii="Book Antiqua" w:hAnsi="Book Antiqua"/>
        </w:rPr>
        <w:t xml:space="preserve"> </w:t>
      </w:r>
      <w:r w:rsidR="6B7F4727" w:rsidRPr="28A3C3CF">
        <w:rPr>
          <w:rFonts w:ascii="Book Antiqua" w:hAnsi="Book Antiqua"/>
          <w:i/>
          <w:iCs/>
          <w:u w:val="single"/>
        </w:rPr>
        <w:t>esta</w:t>
      </w:r>
      <w:proofErr w:type="gramEnd"/>
      <w:r w:rsidR="6B7F4727" w:rsidRPr="28A3C3CF">
        <w:rPr>
          <w:rFonts w:ascii="Book Antiqua" w:hAnsi="Book Antiqua"/>
        </w:rPr>
        <w:t xml:space="preserve"> </w:t>
      </w:r>
      <w:r w:rsidRPr="28A3C3CF">
        <w:rPr>
          <w:rFonts w:ascii="Book Antiqua" w:hAnsi="Book Antiqua"/>
        </w:rPr>
        <w:t>o de un tercero.</w:t>
      </w:r>
    </w:p>
    <w:p w14:paraId="0D22E7AF"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t>[g]</w:t>
      </w:r>
      <w:r w:rsidRPr="00A81608">
        <w:rPr>
          <w:rFonts w:ascii="Book Antiqua" w:hAnsi="Book Antiqua"/>
          <w:i/>
          <w:iCs/>
          <w:szCs w:val="24"/>
        </w:rPr>
        <w:t>k</w:t>
      </w:r>
      <w:r w:rsidRPr="00A81608">
        <w:rPr>
          <w:rFonts w:ascii="Book Antiqua" w:hAnsi="Book Antiqua"/>
          <w:szCs w:val="24"/>
        </w:rPr>
        <w:t xml:space="preserve">) </w:t>
      </w:r>
      <w:proofErr w:type="gramStart"/>
      <w:r w:rsidRPr="00A81608">
        <w:rPr>
          <w:rFonts w:ascii="Book Antiqua" w:hAnsi="Book Antiqua"/>
          <w:szCs w:val="24"/>
        </w:rPr>
        <w:t>Funcionario</w:t>
      </w:r>
      <w:proofErr w:type="gramEnd"/>
      <w:r w:rsidRPr="00A81608">
        <w:rPr>
          <w:rFonts w:ascii="Book Antiqua" w:hAnsi="Book Antiqua"/>
          <w:szCs w:val="24"/>
        </w:rPr>
        <w:t xml:space="preserve"> Público — </w:t>
      </w:r>
      <w:r w:rsidRPr="00A81608">
        <w:rPr>
          <w:rFonts w:ascii="Book Antiqua" w:hAnsi="Book Antiqua"/>
          <w:b/>
          <w:bCs/>
          <w:szCs w:val="24"/>
        </w:rPr>
        <w:t>[significa]</w:t>
      </w:r>
      <w:r w:rsidRPr="00A81608">
        <w:rPr>
          <w:rFonts w:ascii="Book Antiqua" w:hAnsi="Book Antiqua"/>
          <w:szCs w:val="24"/>
        </w:rPr>
        <w:t xml:space="preserve"> aquellas personas que ocupan cargos o empleos en el Gobierno de Puerto Rico que están investidos de parte de la </w:t>
      </w:r>
      <w:r w:rsidRPr="00A81608">
        <w:rPr>
          <w:rFonts w:ascii="Book Antiqua" w:hAnsi="Book Antiqua"/>
          <w:szCs w:val="24"/>
        </w:rPr>
        <w:lastRenderedPageBreak/>
        <w:t xml:space="preserve">soberanía del Estado, por lo que intervienen en la formulación e implantación de la política pública. Incluye, además, empleados nombrados en puestos de confianza. </w:t>
      </w:r>
    </w:p>
    <w:p w14:paraId="0F1EEC35"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t>[h]</w:t>
      </w:r>
      <w:r w:rsidRPr="00A81608">
        <w:rPr>
          <w:rFonts w:ascii="Book Antiqua" w:hAnsi="Book Antiqua"/>
          <w:i/>
          <w:iCs/>
          <w:szCs w:val="24"/>
        </w:rPr>
        <w:t>l</w:t>
      </w:r>
      <w:r w:rsidRPr="00A81608">
        <w:rPr>
          <w:rFonts w:ascii="Book Antiqua" w:hAnsi="Book Antiqua"/>
          <w:szCs w:val="24"/>
        </w:rPr>
        <w:t xml:space="preserve">) Integridad — </w:t>
      </w:r>
      <w:r w:rsidRPr="00A81608">
        <w:rPr>
          <w:rFonts w:ascii="Book Antiqua" w:hAnsi="Book Antiqua"/>
          <w:b/>
          <w:bCs/>
          <w:szCs w:val="24"/>
        </w:rPr>
        <w:t>[significa]</w:t>
      </w:r>
      <w:r w:rsidRPr="00A81608">
        <w:rPr>
          <w:rFonts w:ascii="Book Antiqua" w:hAnsi="Book Antiqua"/>
          <w:szCs w:val="24"/>
        </w:rPr>
        <w:t xml:space="preserve"> la honestidad, transparencia y pulcritud en el desempeño de la gestión pública.</w:t>
      </w:r>
    </w:p>
    <w:p w14:paraId="3058799B" w14:textId="77777777" w:rsidR="008C2FF7" w:rsidRPr="00A81608" w:rsidRDefault="008C2FF7" w:rsidP="008C2FF7">
      <w:pPr>
        <w:tabs>
          <w:tab w:val="left" w:pos="0"/>
        </w:tabs>
        <w:suppressAutoHyphens/>
        <w:spacing w:line="480" w:lineRule="auto"/>
        <w:ind w:left="1080" w:hanging="360"/>
        <w:jc w:val="both"/>
        <w:rPr>
          <w:rFonts w:ascii="Book Antiqua" w:hAnsi="Book Antiqua"/>
          <w:i/>
          <w:iCs/>
          <w:szCs w:val="24"/>
        </w:rPr>
      </w:pPr>
      <w:r w:rsidRPr="00A81608">
        <w:rPr>
          <w:rFonts w:ascii="Book Antiqua" w:hAnsi="Book Antiqua"/>
          <w:i/>
          <w:iCs/>
          <w:szCs w:val="24"/>
        </w:rPr>
        <w:t>m) Normas de Auditoría Gubernamental Generalmente Aceptadas (“</w:t>
      </w:r>
      <w:proofErr w:type="spellStart"/>
      <w:r w:rsidRPr="00A81608">
        <w:rPr>
          <w:rFonts w:ascii="Book Antiqua" w:hAnsi="Book Antiqua"/>
          <w:i/>
          <w:iCs/>
          <w:szCs w:val="24"/>
        </w:rPr>
        <w:t>Government</w:t>
      </w:r>
      <w:proofErr w:type="spellEnd"/>
      <w:r w:rsidRPr="00A81608">
        <w:rPr>
          <w:rFonts w:ascii="Book Antiqua" w:hAnsi="Book Antiqua"/>
          <w:i/>
          <w:iCs/>
          <w:szCs w:val="24"/>
        </w:rPr>
        <w:t xml:space="preserve"> </w:t>
      </w:r>
      <w:proofErr w:type="spellStart"/>
      <w:r w:rsidRPr="00A81608">
        <w:rPr>
          <w:rFonts w:ascii="Book Antiqua" w:hAnsi="Book Antiqua"/>
          <w:i/>
          <w:iCs/>
          <w:szCs w:val="24"/>
        </w:rPr>
        <w:t>Auditing</w:t>
      </w:r>
      <w:proofErr w:type="spellEnd"/>
      <w:r w:rsidRPr="00A81608">
        <w:rPr>
          <w:rFonts w:ascii="Book Antiqua" w:hAnsi="Book Antiqua"/>
          <w:i/>
          <w:iCs/>
          <w:szCs w:val="24"/>
        </w:rPr>
        <w:t xml:space="preserve"> </w:t>
      </w:r>
      <w:proofErr w:type="spellStart"/>
      <w:r w:rsidRPr="00A81608">
        <w:rPr>
          <w:rFonts w:ascii="Book Antiqua" w:hAnsi="Book Antiqua"/>
          <w:i/>
          <w:iCs/>
          <w:szCs w:val="24"/>
        </w:rPr>
        <w:t>Standards</w:t>
      </w:r>
      <w:proofErr w:type="spellEnd"/>
      <w:r w:rsidRPr="00A81608">
        <w:rPr>
          <w:rFonts w:ascii="Book Antiqua" w:hAnsi="Book Antiqua"/>
          <w:i/>
          <w:iCs/>
          <w:szCs w:val="24"/>
        </w:rPr>
        <w:t>”) — los estándares adoptados por el Instituto Americano de Contadores Públicos Autorizados (en adelante “AICPA”, por sus siglas en inglés). Estos estándares establecen la calidad en el desempeño de los procedimientos de auditoría.</w:t>
      </w:r>
    </w:p>
    <w:p w14:paraId="4D3E0CAB"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t>[i]</w:t>
      </w:r>
      <w:r w:rsidRPr="00A81608">
        <w:rPr>
          <w:rFonts w:ascii="Book Antiqua" w:hAnsi="Book Antiqua"/>
          <w:i/>
          <w:iCs/>
          <w:szCs w:val="24"/>
        </w:rPr>
        <w:t>n</w:t>
      </w:r>
      <w:r w:rsidRPr="00A81608">
        <w:rPr>
          <w:rFonts w:ascii="Book Antiqua" w:hAnsi="Book Antiqua"/>
          <w:szCs w:val="24"/>
        </w:rPr>
        <w:t xml:space="preserve">) Oficina de Ética Gubernamental — </w:t>
      </w:r>
      <w:r w:rsidRPr="00A81608">
        <w:rPr>
          <w:rFonts w:ascii="Book Antiqua" w:hAnsi="Book Antiqua"/>
          <w:b/>
          <w:bCs/>
          <w:szCs w:val="24"/>
        </w:rPr>
        <w:t>[significa]</w:t>
      </w:r>
      <w:r w:rsidRPr="00A81608">
        <w:rPr>
          <w:rFonts w:ascii="Book Antiqua" w:hAnsi="Book Antiqua"/>
          <w:szCs w:val="24"/>
        </w:rPr>
        <w:t xml:space="preserve"> la entidad gubernamental creada en virtud de la Ley 1-2012, según enmendada. </w:t>
      </w:r>
    </w:p>
    <w:p w14:paraId="6078E266"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t>[j]</w:t>
      </w:r>
      <w:r w:rsidRPr="00A81608">
        <w:rPr>
          <w:rFonts w:ascii="Book Antiqua" w:hAnsi="Book Antiqua"/>
          <w:i/>
          <w:iCs/>
          <w:szCs w:val="24"/>
        </w:rPr>
        <w:t>o</w:t>
      </w:r>
      <w:r w:rsidRPr="00A81608">
        <w:rPr>
          <w:rFonts w:ascii="Book Antiqua" w:hAnsi="Book Antiqua"/>
          <w:szCs w:val="24"/>
        </w:rPr>
        <w:t xml:space="preserve">) Oficina de Gerencia y Presupuesto — </w:t>
      </w:r>
      <w:r w:rsidRPr="00A81608">
        <w:rPr>
          <w:rFonts w:ascii="Book Antiqua" w:hAnsi="Book Antiqua"/>
          <w:b/>
          <w:bCs/>
          <w:szCs w:val="24"/>
        </w:rPr>
        <w:t>[significa]</w:t>
      </w:r>
      <w:r w:rsidRPr="00A81608">
        <w:rPr>
          <w:rFonts w:ascii="Book Antiqua" w:hAnsi="Book Antiqua"/>
          <w:szCs w:val="24"/>
        </w:rPr>
        <w:t xml:space="preserve"> la entidad gubernamental creada en virtud de la Ley 147 de 18 de junio de 1980, según enmendada.</w:t>
      </w:r>
    </w:p>
    <w:p w14:paraId="18923A93" w14:textId="77777777" w:rsidR="008C2FF7" w:rsidRPr="00A81608" w:rsidRDefault="008C2FF7" w:rsidP="008C2FF7">
      <w:pPr>
        <w:tabs>
          <w:tab w:val="left" w:pos="0"/>
        </w:tabs>
        <w:suppressAutoHyphens/>
        <w:spacing w:line="480" w:lineRule="auto"/>
        <w:ind w:left="1080" w:hanging="360"/>
        <w:jc w:val="both"/>
        <w:rPr>
          <w:rFonts w:ascii="Book Antiqua" w:hAnsi="Book Antiqua"/>
          <w:szCs w:val="24"/>
        </w:rPr>
      </w:pPr>
      <w:r w:rsidRPr="00A81608">
        <w:rPr>
          <w:rFonts w:ascii="Book Antiqua" w:hAnsi="Book Antiqua"/>
          <w:b/>
          <w:bCs/>
          <w:szCs w:val="24"/>
        </w:rPr>
        <w:t>[k]</w:t>
      </w:r>
      <w:r w:rsidRPr="00A81608">
        <w:rPr>
          <w:rFonts w:ascii="Book Antiqua" w:hAnsi="Book Antiqua"/>
          <w:i/>
          <w:iCs/>
          <w:szCs w:val="24"/>
        </w:rPr>
        <w:t>p</w:t>
      </w:r>
      <w:r w:rsidRPr="00A81608">
        <w:rPr>
          <w:rFonts w:ascii="Book Antiqua" w:hAnsi="Book Antiqua"/>
          <w:szCs w:val="24"/>
        </w:rPr>
        <w:t xml:space="preserve">) Oficina del Inspector General de Puerto Rico — </w:t>
      </w:r>
      <w:r w:rsidRPr="00A81608">
        <w:rPr>
          <w:rFonts w:ascii="Book Antiqua" w:hAnsi="Book Antiqua"/>
          <w:b/>
          <w:bCs/>
          <w:szCs w:val="24"/>
        </w:rPr>
        <w:t>[significa]</w:t>
      </w:r>
      <w:r w:rsidRPr="00A81608">
        <w:rPr>
          <w:rFonts w:ascii="Book Antiqua" w:hAnsi="Book Antiqua"/>
          <w:szCs w:val="24"/>
        </w:rPr>
        <w:t xml:space="preserve"> la entidad creada al amparo de esta Ley.</w:t>
      </w:r>
    </w:p>
    <w:p w14:paraId="3CDDD2DF" w14:textId="77777777" w:rsidR="008C2FF7" w:rsidRPr="00A81608" w:rsidRDefault="008C2FF7" w:rsidP="008C2FF7">
      <w:pPr>
        <w:tabs>
          <w:tab w:val="left" w:pos="0"/>
        </w:tabs>
        <w:suppressAutoHyphens/>
        <w:spacing w:line="480" w:lineRule="auto"/>
        <w:ind w:left="1080" w:hanging="360"/>
        <w:jc w:val="both"/>
        <w:rPr>
          <w:rFonts w:ascii="Book Antiqua" w:hAnsi="Book Antiqua"/>
          <w:b/>
          <w:bCs/>
          <w:szCs w:val="24"/>
        </w:rPr>
      </w:pPr>
      <w:r w:rsidRPr="00A81608">
        <w:rPr>
          <w:rFonts w:ascii="Book Antiqua" w:hAnsi="Book Antiqua"/>
          <w:b/>
          <w:bCs/>
          <w:szCs w:val="24"/>
        </w:rPr>
        <w:t>[l) Normas de Auditoría Gubernamental Generalmente Aceptadas (“</w:t>
      </w:r>
      <w:proofErr w:type="spellStart"/>
      <w:r w:rsidRPr="00A81608">
        <w:rPr>
          <w:rFonts w:ascii="Book Antiqua" w:hAnsi="Book Antiqua"/>
          <w:b/>
          <w:bCs/>
          <w:szCs w:val="24"/>
        </w:rPr>
        <w:t>Government</w:t>
      </w:r>
      <w:proofErr w:type="spellEnd"/>
      <w:r w:rsidRPr="00A81608">
        <w:rPr>
          <w:rFonts w:ascii="Book Antiqua" w:hAnsi="Book Antiqua"/>
          <w:b/>
          <w:bCs/>
          <w:szCs w:val="24"/>
        </w:rPr>
        <w:t xml:space="preserve"> </w:t>
      </w:r>
      <w:proofErr w:type="spellStart"/>
      <w:r w:rsidRPr="00A81608">
        <w:rPr>
          <w:rFonts w:ascii="Book Antiqua" w:hAnsi="Book Antiqua"/>
          <w:b/>
          <w:bCs/>
          <w:szCs w:val="24"/>
        </w:rPr>
        <w:t>Auditing</w:t>
      </w:r>
      <w:proofErr w:type="spellEnd"/>
      <w:r w:rsidRPr="00A81608">
        <w:rPr>
          <w:rFonts w:ascii="Book Antiqua" w:hAnsi="Book Antiqua"/>
          <w:b/>
          <w:bCs/>
          <w:szCs w:val="24"/>
        </w:rPr>
        <w:t xml:space="preserve"> </w:t>
      </w:r>
      <w:proofErr w:type="spellStart"/>
      <w:r w:rsidRPr="00A81608">
        <w:rPr>
          <w:rFonts w:ascii="Book Antiqua" w:hAnsi="Book Antiqua"/>
          <w:b/>
          <w:bCs/>
          <w:szCs w:val="24"/>
        </w:rPr>
        <w:t>Standards</w:t>
      </w:r>
      <w:proofErr w:type="spellEnd"/>
      <w:r w:rsidRPr="00A81608">
        <w:rPr>
          <w:rFonts w:ascii="Book Antiqua" w:hAnsi="Book Antiqua"/>
          <w:b/>
          <w:bCs/>
          <w:szCs w:val="24"/>
        </w:rPr>
        <w:t>”) — significa los estándares adoptados por el Instituto Americano de Contadores Públicos Autorizados (en adelante “AICPA”, por sus siglas en inglés). Estos estándares establecen la calidad en el desempeño de los procedimientos de auditoría.]</w:t>
      </w:r>
    </w:p>
    <w:p w14:paraId="24EF9B11" w14:textId="77777777" w:rsidR="008C2FF7" w:rsidRPr="00A81608" w:rsidRDefault="008C2FF7" w:rsidP="008C2FF7">
      <w:pPr>
        <w:tabs>
          <w:tab w:val="left" w:pos="0"/>
        </w:tabs>
        <w:suppressAutoHyphens/>
        <w:spacing w:line="480" w:lineRule="auto"/>
        <w:ind w:left="1080" w:hanging="360"/>
        <w:jc w:val="both"/>
        <w:rPr>
          <w:rFonts w:ascii="Book Antiqua" w:hAnsi="Book Antiqua"/>
          <w:i/>
          <w:iCs/>
          <w:szCs w:val="24"/>
        </w:rPr>
      </w:pPr>
      <w:r w:rsidRPr="00A81608">
        <w:rPr>
          <w:rFonts w:ascii="Book Antiqua" w:hAnsi="Book Antiqua"/>
          <w:i/>
          <w:iCs/>
          <w:szCs w:val="24"/>
        </w:rPr>
        <w:lastRenderedPageBreak/>
        <w:t>q) Servidor público — persona en el Gobierno que interviene en la formulación e implantación de la política pública o no, aunque desempeñe su encomienda permanente o temporalmente, con o sin remuneración. También, incluye al contratista independiente cuyo contrato equivale a un puesto o cargo, o que entre sus responsabilidades está la de intervenir directamente en la formulación e implantación de la política pública.</w:t>
      </w:r>
    </w:p>
    <w:p w14:paraId="171C9DCA" w14:textId="62EC5F84" w:rsidR="008C2FF7" w:rsidRPr="00A81608" w:rsidRDefault="008C2FF7" w:rsidP="008C2FF7">
      <w:pPr>
        <w:tabs>
          <w:tab w:val="left" w:pos="0"/>
        </w:tabs>
        <w:suppressAutoHyphens/>
        <w:spacing w:line="480" w:lineRule="auto"/>
        <w:ind w:left="1080" w:hanging="360"/>
        <w:jc w:val="both"/>
        <w:rPr>
          <w:rFonts w:ascii="Book Antiqua" w:hAnsi="Book Antiqua"/>
          <w:i/>
          <w:iCs/>
          <w:szCs w:val="24"/>
        </w:rPr>
      </w:pPr>
      <w:r w:rsidRPr="00A81608">
        <w:rPr>
          <w:rFonts w:ascii="Book Antiqua" w:hAnsi="Book Antiqua"/>
          <w:b/>
          <w:bCs/>
          <w:szCs w:val="24"/>
        </w:rPr>
        <w:t>[m]</w:t>
      </w:r>
      <w:r w:rsidRPr="00A81608">
        <w:rPr>
          <w:rFonts w:ascii="Book Antiqua" w:hAnsi="Book Antiqua"/>
          <w:i/>
          <w:iCs/>
          <w:szCs w:val="24"/>
        </w:rPr>
        <w:t>r</w:t>
      </w:r>
      <w:r w:rsidRPr="00A81608">
        <w:rPr>
          <w:rFonts w:ascii="Book Antiqua" w:hAnsi="Book Antiqua"/>
          <w:szCs w:val="24"/>
        </w:rPr>
        <w:t xml:space="preserve">) Transparencia — </w:t>
      </w:r>
      <w:r w:rsidRPr="00A81608">
        <w:rPr>
          <w:rFonts w:ascii="Book Antiqua" w:hAnsi="Book Antiqua"/>
          <w:b/>
          <w:bCs/>
          <w:szCs w:val="24"/>
        </w:rPr>
        <w:t>[significa]</w:t>
      </w:r>
      <w:r w:rsidRPr="00A81608">
        <w:rPr>
          <w:rFonts w:ascii="Book Antiqua" w:hAnsi="Book Antiqua"/>
          <w:szCs w:val="24"/>
        </w:rPr>
        <w:t xml:space="preserve"> el acto de hacer pública la información acerca de las decisiones, prácticas de política pública y resultados del Gobierno. Esto con el fin de facilitar la relación entre el Gobierno y la ciudadanía a través de una gestión pública abierta a las opiniones de los ciudadanos respecto a los servicios </w:t>
      </w:r>
      <w:r w:rsidRPr="00A81608">
        <w:rPr>
          <w:rFonts w:ascii="Book Antiqua" w:hAnsi="Book Antiqua"/>
          <w:b/>
          <w:bCs/>
          <w:szCs w:val="24"/>
        </w:rPr>
        <w:t>[públicos]</w:t>
      </w:r>
      <w:r w:rsidRPr="00A81608">
        <w:rPr>
          <w:rFonts w:ascii="Book Antiqua" w:hAnsi="Book Antiqua"/>
          <w:szCs w:val="24"/>
        </w:rPr>
        <w:t xml:space="preserve"> y las políticas públic</w:t>
      </w:r>
      <w:r w:rsidRPr="002910AB">
        <w:rPr>
          <w:rFonts w:ascii="Book Antiqua" w:hAnsi="Book Antiqua"/>
          <w:szCs w:val="24"/>
        </w:rPr>
        <w:t>a</w:t>
      </w:r>
      <w:r w:rsidRPr="00A81608">
        <w:rPr>
          <w:rFonts w:ascii="Book Antiqua" w:hAnsi="Book Antiqua"/>
          <w:szCs w:val="24"/>
        </w:rPr>
        <w:t xml:space="preserve">s. Además, para ampliar y hacer habitual la rendición de cuentas y reducir los riesgos de la corrupción. </w:t>
      </w:r>
    </w:p>
    <w:p w14:paraId="3FDE1437" w14:textId="77777777" w:rsidR="008C2FF7" w:rsidRPr="00A81608" w:rsidRDefault="008C2FF7" w:rsidP="008C2FF7">
      <w:pPr>
        <w:tabs>
          <w:tab w:val="left" w:pos="0"/>
        </w:tabs>
        <w:suppressAutoHyphens/>
        <w:spacing w:line="480" w:lineRule="auto"/>
        <w:ind w:left="1080" w:hanging="360"/>
        <w:jc w:val="both"/>
        <w:rPr>
          <w:rFonts w:ascii="Book Antiqua" w:hAnsi="Book Antiqua"/>
          <w:i/>
          <w:iCs/>
          <w:szCs w:val="24"/>
        </w:rPr>
      </w:pPr>
      <w:r w:rsidRPr="00A81608">
        <w:rPr>
          <w:rFonts w:ascii="Book Antiqua" w:hAnsi="Book Antiqua"/>
          <w:b/>
          <w:bCs/>
          <w:szCs w:val="24"/>
        </w:rPr>
        <w:t>[n) Acciones Antiéticas — significa aquellos actos reconocidos por cada individuo y por la sociedad como contrarios a la moral, la ética o la ley. Incluye actos de fraude, corrupción, abuso del poder, apropiación ilegal de fondos, malversación de fondos, uso de fondos y propiedad pública para propósitos personales, enriquecimiento ilícito, privación al pueblo de servicios honestos, negligencia crasa en el desempeño del deber, entre otros.]</w:t>
      </w:r>
      <w:r w:rsidRPr="00677AF0">
        <w:rPr>
          <w:rFonts w:ascii="Book Antiqua" w:hAnsi="Book Antiqua"/>
          <w:szCs w:val="24"/>
        </w:rPr>
        <w:t>”</w:t>
      </w:r>
    </w:p>
    <w:p w14:paraId="45BA66E9" w14:textId="04C1B9B1" w:rsidR="008C2FF7" w:rsidRPr="00A81608" w:rsidRDefault="008C2FF7" w:rsidP="008C2FF7">
      <w:pPr>
        <w:tabs>
          <w:tab w:val="left" w:pos="0"/>
        </w:tabs>
        <w:suppressAutoHyphens/>
        <w:spacing w:line="480" w:lineRule="auto"/>
        <w:ind w:firstLine="720"/>
        <w:jc w:val="both"/>
        <w:rPr>
          <w:rFonts w:ascii="Book Antiqua" w:hAnsi="Book Antiqua"/>
          <w:szCs w:val="24"/>
          <w:lang w:val="es-ES_tradnl"/>
        </w:rPr>
      </w:pPr>
      <w:r w:rsidRPr="00A81608">
        <w:rPr>
          <w:rFonts w:ascii="Book Antiqua" w:hAnsi="Book Antiqua"/>
          <w:szCs w:val="24"/>
          <w:lang w:val="es-ES_tradnl"/>
        </w:rPr>
        <w:t>Sección 2.- Se añade un nuevo inciso (</w:t>
      </w:r>
      <w:proofErr w:type="spellStart"/>
      <w:r w:rsidRPr="00A81608">
        <w:rPr>
          <w:rFonts w:ascii="Book Antiqua" w:hAnsi="Book Antiqua"/>
          <w:szCs w:val="24"/>
          <w:lang w:val="es-ES_tradnl"/>
        </w:rPr>
        <w:t>aa</w:t>
      </w:r>
      <w:proofErr w:type="spellEnd"/>
      <w:r w:rsidRPr="00A81608">
        <w:rPr>
          <w:rFonts w:ascii="Book Antiqua" w:hAnsi="Book Antiqua"/>
          <w:szCs w:val="24"/>
          <w:lang w:val="es-ES_tradnl"/>
        </w:rPr>
        <w:t xml:space="preserve">) al Artículo 7 de la </w:t>
      </w:r>
      <w:r w:rsidRPr="00A81608">
        <w:rPr>
          <w:rFonts w:ascii="Book Antiqua" w:hAnsi="Book Antiqua"/>
          <w:szCs w:val="24"/>
        </w:rPr>
        <w:t>Ley 15-2017, según enmendada,</w:t>
      </w:r>
      <w:r w:rsidRPr="00A81608">
        <w:rPr>
          <w:rFonts w:ascii="Book Antiqua" w:hAnsi="Book Antiqua"/>
          <w:szCs w:val="24"/>
          <w:lang w:val="es-ES_tradnl"/>
        </w:rPr>
        <w:t xml:space="preserve"> para que se lea como sigue:</w:t>
      </w:r>
    </w:p>
    <w:p w14:paraId="1B0AC5D3" w14:textId="77777777" w:rsidR="008C2FF7" w:rsidRPr="00A81608" w:rsidRDefault="008C2FF7" w:rsidP="008C2FF7">
      <w:pPr>
        <w:tabs>
          <w:tab w:val="left" w:pos="0"/>
        </w:tabs>
        <w:suppressAutoHyphens/>
        <w:spacing w:line="480" w:lineRule="auto"/>
        <w:ind w:firstLine="720"/>
        <w:jc w:val="both"/>
        <w:rPr>
          <w:rFonts w:ascii="Book Antiqua" w:hAnsi="Book Antiqua"/>
          <w:szCs w:val="24"/>
        </w:rPr>
      </w:pPr>
      <w:r w:rsidRPr="00A81608">
        <w:rPr>
          <w:rFonts w:ascii="Book Antiqua" w:hAnsi="Book Antiqua"/>
          <w:szCs w:val="24"/>
          <w:lang w:val="es-ES_tradnl"/>
        </w:rPr>
        <w:t>“</w:t>
      </w:r>
      <w:r w:rsidRPr="00A81608">
        <w:rPr>
          <w:rFonts w:ascii="Book Antiqua" w:hAnsi="Book Antiqua"/>
          <w:szCs w:val="24"/>
        </w:rPr>
        <w:t>Artículo 7. — Funciones y Facultades de la OIG.</w:t>
      </w:r>
    </w:p>
    <w:p w14:paraId="0753E694" w14:textId="77777777" w:rsidR="008C2FF7" w:rsidRPr="00A81608" w:rsidRDefault="008C2FF7" w:rsidP="008C2FF7">
      <w:pPr>
        <w:tabs>
          <w:tab w:val="left" w:pos="0"/>
        </w:tabs>
        <w:suppressAutoHyphens/>
        <w:spacing w:line="480" w:lineRule="auto"/>
        <w:ind w:left="720"/>
        <w:jc w:val="both"/>
        <w:rPr>
          <w:rFonts w:ascii="Book Antiqua" w:hAnsi="Book Antiqua"/>
          <w:szCs w:val="24"/>
        </w:rPr>
      </w:pPr>
      <w:r w:rsidRPr="00A81608">
        <w:rPr>
          <w:rFonts w:ascii="Book Antiqua" w:hAnsi="Book Antiqua"/>
          <w:szCs w:val="24"/>
        </w:rPr>
        <w:lastRenderedPageBreak/>
        <w:tab/>
        <w:t>La OIG tendrá, sin que se entienda como una limitación, las siguientes facultades, deberes y poderes:</w:t>
      </w:r>
    </w:p>
    <w:p w14:paraId="38C174B6" w14:textId="77777777" w:rsidR="008C2FF7" w:rsidRPr="00A81608" w:rsidRDefault="008C2FF7" w:rsidP="008C2FF7">
      <w:pPr>
        <w:tabs>
          <w:tab w:val="left" w:pos="0"/>
        </w:tabs>
        <w:suppressAutoHyphens/>
        <w:spacing w:line="480" w:lineRule="auto"/>
        <w:ind w:left="720"/>
        <w:jc w:val="both"/>
        <w:rPr>
          <w:rFonts w:ascii="Book Antiqua" w:hAnsi="Book Antiqua"/>
          <w:szCs w:val="24"/>
        </w:rPr>
      </w:pPr>
      <w:r w:rsidRPr="00A81608">
        <w:rPr>
          <w:rFonts w:ascii="Book Antiqua" w:hAnsi="Book Antiqua"/>
          <w:szCs w:val="24"/>
        </w:rPr>
        <w:t>…</w:t>
      </w:r>
    </w:p>
    <w:p w14:paraId="709A82C1" w14:textId="5A3D9E61" w:rsidR="008C2FF7" w:rsidRPr="000F2D93" w:rsidRDefault="008C2FF7" w:rsidP="6A08B3EA">
      <w:pPr>
        <w:suppressAutoHyphens/>
        <w:spacing w:line="480" w:lineRule="auto"/>
        <w:ind w:left="720"/>
        <w:jc w:val="both"/>
        <w:rPr>
          <w:rFonts w:ascii="Book Antiqua" w:eastAsia="Book Antiqua" w:hAnsi="Book Antiqua" w:cs="Book Antiqua"/>
          <w:i/>
          <w:iCs/>
          <w:u w:val="single"/>
        </w:rPr>
      </w:pPr>
      <w:proofErr w:type="spellStart"/>
      <w:r w:rsidRPr="6A08B3EA">
        <w:rPr>
          <w:rFonts w:ascii="Book Antiqua" w:hAnsi="Book Antiqua"/>
          <w:i/>
          <w:iCs/>
        </w:rPr>
        <w:t>aa</w:t>
      </w:r>
      <w:proofErr w:type="spellEnd"/>
      <w:r w:rsidRPr="6A08B3EA">
        <w:rPr>
          <w:rFonts w:ascii="Book Antiqua" w:hAnsi="Book Antiqua"/>
          <w:i/>
          <w:iCs/>
        </w:rPr>
        <w:t xml:space="preserve">) Tener jurisdicción para realizar investigaciones respecto a exservidores públicos, contratistas y excontratistas </w:t>
      </w:r>
      <w:r w:rsidR="00677AF0" w:rsidRPr="6A08B3EA">
        <w:rPr>
          <w:rFonts w:ascii="Book Antiqua" w:hAnsi="Book Antiqua"/>
          <w:i/>
          <w:iCs/>
        </w:rPr>
        <w:t xml:space="preserve">por acciones realizadas mientras </w:t>
      </w:r>
      <w:r w:rsidRPr="6A08B3EA">
        <w:rPr>
          <w:rFonts w:ascii="Book Antiqua" w:hAnsi="Book Antiqua"/>
          <w:i/>
          <w:iCs/>
        </w:rPr>
        <w:t>estuvieron vinculados a la administración pública o prestando servicios a las entidades gubernamentales cubiertas, aun después de su desvinculación</w:t>
      </w:r>
      <w:r w:rsidR="00677AF0" w:rsidRPr="6A08B3EA">
        <w:rPr>
          <w:rFonts w:ascii="Book Antiqua" w:hAnsi="Book Antiqua"/>
          <w:i/>
          <w:iCs/>
        </w:rPr>
        <w:t>,</w:t>
      </w:r>
      <w:r w:rsidRPr="6A08B3EA">
        <w:rPr>
          <w:rFonts w:ascii="Book Antiqua" w:hAnsi="Book Antiqua"/>
          <w:i/>
          <w:iCs/>
        </w:rPr>
        <w:t xml:space="preserve"> con el fin de garantizar la rendición de cuentas y proteger el uso adecuado de los recursos públicos</w:t>
      </w:r>
      <w:r w:rsidR="3D1F08CC" w:rsidRPr="6A08B3EA">
        <w:rPr>
          <w:rFonts w:ascii="Book Antiqua" w:hAnsi="Book Antiqua"/>
          <w:i/>
          <w:iCs/>
        </w:rPr>
        <w:t>.</w:t>
      </w:r>
      <w:r w:rsidR="00482BF2">
        <w:rPr>
          <w:rFonts w:ascii="Book Antiqua" w:hAnsi="Book Antiqua"/>
          <w:i/>
          <w:iCs/>
        </w:rPr>
        <w:t xml:space="preserve"> </w:t>
      </w:r>
      <w:r w:rsidR="54B2F8F5" w:rsidRPr="6A08B3EA">
        <w:rPr>
          <w:rFonts w:ascii="Book Antiqua" w:hAnsi="Book Antiqua"/>
          <w:i/>
          <w:iCs/>
          <w:u w:val="single"/>
        </w:rPr>
        <w:t>En ningún caso, la OIG</w:t>
      </w:r>
      <w:r w:rsidR="6BE2A10B" w:rsidRPr="6A08B3EA">
        <w:rPr>
          <w:rFonts w:ascii="Book Antiqua" w:eastAsia="Book Antiqua" w:hAnsi="Book Antiqua" w:cs="Book Antiqua"/>
          <w:i/>
          <w:iCs/>
          <w:u w:val="single"/>
        </w:rPr>
        <w:t xml:space="preserve"> podrá iniciar una investigación </w:t>
      </w:r>
      <w:r w:rsidR="2F0A4FAD" w:rsidRPr="6A08B3EA">
        <w:rPr>
          <w:rFonts w:ascii="Book Antiqua" w:eastAsia="Book Antiqua" w:hAnsi="Book Antiqua" w:cs="Book Antiqua"/>
          <w:i/>
          <w:iCs/>
          <w:u w:val="single"/>
        </w:rPr>
        <w:t xml:space="preserve">si ha </w:t>
      </w:r>
      <w:r w:rsidR="6BE2A10B" w:rsidRPr="6A08B3EA">
        <w:rPr>
          <w:rFonts w:ascii="Book Antiqua" w:eastAsia="Book Antiqua" w:hAnsi="Book Antiqua" w:cs="Book Antiqua"/>
          <w:i/>
          <w:iCs/>
          <w:u w:val="single"/>
        </w:rPr>
        <w:t>transcurrido más de</w:t>
      </w:r>
      <w:r w:rsidR="0876560A" w:rsidRPr="6A08B3EA">
        <w:rPr>
          <w:rFonts w:ascii="Book Antiqua" w:eastAsia="Book Antiqua" w:hAnsi="Book Antiqua" w:cs="Book Antiqua"/>
          <w:i/>
          <w:iCs/>
          <w:u w:val="single"/>
        </w:rPr>
        <w:t xml:space="preserve"> </w:t>
      </w:r>
      <w:r w:rsidR="1731DEF6" w:rsidRPr="6A08B3EA">
        <w:rPr>
          <w:rFonts w:ascii="Book Antiqua" w:eastAsia="Book Antiqua" w:hAnsi="Book Antiqua" w:cs="Book Antiqua"/>
          <w:i/>
          <w:iCs/>
          <w:u w:val="single"/>
        </w:rPr>
        <w:t>un (1) año d</w:t>
      </w:r>
      <w:r w:rsidR="0876560A" w:rsidRPr="6A08B3EA">
        <w:rPr>
          <w:rFonts w:ascii="Book Antiqua" w:eastAsia="Book Antiqua" w:hAnsi="Book Antiqua" w:cs="Book Antiqua"/>
          <w:i/>
          <w:iCs/>
          <w:u w:val="single"/>
        </w:rPr>
        <w:t>e haber</w:t>
      </w:r>
      <w:r w:rsidR="55E67F39" w:rsidRPr="6A08B3EA">
        <w:rPr>
          <w:rFonts w:ascii="Book Antiqua" w:eastAsia="Book Antiqua" w:hAnsi="Book Antiqua" w:cs="Book Antiqua"/>
          <w:i/>
          <w:iCs/>
          <w:u w:val="single"/>
        </w:rPr>
        <w:t xml:space="preserve"> tenido conocimiento de los hechos</w:t>
      </w:r>
      <w:r w:rsidR="5E5C43AE" w:rsidRPr="6A08B3EA">
        <w:rPr>
          <w:rFonts w:ascii="Book Antiqua" w:eastAsia="Book Antiqua" w:hAnsi="Book Antiqua" w:cs="Book Antiqua"/>
          <w:i/>
          <w:iCs/>
          <w:u w:val="single"/>
        </w:rPr>
        <w:t>, acciones, actos o irregularidades</w:t>
      </w:r>
      <w:r w:rsidR="55E67F39" w:rsidRPr="6A08B3EA">
        <w:rPr>
          <w:rFonts w:ascii="Book Antiqua" w:eastAsia="Book Antiqua" w:hAnsi="Book Antiqua" w:cs="Book Antiqua"/>
          <w:i/>
          <w:iCs/>
          <w:u w:val="single"/>
        </w:rPr>
        <w:t xml:space="preserve"> de los exservidores públicos o excontratistas que motivan </w:t>
      </w:r>
      <w:r w:rsidR="667FDF8E" w:rsidRPr="6A08B3EA">
        <w:rPr>
          <w:rFonts w:ascii="Book Antiqua" w:eastAsia="Book Antiqua" w:hAnsi="Book Antiqua" w:cs="Book Antiqua"/>
          <w:i/>
          <w:iCs/>
          <w:u w:val="single"/>
        </w:rPr>
        <w:t>dich</w:t>
      </w:r>
      <w:r w:rsidR="55E67F39" w:rsidRPr="6A08B3EA">
        <w:rPr>
          <w:rFonts w:ascii="Book Antiqua" w:eastAsia="Book Antiqua" w:hAnsi="Book Antiqua" w:cs="Book Antiqua"/>
          <w:i/>
          <w:iCs/>
          <w:u w:val="single"/>
        </w:rPr>
        <w:t>a investigación</w:t>
      </w:r>
      <w:r w:rsidR="62B26118" w:rsidRPr="6A08B3EA">
        <w:rPr>
          <w:rFonts w:ascii="Book Antiqua" w:eastAsia="Book Antiqua" w:hAnsi="Book Antiqua" w:cs="Book Antiqua"/>
          <w:i/>
          <w:iCs/>
          <w:u w:val="single"/>
        </w:rPr>
        <w:t>.</w:t>
      </w:r>
    </w:p>
    <w:p w14:paraId="5C2BDC92" w14:textId="3B063D6B" w:rsidR="008C2FF7" w:rsidRPr="000F2D93" w:rsidRDefault="008C2FF7" w:rsidP="47CFD983">
      <w:pPr>
        <w:suppressAutoHyphens/>
        <w:spacing w:line="480" w:lineRule="auto"/>
        <w:ind w:left="720"/>
        <w:jc w:val="both"/>
        <w:rPr>
          <w:rFonts w:ascii="Book Antiqua" w:hAnsi="Book Antiqua"/>
          <w:lang w:val="es-ES"/>
        </w:rPr>
      </w:pPr>
      <w:r w:rsidRPr="47CFD983">
        <w:rPr>
          <w:rFonts w:ascii="Book Antiqua" w:hAnsi="Book Antiqua"/>
          <w:lang w:val="es-ES"/>
        </w:rPr>
        <w:t>Sección 3. —Reglamentación.</w:t>
      </w:r>
    </w:p>
    <w:p w14:paraId="19B9B6C4" w14:textId="563B77C8" w:rsidR="008C2FF7" w:rsidRDefault="008C2FF7" w:rsidP="008C2FF7">
      <w:pPr>
        <w:tabs>
          <w:tab w:val="left" w:pos="0"/>
        </w:tabs>
        <w:suppressAutoHyphens/>
        <w:spacing w:line="480" w:lineRule="auto"/>
        <w:jc w:val="both"/>
        <w:rPr>
          <w:rFonts w:ascii="Book Antiqua" w:hAnsi="Book Antiqua"/>
          <w:szCs w:val="24"/>
          <w:lang w:val="es-ES_tradnl"/>
        </w:rPr>
      </w:pPr>
      <w:r>
        <w:rPr>
          <w:rFonts w:ascii="Book Antiqua" w:hAnsi="Book Antiqua"/>
          <w:szCs w:val="24"/>
          <w:lang w:val="es-ES_tradnl"/>
        </w:rPr>
        <w:tab/>
      </w:r>
      <w:r w:rsidRPr="000F2D93">
        <w:rPr>
          <w:rFonts w:ascii="Book Antiqua" w:hAnsi="Book Antiqua"/>
          <w:szCs w:val="24"/>
          <w:lang w:val="es-ES_tradnl"/>
        </w:rPr>
        <w:t>Se ordena a la Oficina del Inspector General de Puerto Rico a promulgar toda la</w:t>
      </w:r>
      <w:r>
        <w:rPr>
          <w:rFonts w:ascii="Book Antiqua" w:hAnsi="Book Antiqua"/>
          <w:szCs w:val="24"/>
          <w:lang w:val="es-ES_tradnl"/>
        </w:rPr>
        <w:t xml:space="preserve"> </w:t>
      </w:r>
      <w:r w:rsidRPr="000F2D93">
        <w:rPr>
          <w:rFonts w:ascii="Book Antiqua" w:hAnsi="Book Antiqua"/>
          <w:szCs w:val="24"/>
          <w:lang w:val="es-ES_tradnl"/>
        </w:rPr>
        <w:t>reglamentación necesaria para implantar las disposiciones de esta Ley en un</w:t>
      </w:r>
      <w:r>
        <w:rPr>
          <w:rFonts w:ascii="Book Antiqua" w:hAnsi="Book Antiqua"/>
          <w:szCs w:val="24"/>
          <w:lang w:val="es-ES_tradnl"/>
        </w:rPr>
        <w:t xml:space="preserve"> </w:t>
      </w:r>
      <w:r w:rsidRPr="000F2D93">
        <w:rPr>
          <w:rFonts w:ascii="Book Antiqua" w:hAnsi="Book Antiqua"/>
          <w:szCs w:val="24"/>
          <w:lang w:val="es-ES_tradnl"/>
        </w:rPr>
        <w:t xml:space="preserve">término no mayor de sesenta (60) días, contados a partir de su aprobación. </w:t>
      </w:r>
    </w:p>
    <w:p w14:paraId="04A53BFF" w14:textId="77777777" w:rsidR="008C2FF7" w:rsidRPr="00A81608" w:rsidRDefault="008C2FF7" w:rsidP="008C2FF7">
      <w:pPr>
        <w:tabs>
          <w:tab w:val="left" w:pos="0"/>
        </w:tabs>
        <w:suppressAutoHyphens/>
        <w:spacing w:line="480" w:lineRule="auto"/>
        <w:ind w:firstLine="720"/>
        <w:jc w:val="both"/>
        <w:rPr>
          <w:rFonts w:ascii="Book Antiqua" w:hAnsi="Book Antiqua"/>
          <w:szCs w:val="24"/>
          <w:lang w:val="es-ES_tradnl"/>
        </w:rPr>
      </w:pPr>
      <w:r w:rsidRPr="00A81608">
        <w:rPr>
          <w:rFonts w:ascii="Book Antiqua" w:hAnsi="Book Antiqua"/>
          <w:szCs w:val="24"/>
          <w:lang w:val="es-ES_tradnl"/>
        </w:rPr>
        <w:t xml:space="preserve">Sección </w:t>
      </w:r>
      <w:r>
        <w:rPr>
          <w:rFonts w:ascii="Book Antiqua" w:hAnsi="Book Antiqua"/>
          <w:szCs w:val="24"/>
          <w:lang w:val="es-ES_tradnl"/>
        </w:rPr>
        <w:t>4</w:t>
      </w:r>
      <w:r w:rsidRPr="00A81608">
        <w:rPr>
          <w:rFonts w:ascii="Book Antiqua" w:hAnsi="Book Antiqua"/>
          <w:szCs w:val="24"/>
          <w:lang w:val="es-ES_tradnl"/>
        </w:rPr>
        <w:t>.</w:t>
      </w:r>
      <w:r w:rsidRPr="00A81608">
        <w:rPr>
          <w:rFonts w:ascii="Book Antiqua" w:hAnsi="Book Antiqua"/>
          <w:szCs w:val="24"/>
        </w:rPr>
        <w:t xml:space="preserve"> — Supremacía.</w:t>
      </w:r>
    </w:p>
    <w:p w14:paraId="51FB615B" w14:textId="77777777" w:rsidR="008C2FF7" w:rsidRPr="00A81608" w:rsidRDefault="008C2FF7" w:rsidP="008C2FF7">
      <w:pPr>
        <w:spacing w:line="480" w:lineRule="auto"/>
        <w:ind w:firstLine="720"/>
        <w:jc w:val="both"/>
        <w:rPr>
          <w:rFonts w:ascii="Book Antiqua" w:hAnsi="Book Antiqua"/>
          <w:szCs w:val="24"/>
        </w:rPr>
      </w:pPr>
      <w:r w:rsidRPr="00A81608">
        <w:rPr>
          <w:rFonts w:ascii="Book Antiqua" w:hAnsi="Book Antiqua"/>
          <w:szCs w:val="24"/>
        </w:rPr>
        <w:t>Ante cualquier inconsistencia entre la legislación, reglamentación, órdenes administrativas o cartas circulares vigentes y las disposiciones incluidas en esta Ley, se dispone la supremacía de esta legislación y la correspondiente enmienda o derogación de cualquier inconsistencia con este mandato.</w:t>
      </w:r>
    </w:p>
    <w:p w14:paraId="33D2B0FB" w14:textId="77777777" w:rsidR="008C2FF7" w:rsidRPr="00A81608" w:rsidRDefault="008C2FF7" w:rsidP="008C2FF7">
      <w:pPr>
        <w:spacing w:line="480" w:lineRule="auto"/>
        <w:ind w:firstLine="720"/>
        <w:jc w:val="both"/>
        <w:rPr>
          <w:rFonts w:ascii="Book Antiqua" w:hAnsi="Book Antiqua"/>
          <w:szCs w:val="24"/>
        </w:rPr>
      </w:pPr>
      <w:r w:rsidRPr="00A81608">
        <w:rPr>
          <w:rFonts w:ascii="Book Antiqua" w:hAnsi="Book Antiqua"/>
          <w:szCs w:val="24"/>
        </w:rPr>
        <w:t xml:space="preserve">Sección </w:t>
      </w:r>
      <w:r>
        <w:rPr>
          <w:rFonts w:ascii="Book Antiqua" w:hAnsi="Book Antiqua"/>
          <w:szCs w:val="24"/>
        </w:rPr>
        <w:t>5</w:t>
      </w:r>
      <w:r w:rsidRPr="00A81608">
        <w:rPr>
          <w:rFonts w:ascii="Book Antiqua" w:hAnsi="Book Antiqua"/>
          <w:szCs w:val="24"/>
        </w:rPr>
        <w:t>. —</w:t>
      </w:r>
      <w:r w:rsidRPr="00A81608">
        <w:rPr>
          <w:rFonts w:ascii="Book Antiqua" w:hAnsi="Book Antiqua"/>
          <w:bCs/>
          <w:szCs w:val="24"/>
        </w:rPr>
        <w:t>Separabilidad.</w:t>
      </w:r>
    </w:p>
    <w:p w14:paraId="34DC6D9E" w14:textId="77777777" w:rsidR="008C2FF7" w:rsidRPr="00A81608" w:rsidRDefault="008C2FF7" w:rsidP="008C2FF7">
      <w:pPr>
        <w:spacing w:line="480" w:lineRule="auto"/>
        <w:ind w:firstLine="720"/>
        <w:jc w:val="both"/>
        <w:rPr>
          <w:rFonts w:ascii="Book Antiqua" w:hAnsi="Book Antiqua"/>
          <w:szCs w:val="24"/>
        </w:rPr>
      </w:pPr>
      <w:r w:rsidRPr="00A81608">
        <w:rPr>
          <w:rFonts w:ascii="Book Antiqua" w:hAnsi="Book Antiqua"/>
          <w:szCs w:val="24"/>
          <w:shd w:val="clear" w:color="auto" w:fill="FFFFFF"/>
        </w:rPr>
        <w:lastRenderedPageBreak/>
        <w:t>Si cualquier cláusula, párrafo, oración, palabra, artículo, disposición, sección, o inciso de esta Ley es declarada nula o inconstitucional</w:t>
      </w:r>
      <w:r w:rsidRPr="00A81608">
        <w:rPr>
          <w:rFonts w:ascii="Book Antiqua" w:hAnsi="Book Antiqua"/>
          <w:szCs w:val="24"/>
          <w:lang w:eastAsia="es-PR"/>
        </w:rPr>
        <w:t xml:space="preserve"> por un Tribunal con jurisdicción</w:t>
      </w:r>
      <w:r w:rsidRPr="00A81608">
        <w:rPr>
          <w:rFonts w:ascii="Book Antiqua" w:hAnsi="Book Antiqua"/>
          <w:szCs w:val="24"/>
          <w:shd w:val="clear" w:color="auto" w:fill="FFFFFF"/>
        </w:rPr>
        <w:t xml:space="preserve">, la resolución, dictamen o sentencia a tal efecto dictada no afectará, perjudicará ni invalidará el remanente de esta Ley. El efecto de dicha resolución, dictamen o sentencia quedará limitado a la cláusula, párrafo, oración, palabra, artículo, disposición, sección, o inciso </w:t>
      </w:r>
      <w:r w:rsidRPr="00A81608">
        <w:rPr>
          <w:rFonts w:ascii="Book Antiqua" w:hAnsi="Book Antiqua"/>
          <w:szCs w:val="24"/>
          <w:lang w:eastAsia="es-PR"/>
        </w:rPr>
        <w:t xml:space="preserve">cuya nulidad o </w:t>
      </w:r>
      <w:r w:rsidRPr="00A81608">
        <w:rPr>
          <w:rFonts w:ascii="Book Antiqua" w:hAnsi="Book Antiqua"/>
          <w:szCs w:val="24"/>
          <w:shd w:val="clear" w:color="auto" w:fill="FFFFFF"/>
        </w:rPr>
        <w:t xml:space="preserve">inconstitucionalidad </w:t>
      </w:r>
      <w:r w:rsidRPr="00A81608">
        <w:rPr>
          <w:rFonts w:ascii="Book Antiqua" w:hAnsi="Book Antiqua"/>
          <w:szCs w:val="24"/>
          <w:lang w:eastAsia="es-PR"/>
        </w:rPr>
        <w:t>haya sido declarada</w:t>
      </w:r>
      <w:r w:rsidRPr="00A81608">
        <w:rPr>
          <w:rFonts w:ascii="Book Antiqua" w:hAnsi="Book Antiqua"/>
          <w:szCs w:val="24"/>
          <w:shd w:val="clear" w:color="auto" w:fill="FFFFFF"/>
        </w:rPr>
        <w:t>.</w:t>
      </w:r>
      <w:r w:rsidRPr="00A81608">
        <w:rPr>
          <w:rFonts w:ascii="Book Antiqua" w:hAnsi="Book Antiqua"/>
          <w:szCs w:val="24"/>
        </w:rPr>
        <w:t xml:space="preserve"> </w:t>
      </w:r>
    </w:p>
    <w:p w14:paraId="0766177A" w14:textId="77777777" w:rsidR="008C2FF7" w:rsidRPr="00A81608" w:rsidRDefault="008C2FF7" w:rsidP="008C2FF7">
      <w:pPr>
        <w:spacing w:line="480" w:lineRule="auto"/>
        <w:ind w:firstLine="720"/>
        <w:jc w:val="both"/>
        <w:rPr>
          <w:rFonts w:ascii="Book Antiqua" w:hAnsi="Book Antiqua"/>
          <w:szCs w:val="24"/>
        </w:rPr>
      </w:pPr>
      <w:r w:rsidRPr="00A81608">
        <w:rPr>
          <w:rFonts w:ascii="Book Antiqua" w:hAnsi="Book Antiqua"/>
          <w:szCs w:val="24"/>
          <w:lang w:val="es-ES_tradnl"/>
        </w:rPr>
        <w:t xml:space="preserve">Sección </w:t>
      </w:r>
      <w:r>
        <w:rPr>
          <w:rFonts w:ascii="Book Antiqua" w:hAnsi="Book Antiqua"/>
          <w:szCs w:val="24"/>
          <w:lang w:val="es-ES_tradnl"/>
        </w:rPr>
        <w:t>6</w:t>
      </w:r>
      <w:r w:rsidRPr="00A81608">
        <w:rPr>
          <w:rFonts w:ascii="Book Antiqua" w:hAnsi="Book Antiqua"/>
          <w:szCs w:val="24"/>
          <w:lang w:val="es-ES_tradnl"/>
        </w:rPr>
        <w:t>.- Vigencia</w:t>
      </w:r>
    </w:p>
    <w:p w14:paraId="48D24D17" w14:textId="160D2B79" w:rsidR="008C2FF7" w:rsidRPr="008C2FF7" w:rsidRDefault="008C2FF7" w:rsidP="008C2FF7">
      <w:pPr>
        <w:spacing w:line="480" w:lineRule="auto"/>
        <w:ind w:firstLine="720"/>
        <w:jc w:val="both"/>
        <w:rPr>
          <w:rFonts w:ascii="Book Antiqua" w:hAnsi="Book Antiqua"/>
          <w:lang w:val="es-ES_tradnl"/>
        </w:rPr>
      </w:pPr>
      <w:r w:rsidRPr="00A81608">
        <w:rPr>
          <w:rFonts w:ascii="Book Antiqua" w:hAnsi="Book Antiqua"/>
          <w:szCs w:val="24"/>
          <w:lang w:val="es-ES_tradnl"/>
        </w:rPr>
        <w:t>Esta Ley comenzará a regir inmediatamente después de su aprobación.</w:t>
      </w:r>
    </w:p>
    <w:sectPr w:rsidR="008C2FF7" w:rsidRPr="008C2FF7" w:rsidSect="008C2FF7">
      <w:type w:val="continuous"/>
      <w:pgSz w:w="12240" w:h="15840" w:code="1"/>
      <w:pgMar w:top="1440" w:right="1440" w:bottom="1440" w:left="1440"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E320D" w14:textId="77777777" w:rsidR="008176B3" w:rsidRDefault="008176B3" w:rsidP="008C2FF7">
      <w:r>
        <w:separator/>
      </w:r>
    </w:p>
  </w:endnote>
  <w:endnote w:type="continuationSeparator" w:id="0">
    <w:p w14:paraId="61AFEB4C" w14:textId="77777777" w:rsidR="008176B3" w:rsidRDefault="008176B3" w:rsidP="008C2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ongolian Baiti">
    <w:panose1 w:val="03000500000000000000"/>
    <w:charset w:val="00"/>
    <w:family w:val="script"/>
    <w:pitch w:val="variable"/>
    <w:sig w:usb0="80000023" w:usb1="00000000" w:usb2="00020000" w:usb3="00000000" w:csb0="00000001"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5B8DC" w14:textId="77777777" w:rsidR="008176B3" w:rsidRDefault="008176B3" w:rsidP="008C2FF7">
      <w:r>
        <w:separator/>
      </w:r>
    </w:p>
  </w:footnote>
  <w:footnote w:type="continuationSeparator" w:id="0">
    <w:p w14:paraId="34653874" w14:textId="77777777" w:rsidR="008176B3" w:rsidRDefault="008176B3" w:rsidP="008C2F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1DD12" w14:textId="77777777" w:rsidR="008C2FF7" w:rsidRPr="00A81608" w:rsidRDefault="008C2FF7">
    <w:pPr>
      <w:pStyle w:val="Header"/>
      <w:jc w:val="center"/>
      <w:rPr>
        <w:rFonts w:ascii="Book Antiqua" w:hAnsi="Book Antiqua"/>
      </w:rPr>
    </w:pPr>
    <w:r w:rsidRPr="00A81608">
      <w:rPr>
        <w:rStyle w:val="PageNumber"/>
        <w:rFonts w:ascii="Book Antiqua" w:eastAsiaTheme="majorEastAsia" w:hAnsi="Book Antiqua"/>
      </w:rPr>
      <w:fldChar w:fldCharType="begin"/>
    </w:r>
    <w:r w:rsidRPr="00A81608">
      <w:rPr>
        <w:rStyle w:val="PageNumber"/>
        <w:rFonts w:ascii="Book Antiqua" w:eastAsiaTheme="majorEastAsia" w:hAnsi="Book Antiqua"/>
      </w:rPr>
      <w:instrText xml:space="preserve"> PAGE </w:instrText>
    </w:r>
    <w:r w:rsidRPr="00A81608">
      <w:rPr>
        <w:rStyle w:val="PageNumber"/>
        <w:rFonts w:ascii="Book Antiqua" w:eastAsiaTheme="majorEastAsia" w:hAnsi="Book Antiqua"/>
      </w:rPr>
      <w:fldChar w:fldCharType="separate"/>
    </w:r>
    <w:r w:rsidRPr="00A81608">
      <w:rPr>
        <w:rStyle w:val="PageNumber"/>
        <w:rFonts w:ascii="Book Antiqua" w:eastAsiaTheme="majorEastAsia" w:hAnsi="Book Antiqua"/>
        <w:noProof/>
      </w:rPr>
      <w:t>2</w:t>
    </w:r>
    <w:r w:rsidRPr="00A81608">
      <w:rPr>
        <w:rStyle w:val="PageNumber"/>
        <w:rFonts w:ascii="Book Antiqua" w:eastAsiaTheme="majorEastAsia" w:hAnsi="Book Antiqu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2B1C0" w14:textId="77777777" w:rsidR="006C4D01" w:rsidRDefault="006C4D01" w:rsidP="006C4D0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5C59F2"/>
    <w:multiLevelType w:val="hybridMultilevel"/>
    <w:tmpl w:val="C96E01F6"/>
    <w:lvl w:ilvl="0" w:tplc="E44CB246">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1782799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FF7"/>
    <w:rsid w:val="00004385"/>
    <w:rsid w:val="00043B56"/>
    <w:rsid w:val="00061C06"/>
    <w:rsid w:val="000916A2"/>
    <w:rsid w:val="001375FA"/>
    <w:rsid w:val="001A28AD"/>
    <w:rsid w:val="001D2332"/>
    <w:rsid w:val="0022609C"/>
    <w:rsid w:val="002650E3"/>
    <w:rsid w:val="002910AB"/>
    <w:rsid w:val="003554E1"/>
    <w:rsid w:val="003B20DD"/>
    <w:rsid w:val="003C1B49"/>
    <w:rsid w:val="003F32F4"/>
    <w:rsid w:val="00455705"/>
    <w:rsid w:val="00482BF2"/>
    <w:rsid w:val="00493A28"/>
    <w:rsid w:val="004B45DE"/>
    <w:rsid w:val="004E234E"/>
    <w:rsid w:val="004F0CB3"/>
    <w:rsid w:val="005313B3"/>
    <w:rsid w:val="005D27A3"/>
    <w:rsid w:val="006423E4"/>
    <w:rsid w:val="00662CA5"/>
    <w:rsid w:val="00677AF0"/>
    <w:rsid w:val="006C4D01"/>
    <w:rsid w:val="006E5966"/>
    <w:rsid w:val="007E106F"/>
    <w:rsid w:val="00807CDC"/>
    <w:rsid w:val="008176B3"/>
    <w:rsid w:val="0083138B"/>
    <w:rsid w:val="008C2FF7"/>
    <w:rsid w:val="008C7BC2"/>
    <w:rsid w:val="00996E1C"/>
    <w:rsid w:val="00A06136"/>
    <w:rsid w:val="00AE6DAD"/>
    <w:rsid w:val="00B0334C"/>
    <w:rsid w:val="00B9379E"/>
    <w:rsid w:val="00BE17B4"/>
    <w:rsid w:val="00BE2A5E"/>
    <w:rsid w:val="00BE46C8"/>
    <w:rsid w:val="00BF2274"/>
    <w:rsid w:val="00C11DC4"/>
    <w:rsid w:val="00D26AC1"/>
    <w:rsid w:val="00D617F2"/>
    <w:rsid w:val="00D824D9"/>
    <w:rsid w:val="00D838AF"/>
    <w:rsid w:val="00DA1698"/>
    <w:rsid w:val="00DE0784"/>
    <w:rsid w:val="00E22945"/>
    <w:rsid w:val="00E75F06"/>
    <w:rsid w:val="00E80F2E"/>
    <w:rsid w:val="00E86E90"/>
    <w:rsid w:val="0158D1F5"/>
    <w:rsid w:val="0272D55B"/>
    <w:rsid w:val="03AE04A5"/>
    <w:rsid w:val="0876560A"/>
    <w:rsid w:val="0939F986"/>
    <w:rsid w:val="0B3FD6C1"/>
    <w:rsid w:val="0BA091CC"/>
    <w:rsid w:val="0BC7B3FE"/>
    <w:rsid w:val="0BDEC932"/>
    <w:rsid w:val="0CFA4C18"/>
    <w:rsid w:val="0D1A4A6A"/>
    <w:rsid w:val="0DF85956"/>
    <w:rsid w:val="11D60281"/>
    <w:rsid w:val="1298E27B"/>
    <w:rsid w:val="145A54FA"/>
    <w:rsid w:val="1731DEF6"/>
    <w:rsid w:val="18A52F2A"/>
    <w:rsid w:val="1AFA9175"/>
    <w:rsid w:val="1BF4F23F"/>
    <w:rsid w:val="202727DC"/>
    <w:rsid w:val="205C3A99"/>
    <w:rsid w:val="214C3FF4"/>
    <w:rsid w:val="231E0FBE"/>
    <w:rsid w:val="25B40D6C"/>
    <w:rsid w:val="26465FFF"/>
    <w:rsid w:val="278C89A5"/>
    <w:rsid w:val="286636FF"/>
    <w:rsid w:val="28A3C3CF"/>
    <w:rsid w:val="2DB007FD"/>
    <w:rsid w:val="2E463000"/>
    <w:rsid w:val="2EFDDCC8"/>
    <w:rsid w:val="2F0A4FAD"/>
    <w:rsid w:val="2F506EF9"/>
    <w:rsid w:val="2FB428BE"/>
    <w:rsid w:val="36296CDF"/>
    <w:rsid w:val="37443ECE"/>
    <w:rsid w:val="39438E63"/>
    <w:rsid w:val="3B39CEE8"/>
    <w:rsid w:val="3B54C50D"/>
    <w:rsid w:val="3D1F08CC"/>
    <w:rsid w:val="3D6576B7"/>
    <w:rsid w:val="418B4DED"/>
    <w:rsid w:val="4259C650"/>
    <w:rsid w:val="43D3BE4D"/>
    <w:rsid w:val="44069796"/>
    <w:rsid w:val="4569CEAE"/>
    <w:rsid w:val="47CFD983"/>
    <w:rsid w:val="49099144"/>
    <w:rsid w:val="4993A95A"/>
    <w:rsid w:val="4B2EA17B"/>
    <w:rsid w:val="51D12CB2"/>
    <w:rsid w:val="52247047"/>
    <w:rsid w:val="54B2F8F5"/>
    <w:rsid w:val="558F146B"/>
    <w:rsid w:val="55E67F39"/>
    <w:rsid w:val="577390C1"/>
    <w:rsid w:val="585C14FE"/>
    <w:rsid w:val="59EBAF63"/>
    <w:rsid w:val="5AE5DE9D"/>
    <w:rsid w:val="5BEC0A8E"/>
    <w:rsid w:val="5DD829CD"/>
    <w:rsid w:val="5E5C43AE"/>
    <w:rsid w:val="5FDE3480"/>
    <w:rsid w:val="6024DC41"/>
    <w:rsid w:val="61820981"/>
    <w:rsid w:val="62096A45"/>
    <w:rsid w:val="62B26118"/>
    <w:rsid w:val="62DBBAAA"/>
    <w:rsid w:val="630595EE"/>
    <w:rsid w:val="63137E24"/>
    <w:rsid w:val="652C7981"/>
    <w:rsid w:val="656EC842"/>
    <w:rsid w:val="65D27842"/>
    <w:rsid w:val="667FDF8E"/>
    <w:rsid w:val="679D3EB5"/>
    <w:rsid w:val="67A554B3"/>
    <w:rsid w:val="6A08B3EA"/>
    <w:rsid w:val="6B7F4727"/>
    <w:rsid w:val="6BE2A10B"/>
    <w:rsid w:val="6D340022"/>
    <w:rsid w:val="6E193FDD"/>
    <w:rsid w:val="7176297D"/>
    <w:rsid w:val="7384DC40"/>
    <w:rsid w:val="7448B19D"/>
    <w:rsid w:val="74BCFDE4"/>
    <w:rsid w:val="780E355B"/>
    <w:rsid w:val="7939AB8C"/>
    <w:rsid w:val="7D1ED52E"/>
    <w:rsid w:val="7D8405F0"/>
    <w:rsid w:val="7EB1F4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DACDB"/>
  <w15:chartTrackingRefBased/>
  <w15:docId w15:val="{954D54D9-0E4C-41B6-A700-284B9C6A5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FF7"/>
    <w:pPr>
      <w:spacing w:after="0" w:line="240" w:lineRule="auto"/>
    </w:pPr>
    <w:rPr>
      <w:rFonts w:ascii="Times New Roman" w:eastAsia="Times New Roman" w:hAnsi="Times New Roman" w:cs="Times New Roman"/>
      <w:sz w:val="24"/>
      <w:szCs w:val="20"/>
      <w:lang w:val="es-PR"/>
    </w:rPr>
  </w:style>
  <w:style w:type="paragraph" w:styleId="Heading1">
    <w:name w:val="heading 1"/>
    <w:basedOn w:val="Normal"/>
    <w:next w:val="Normal"/>
    <w:link w:val="Heading1Char"/>
    <w:uiPriority w:val="9"/>
    <w:qFormat/>
    <w:rsid w:val="008C2F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2F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2FF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2F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2F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2FF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FF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FF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FF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FF7"/>
    <w:rPr>
      <w:rFonts w:asciiTheme="majorHAnsi" w:eastAsiaTheme="majorEastAsia" w:hAnsiTheme="majorHAnsi" w:cstheme="majorBidi"/>
      <w:color w:val="2F5496" w:themeColor="accent1" w:themeShade="BF"/>
      <w:sz w:val="40"/>
      <w:szCs w:val="40"/>
      <w:lang w:val="es-ES_tradnl"/>
    </w:rPr>
  </w:style>
  <w:style w:type="character" w:customStyle="1" w:styleId="Heading2Char">
    <w:name w:val="Heading 2 Char"/>
    <w:basedOn w:val="DefaultParagraphFont"/>
    <w:link w:val="Heading2"/>
    <w:uiPriority w:val="9"/>
    <w:semiHidden/>
    <w:rsid w:val="008C2FF7"/>
    <w:rPr>
      <w:rFonts w:asciiTheme="majorHAnsi" w:eastAsiaTheme="majorEastAsia" w:hAnsiTheme="majorHAnsi" w:cstheme="majorBidi"/>
      <w:color w:val="2F5496" w:themeColor="accent1" w:themeShade="BF"/>
      <w:sz w:val="32"/>
      <w:szCs w:val="32"/>
      <w:lang w:val="es-ES_tradnl"/>
    </w:rPr>
  </w:style>
  <w:style w:type="character" w:customStyle="1" w:styleId="Heading3Char">
    <w:name w:val="Heading 3 Char"/>
    <w:basedOn w:val="DefaultParagraphFont"/>
    <w:link w:val="Heading3"/>
    <w:uiPriority w:val="9"/>
    <w:semiHidden/>
    <w:rsid w:val="008C2FF7"/>
    <w:rPr>
      <w:rFonts w:eastAsiaTheme="majorEastAsia" w:cstheme="majorBidi"/>
      <w:color w:val="2F5496" w:themeColor="accent1" w:themeShade="BF"/>
      <w:sz w:val="28"/>
      <w:szCs w:val="28"/>
      <w:lang w:val="es-ES_tradnl"/>
    </w:rPr>
  </w:style>
  <w:style w:type="character" w:customStyle="1" w:styleId="Heading4Char">
    <w:name w:val="Heading 4 Char"/>
    <w:basedOn w:val="DefaultParagraphFont"/>
    <w:link w:val="Heading4"/>
    <w:uiPriority w:val="9"/>
    <w:semiHidden/>
    <w:rsid w:val="008C2FF7"/>
    <w:rPr>
      <w:rFonts w:eastAsiaTheme="majorEastAsia" w:cstheme="majorBidi"/>
      <w:i/>
      <w:iCs/>
      <w:color w:val="2F5496" w:themeColor="accent1" w:themeShade="BF"/>
      <w:lang w:val="es-ES_tradnl"/>
    </w:rPr>
  </w:style>
  <w:style w:type="character" w:customStyle="1" w:styleId="Heading5Char">
    <w:name w:val="Heading 5 Char"/>
    <w:basedOn w:val="DefaultParagraphFont"/>
    <w:link w:val="Heading5"/>
    <w:uiPriority w:val="9"/>
    <w:semiHidden/>
    <w:rsid w:val="008C2FF7"/>
    <w:rPr>
      <w:rFonts w:eastAsiaTheme="majorEastAsia" w:cstheme="majorBidi"/>
      <w:color w:val="2F5496" w:themeColor="accent1" w:themeShade="BF"/>
      <w:lang w:val="es-ES_tradnl"/>
    </w:rPr>
  </w:style>
  <w:style w:type="character" w:customStyle="1" w:styleId="Heading6Char">
    <w:name w:val="Heading 6 Char"/>
    <w:basedOn w:val="DefaultParagraphFont"/>
    <w:link w:val="Heading6"/>
    <w:uiPriority w:val="9"/>
    <w:semiHidden/>
    <w:rsid w:val="008C2FF7"/>
    <w:rPr>
      <w:rFonts w:eastAsiaTheme="majorEastAsia" w:cstheme="majorBidi"/>
      <w:i/>
      <w:iCs/>
      <w:color w:val="595959" w:themeColor="text1" w:themeTint="A6"/>
      <w:lang w:val="es-ES_tradnl"/>
    </w:rPr>
  </w:style>
  <w:style w:type="character" w:customStyle="1" w:styleId="Heading7Char">
    <w:name w:val="Heading 7 Char"/>
    <w:basedOn w:val="DefaultParagraphFont"/>
    <w:link w:val="Heading7"/>
    <w:uiPriority w:val="9"/>
    <w:semiHidden/>
    <w:rsid w:val="008C2FF7"/>
    <w:rPr>
      <w:rFonts w:eastAsiaTheme="majorEastAsia" w:cstheme="majorBidi"/>
      <w:color w:val="595959" w:themeColor="text1" w:themeTint="A6"/>
      <w:lang w:val="es-ES_tradnl"/>
    </w:rPr>
  </w:style>
  <w:style w:type="character" w:customStyle="1" w:styleId="Heading8Char">
    <w:name w:val="Heading 8 Char"/>
    <w:basedOn w:val="DefaultParagraphFont"/>
    <w:link w:val="Heading8"/>
    <w:uiPriority w:val="9"/>
    <w:semiHidden/>
    <w:rsid w:val="008C2FF7"/>
    <w:rPr>
      <w:rFonts w:eastAsiaTheme="majorEastAsia" w:cstheme="majorBidi"/>
      <w:i/>
      <w:iCs/>
      <w:color w:val="272727" w:themeColor="text1" w:themeTint="D8"/>
      <w:lang w:val="es-ES_tradnl"/>
    </w:rPr>
  </w:style>
  <w:style w:type="character" w:customStyle="1" w:styleId="Heading9Char">
    <w:name w:val="Heading 9 Char"/>
    <w:basedOn w:val="DefaultParagraphFont"/>
    <w:link w:val="Heading9"/>
    <w:uiPriority w:val="9"/>
    <w:semiHidden/>
    <w:rsid w:val="008C2FF7"/>
    <w:rPr>
      <w:rFonts w:eastAsiaTheme="majorEastAsia" w:cstheme="majorBidi"/>
      <w:color w:val="272727" w:themeColor="text1" w:themeTint="D8"/>
      <w:lang w:val="es-ES_tradnl"/>
    </w:rPr>
  </w:style>
  <w:style w:type="paragraph" w:styleId="Title">
    <w:name w:val="Title"/>
    <w:basedOn w:val="Normal"/>
    <w:next w:val="Normal"/>
    <w:link w:val="TitleChar"/>
    <w:uiPriority w:val="10"/>
    <w:qFormat/>
    <w:rsid w:val="008C2FF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FF7"/>
    <w:rPr>
      <w:rFonts w:asciiTheme="majorHAnsi" w:eastAsiaTheme="majorEastAsia" w:hAnsiTheme="majorHAnsi" w:cstheme="majorBidi"/>
      <w:spacing w:val="-10"/>
      <w:kern w:val="28"/>
      <w:sz w:val="56"/>
      <w:szCs w:val="56"/>
      <w:lang w:val="es-ES_tradnl"/>
    </w:rPr>
  </w:style>
  <w:style w:type="paragraph" w:styleId="Subtitle">
    <w:name w:val="Subtitle"/>
    <w:basedOn w:val="Normal"/>
    <w:next w:val="Normal"/>
    <w:link w:val="SubtitleChar"/>
    <w:uiPriority w:val="11"/>
    <w:qFormat/>
    <w:rsid w:val="008C2F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FF7"/>
    <w:rPr>
      <w:rFonts w:eastAsiaTheme="majorEastAsia" w:cstheme="majorBidi"/>
      <w:color w:val="595959" w:themeColor="text1" w:themeTint="A6"/>
      <w:spacing w:val="15"/>
      <w:sz w:val="28"/>
      <w:szCs w:val="28"/>
      <w:lang w:val="es-ES_tradnl"/>
    </w:rPr>
  </w:style>
  <w:style w:type="paragraph" w:styleId="Quote">
    <w:name w:val="Quote"/>
    <w:basedOn w:val="Normal"/>
    <w:next w:val="Normal"/>
    <w:link w:val="QuoteChar"/>
    <w:uiPriority w:val="29"/>
    <w:qFormat/>
    <w:rsid w:val="008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8C2FF7"/>
    <w:rPr>
      <w:i/>
      <w:iCs/>
      <w:color w:val="404040" w:themeColor="text1" w:themeTint="BF"/>
      <w:lang w:val="es-ES_tradnl"/>
    </w:rPr>
  </w:style>
  <w:style w:type="paragraph" w:styleId="ListParagraph">
    <w:name w:val="List Paragraph"/>
    <w:basedOn w:val="Normal"/>
    <w:uiPriority w:val="34"/>
    <w:qFormat/>
    <w:rsid w:val="008C2FF7"/>
    <w:pPr>
      <w:ind w:left="720"/>
      <w:contextualSpacing/>
    </w:pPr>
  </w:style>
  <w:style w:type="character" w:styleId="IntenseEmphasis">
    <w:name w:val="Intense Emphasis"/>
    <w:basedOn w:val="DefaultParagraphFont"/>
    <w:uiPriority w:val="21"/>
    <w:qFormat/>
    <w:rsid w:val="008C2FF7"/>
    <w:rPr>
      <w:i/>
      <w:iCs/>
      <w:color w:val="2F5496" w:themeColor="accent1" w:themeShade="BF"/>
    </w:rPr>
  </w:style>
  <w:style w:type="paragraph" w:styleId="IntenseQuote">
    <w:name w:val="Intense Quote"/>
    <w:basedOn w:val="Normal"/>
    <w:next w:val="Normal"/>
    <w:link w:val="IntenseQuoteChar"/>
    <w:uiPriority w:val="30"/>
    <w:qFormat/>
    <w:rsid w:val="008C2F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2FF7"/>
    <w:rPr>
      <w:i/>
      <w:iCs/>
      <w:color w:val="2F5496" w:themeColor="accent1" w:themeShade="BF"/>
      <w:lang w:val="es-ES_tradnl"/>
    </w:rPr>
  </w:style>
  <w:style w:type="character" w:styleId="IntenseReference">
    <w:name w:val="Intense Reference"/>
    <w:basedOn w:val="DefaultParagraphFont"/>
    <w:uiPriority w:val="32"/>
    <w:qFormat/>
    <w:rsid w:val="008C2FF7"/>
    <w:rPr>
      <w:b/>
      <w:bCs/>
      <w:smallCaps/>
      <w:color w:val="2F5496" w:themeColor="accent1" w:themeShade="BF"/>
      <w:spacing w:val="5"/>
    </w:rPr>
  </w:style>
  <w:style w:type="paragraph" w:styleId="Header">
    <w:name w:val="header"/>
    <w:basedOn w:val="Normal"/>
    <w:link w:val="HeaderChar"/>
    <w:rsid w:val="008C2FF7"/>
    <w:pPr>
      <w:tabs>
        <w:tab w:val="center" w:pos="4320"/>
        <w:tab w:val="right" w:pos="8640"/>
      </w:tabs>
    </w:pPr>
  </w:style>
  <w:style w:type="character" w:customStyle="1" w:styleId="HeaderChar">
    <w:name w:val="Header Char"/>
    <w:basedOn w:val="DefaultParagraphFont"/>
    <w:link w:val="Header"/>
    <w:rsid w:val="008C2FF7"/>
    <w:rPr>
      <w:rFonts w:ascii="Times New Roman" w:eastAsia="Times New Roman" w:hAnsi="Times New Roman" w:cs="Times New Roman"/>
      <w:sz w:val="24"/>
      <w:szCs w:val="20"/>
      <w:lang w:val="es-PR"/>
    </w:rPr>
  </w:style>
  <w:style w:type="character" w:styleId="PageNumber">
    <w:name w:val="page number"/>
    <w:basedOn w:val="DefaultParagraphFont"/>
    <w:rsid w:val="008C2FF7"/>
  </w:style>
  <w:style w:type="paragraph" w:styleId="BodyTextIndent2">
    <w:name w:val="Body Text Indent 2"/>
    <w:basedOn w:val="Normal"/>
    <w:link w:val="BodyTextIndent2Char"/>
    <w:rsid w:val="008C2FF7"/>
    <w:pPr>
      <w:spacing w:before="120" w:after="120" w:line="360" w:lineRule="auto"/>
      <w:ind w:firstLine="360"/>
      <w:jc w:val="both"/>
    </w:pPr>
    <w:rPr>
      <w:lang w:val="es-ES_tradnl"/>
    </w:rPr>
  </w:style>
  <w:style w:type="character" w:customStyle="1" w:styleId="BodyTextIndent2Char">
    <w:name w:val="Body Text Indent 2 Char"/>
    <w:basedOn w:val="DefaultParagraphFont"/>
    <w:link w:val="BodyTextIndent2"/>
    <w:rsid w:val="008C2FF7"/>
    <w:rPr>
      <w:rFonts w:ascii="Times New Roman" w:eastAsia="Times New Roman" w:hAnsi="Times New Roman" w:cs="Times New Roman"/>
      <w:sz w:val="24"/>
      <w:szCs w:val="20"/>
      <w:lang w:val="es-ES_tradnl"/>
    </w:rPr>
  </w:style>
  <w:style w:type="paragraph" w:styleId="FootnoteText">
    <w:name w:val="footnote text"/>
    <w:basedOn w:val="Normal"/>
    <w:link w:val="FootnoteTextChar"/>
    <w:uiPriority w:val="99"/>
    <w:unhideWhenUsed/>
    <w:rsid w:val="008C2FF7"/>
    <w:rPr>
      <w:sz w:val="20"/>
    </w:rPr>
  </w:style>
  <w:style w:type="character" w:customStyle="1" w:styleId="FootnoteTextChar">
    <w:name w:val="Footnote Text Char"/>
    <w:basedOn w:val="DefaultParagraphFont"/>
    <w:link w:val="FootnoteText"/>
    <w:uiPriority w:val="99"/>
    <w:rsid w:val="008C2FF7"/>
    <w:rPr>
      <w:rFonts w:ascii="Times New Roman" w:eastAsia="Times New Roman" w:hAnsi="Times New Roman" w:cs="Times New Roman"/>
      <w:sz w:val="20"/>
      <w:szCs w:val="20"/>
      <w:lang w:val="es-PR"/>
    </w:rPr>
  </w:style>
  <w:style w:type="character" w:styleId="FootnoteReference">
    <w:name w:val="footnote reference"/>
    <w:uiPriority w:val="99"/>
    <w:unhideWhenUsed/>
    <w:rsid w:val="008C2FF7"/>
    <w:rPr>
      <w:vertAlign w:val="superscript"/>
    </w:rPr>
  </w:style>
  <w:style w:type="character" w:styleId="LineNumber">
    <w:name w:val="line number"/>
    <w:basedOn w:val="DefaultParagraphFont"/>
    <w:uiPriority w:val="99"/>
    <w:semiHidden/>
    <w:unhideWhenUsed/>
    <w:rsid w:val="008C2FF7"/>
  </w:style>
  <w:style w:type="paragraph" w:styleId="Footer">
    <w:name w:val="footer"/>
    <w:basedOn w:val="Normal"/>
    <w:link w:val="FooterChar"/>
    <w:uiPriority w:val="99"/>
    <w:unhideWhenUsed/>
    <w:rsid w:val="002650E3"/>
    <w:pPr>
      <w:tabs>
        <w:tab w:val="center" w:pos="4680"/>
        <w:tab w:val="right" w:pos="9360"/>
      </w:tabs>
    </w:pPr>
  </w:style>
  <w:style w:type="character" w:customStyle="1" w:styleId="FooterChar">
    <w:name w:val="Footer Char"/>
    <w:basedOn w:val="DefaultParagraphFont"/>
    <w:link w:val="Footer"/>
    <w:uiPriority w:val="99"/>
    <w:rsid w:val="002650E3"/>
    <w:rPr>
      <w:rFonts w:ascii="Times New Roman" w:eastAsia="Times New Roman" w:hAnsi="Times New Roman" w:cs="Times New Roman"/>
      <w:sz w:val="24"/>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2240</Words>
  <Characters>12774</Characters>
  <Application>Microsoft Office Word</Application>
  <DocSecurity>4</DocSecurity>
  <Lines>106</Lines>
  <Paragraphs>29</Paragraphs>
  <ScaleCrop>false</ScaleCrop>
  <Company/>
  <LinksUpToDate>false</LinksUpToDate>
  <CharactersWithSpaces>14985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Javier José Dilán</dc:creator>
  <cp:keywords/>
  <dc:description/>
  <cp:lastModifiedBy>Camyl Moreno Pantojas</cp:lastModifiedBy>
  <cp:revision>2</cp:revision>
  <cp:lastPrinted>2025-05-07T22:54:00Z</cp:lastPrinted>
  <dcterms:created xsi:type="dcterms:W3CDTF">2025-05-08T19:17:00Z</dcterms:created>
  <dcterms:modified xsi:type="dcterms:W3CDTF">2025-05-08T19:17:00Z</dcterms:modified>
</cp:coreProperties>
</file>