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0D2F1E"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0D2F1E">
        <w:rPr>
          <w:rFonts w:ascii="Book Antiqua" w:hAnsi="Book Antiqua"/>
          <w:sz w:val="28"/>
          <w:szCs w:val="28"/>
          <w:lang w:val="es-ES"/>
        </w:rPr>
        <w:t>GOBIERNO DE PUERTO RICO</w:t>
      </w:r>
    </w:p>
    <w:p w14:paraId="24353140" w14:textId="77777777" w:rsidR="007535BB" w:rsidRPr="000D2F1E"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0D2F1E" w14:paraId="4DE77E24" w14:textId="77777777" w:rsidTr="00D95836">
        <w:trPr>
          <w:trHeight w:val="900"/>
        </w:trPr>
        <w:tc>
          <w:tcPr>
            <w:tcW w:w="3170" w:type="dxa"/>
          </w:tcPr>
          <w:p w14:paraId="27AF3912" w14:textId="77777777" w:rsidR="007535BB" w:rsidRPr="000D2F1E" w:rsidRDefault="007535BB" w:rsidP="00D95836">
            <w:pPr>
              <w:rPr>
                <w:rFonts w:ascii="Book Antiqua" w:hAnsi="Book Antiqua"/>
                <w:lang w:val="es-ES"/>
              </w:rPr>
            </w:pPr>
            <w:r w:rsidRPr="000D2F1E">
              <w:rPr>
                <w:rFonts w:ascii="Book Antiqua" w:hAnsi="Book Antiqua"/>
                <w:lang w:val="es-ES"/>
              </w:rPr>
              <w:t>20</w:t>
            </w:r>
            <w:r w:rsidRPr="000D2F1E">
              <w:rPr>
                <w:rFonts w:ascii="Book Antiqua" w:hAnsi="Book Antiqua"/>
                <w:vertAlign w:val="superscript"/>
                <w:lang w:val="es-ES"/>
              </w:rPr>
              <w:t>ma.</w:t>
            </w:r>
            <w:r w:rsidRPr="000D2F1E">
              <w:rPr>
                <w:rFonts w:ascii="Book Antiqua" w:hAnsi="Book Antiqua"/>
                <w:lang w:val="es-ES"/>
              </w:rPr>
              <w:tab/>
              <w:t>Asamblea</w:t>
            </w:r>
          </w:p>
          <w:p w14:paraId="082D32B2" w14:textId="77777777" w:rsidR="007535BB" w:rsidRPr="000D2F1E" w:rsidRDefault="007535BB" w:rsidP="00D95836">
            <w:pPr>
              <w:rPr>
                <w:rFonts w:ascii="Book Antiqua" w:hAnsi="Book Antiqua"/>
                <w:sz w:val="36"/>
                <w:lang w:val="es-ES"/>
              </w:rPr>
            </w:pPr>
            <w:r w:rsidRPr="000D2F1E">
              <w:rPr>
                <w:rFonts w:ascii="Book Antiqua" w:hAnsi="Book Antiqua"/>
                <w:lang w:val="es-ES"/>
              </w:rPr>
              <w:t xml:space="preserve">         </w:t>
            </w:r>
            <w:r w:rsidRPr="000D2F1E">
              <w:rPr>
                <w:rFonts w:ascii="Book Antiqua" w:hAnsi="Book Antiqua"/>
                <w:lang w:val="es-ES"/>
              </w:rPr>
              <w:tab/>
              <w:t xml:space="preserve">Legislativa                                                                                                          </w:t>
            </w:r>
          </w:p>
        </w:tc>
        <w:tc>
          <w:tcPr>
            <w:tcW w:w="3171" w:type="dxa"/>
          </w:tcPr>
          <w:p w14:paraId="48FE9142" w14:textId="77777777" w:rsidR="007535BB" w:rsidRPr="000D2F1E" w:rsidRDefault="007535BB" w:rsidP="00D95836">
            <w:pPr>
              <w:jc w:val="center"/>
              <w:rPr>
                <w:rFonts w:ascii="Book Antiqua" w:hAnsi="Book Antiqua"/>
                <w:sz w:val="36"/>
                <w:lang w:val="es-ES"/>
              </w:rPr>
            </w:pPr>
          </w:p>
        </w:tc>
        <w:tc>
          <w:tcPr>
            <w:tcW w:w="3268" w:type="dxa"/>
          </w:tcPr>
          <w:p w14:paraId="69176C76" w14:textId="2F06252B" w:rsidR="007535BB" w:rsidRPr="000D2F1E" w:rsidRDefault="007535BB" w:rsidP="00D95836">
            <w:pPr>
              <w:rPr>
                <w:rFonts w:ascii="Book Antiqua" w:hAnsi="Book Antiqua"/>
                <w:lang w:val="es-ES"/>
              </w:rPr>
            </w:pPr>
            <w:r w:rsidRPr="000D2F1E">
              <w:rPr>
                <w:rFonts w:ascii="Book Antiqua" w:hAnsi="Book Antiqua"/>
                <w:lang w:val="es-ES"/>
              </w:rPr>
              <w:tab/>
            </w:r>
            <w:r w:rsidR="00E17E3B" w:rsidRPr="000D2F1E">
              <w:rPr>
                <w:rFonts w:ascii="Book Antiqua" w:hAnsi="Book Antiqua"/>
                <w:lang w:val="es-ES"/>
              </w:rPr>
              <w:t>2</w:t>
            </w:r>
            <w:r w:rsidR="00E17E3B" w:rsidRPr="000D2F1E">
              <w:rPr>
                <w:rFonts w:ascii="Book Antiqua" w:hAnsi="Book Antiqua"/>
                <w:vertAlign w:val="superscript"/>
                <w:lang w:val="es-ES"/>
              </w:rPr>
              <w:t>d</w:t>
            </w:r>
            <w:r w:rsidRPr="000D2F1E">
              <w:rPr>
                <w:rFonts w:ascii="Book Antiqua" w:hAnsi="Book Antiqua"/>
                <w:vertAlign w:val="superscript"/>
                <w:lang w:val="es-ES"/>
              </w:rPr>
              <w:t>a.</w:t>
            </w:r>
            <w:r w:rsidRPr="000D2F1E">
              <w:rPr>
                <w:rFonts w:ascii="Book Antiqua" w:hAnsi="Book Antiqua"/>
                <w:lang w:val="es-ES"/>
              </w:rPr>
              <w:t xml:space="preserve"> Sesión</w:t>
            </w:r>
          </w:p>
          <w:p w14:paraId="42A8E2C1" w14:textId="6033C9E1" w:rsidR="007535BB" w:rsidRPr="000D2F1E" w:rsidRDefault="007535BB" w:rsidP="00D95836">
            <w:pPr>
              <w:rPr>
                <w:rFonts w:ascii="Book Antiqua" w:hAnsi="Book Antiqua"/>
                <w:lang w:val="es-ES"/>
              </w:rPr>
            </w:pPr>
            <w:r w:rsidRPr="000D2F1E">
              <w:rPr>
                <w:rFonts w:ascii="Book Antiqua" w:hAnsi="Book Antiqua"/>
                <w:lang w:val="es-ES"/>
              </w:rPr>
              <w:tab/>
              <w:t xml:space="preserve">      Ordinaria</w:t>
            </w:r>
          </w:p>
          <w:p w14:paraId="640FD190" w14:textId="77777777" w:rsidR="007535BB" w:rsidRPr="000D2F1E" w:rsidRDefault="007535BB" w:rsidP="00D95836">
            <w:pPr>
              <w:jc w:val="center"/>
              <w:rPr>
                <w:rFonts w:ascii="Book Antiqua" w:hAnsi="Book Antiqua"/>
                <w:sz w:val="36"/>
                <w:lang w:val="es-ES"/>
              </w:rPr>
            </w:pPr>
          </w:p>
        </w:tc>
      </w:tr>
    </w:tbl>
    <w:bookmarkEnd w:id="0"/>
    <w:p w14:paraId="44DF1C72" w14:textId="77777777" w:rsidR="007535BB" w:rsidRPr="000D2F1E" w:rsidRDefault="007535BB" w:rsidP="0027212A">
      <w:pPr>
        <w:spacing w:line="360" w:lineRule="auto"/>
        <w:jc w:val="center"/>
        <w:rPr>
          <w:rFonts w:ascii="Book Antiqua" w:hAnsi="Book Antiqua"/>
          <w:b/>
          <w:sz w:val="36"/>
          <w:lang w:val="es-ES"/>
        </w:rPr>
      </w:pPr>
      <w:r w:rsidRPr="000D2F1E">
        <w:rPr>
          <w:rFonts w:ascii="Book Antiqua" w:hAnsi="Book Antiqua"/>
          <w:b/>
          <w:sz w:val="36"/>
          <w:lang w:val="es-ES"/>
        </w:rPr>
        <w:t>SENADO DE PUERTO RICO</w:t>
      </w:r>
      <w:bookmarkEnd w:id="1"/>
    </w:p>
    <w:p w14:paraId="3E53146F" w14:textId="3229E54A" w:rsidR="007535BB" w:rsidRPr="000D2F1E" w:rsidRDefault="00F60859" w:rsidP="0027212A">
      <w:pPr>
        <w:spacing w:line="360" w:lineRule="auto"/>
        <w:jc w:val="center"/>
        <w:rPr>
          <w:rFonts w:ascii="Book Antiqua" w:hAnsi="Book Antiqua"/>
          <w:b/>
          <w:sz w:val="52"/>
          <w:lang w:val="es-ES"/>
        </w:rPr>
      </w:pPr>
      <w:r w:rsidRPr="000D2F1E">
        <w:rPr>
          <w:rFonts w:ascii="Book Antiqua" w:hAnsi="Book Antiqua"/>
          <w:b/>
          <w:sz w:val="52"/>
          <w:lang w:val="es-ES"/>
        </w:rPr>
        <w:t>P. de la C.</w:t>
      </w:r>
      <w:r w:rsidR="000C7129" w:rsidRPr="000D2F1E">
        <w:rPr>
          <w:rFonts w:ascii="Book Antiqua" w:hAnsi="Book Antiqua"/>
          <w:b/>
          <w:sz w:val="52"/>
          <w:lang w:val="es-ES"/>
        </w:rPr>
        <w:t xml:space="preserve"> 309</w:t>
      </w:r>
    </w:p>
    <w:p w14:paraId="1443CA0F" w14:textId="666020A4" w:rsidR="007535BB" w:rsidRPr="000D2F1E" w:rsidRDefault="007535BB" w:rsidP="0027212A">
      <w:pPr>
        <w:spacing w:line="360" w:lineRule="auto"/>
        <w:jc w:val="center"/>
        <w:rPr>
          <w:rFonts w:ascii="Book Antiqua" w:hAnsi="Book Antiqua"/>
          <w:b/>
          <w:bCs/>
          <w:lang w:val="es-ES"/>
        </w:rPr>
      </w:pPr>
      <w:r w:rsidRPr="000D2F1E">
        <w:rPr>
          <w:rFonts w:ascii="Book Antiqua" w:hAnsi="Book Antiqua"/>
          <w:b/>
          <w:bCs/>
          <w:lang w:val="es-ES"/>
        </w:rPr>
        <w:t xml:space="preserve"> </w:t>
      </w:r>
      <w:bookmarkStart w:id="3" w:name="_Hlk183037684"/>
      <w:r w:rsidR="001B5218" w:rsidRPr="000D2F1E">
        <w:rPr>
          <w:rFonts w:ascii="Book Antiqua" w:hAnsi="Book Antiqua"/>
          <w:b/>
          <w:bCs/>
          <w:sz w:val="28"/>
          <w:szCs w:val="22"/>
          <w:lang w:val="es-ES"/>
        </w:rPr>
        <w:t xml:space="preserve">INFORME </w:t>
      </w:r>
      <w:r w:rsidR="008C45A9" w:rsidRPr="000D2F1E">
        <w:rPr>
          <w:rFonts w:ascii="Book Antiqua" w:hAnsi="Book Antiqua"/>
          <w:b/>
          <w:bCs/>
          <w:sz w:val="28"/>
          <w:szCs w:val="22"/>
          <w:lang w:val="es-ES"/>
        </w:rPr>
        <w:t>NEGATIVO</w:t>
      </w:r>
      <w:r w:rsidR="001B5218" w:rsidRPr="000D2F1E">
        <w:rPr>
          <w:rFonts w:ascii="Book Antiqua" w:hAnsi="Book Antiqua"/>
          <w:b/>
          <w:bCs/>
          <w:sz w:val="28"/>
          <w:szCs w:val="22"/>
          <w:lang w:val="es-ES"/>
        </w:rPr>
        <w:t xml:space="preserve"> </w:t>
      </w:r>
    </w:p>
    <w:p w14:paraId="07AB4BDD" w14:textId="72878926" w:rsidR="001B5218" w:rsidRPr="000D2F1E" w:rsidRDefault="008404D3" w:rsidP="0027212A">
      <w:pPr>
        <w:spacing w:line="360" w:lineRule="auto"/>
        <w:jc w:val="center"/>
        <w:rPr>
          <w:rFonts w:ascii="Book Antiqua" w:hAnsi="Book Antiqua"/>
          <w:lang w:val="es-ES"/>
        </w:rPr>
      </w:pPr>
      <w:r>
        <w:rPr>
          <w:rFonts w:ascii="Book Antiqua" w:hAnsi="Book Antiqua"/>
          <w:lang w:val="es-ES"/>
        </w:rPr>
        <w:t xml:space="preserve">19 </w:t>
      </w:r>
      <w:r w:rsidR="006239E8" w:rsidRPr="000D2F1E">
        <w:rPr>
          <w:rFonts w:ascii="Book Antiqua" w:hAnsi="Book Antiqua"/>
          <w:lang w:val="es-ES"/>
        </w:rPr>
        <w:t xml:space="preserve">de agosto </w:t>
      </w:r>
      <w:r w:rsidR="00D13D23" w:rsidRPr="000D2F1E">
        <w:rPr>
          <w:rFonts w:ascii="Book Antiqua" w:hAnsi="Book Antiqua"/>
          <w:lang w:val="es-ES"/>
        </w:rPr>
        <w:t>de 2025</w:t>
      </w:r>
    </w:p>
    <w:bookmarkEnd w:id="2"/>
    <w:bookmarkEnd w:id="3"/>
    <w:p w14:paraId="518A096B" w14:textId="07DCC0DC" w:rsidR="005B2884" w:rsidRDefault="001B5218" w:rsidP="007F2158">
      <w:pPr>
        <w:tabs>
          <w:tab w:val="left" w:pos="-720"/>
        </w:tabs>
        <w:suppressAutoHyphens/>
        <w:rPr>
          <w:rFonts w:ascii="Book Antiqua" w:hAnsi="Book Antiqua"/>
          <w:b/>
          <w:szCs w:val="24"/>
          <w:lang w:val="es-ES"/>
        </w:rPr>
      </w:pPr>
      <w:r w:rsidRPr="000D2F1E">
        <w:rPr>
          <w:rFonts w:ascii="Book Antiqua" w:hAnsi="Book Antiqua"/>
          <w:b/>
          <w:szCs w:val="24"/>
          <w:lang w:val="es-ES"/>
        </w:rPr>
        <w:t xml:space="preserve">AL SENADO DE PUERTO RICO: </w:t>
      </w:r>
    </w:p>
    <w:p w14:paraId="28E752E1" w14:textId="77777777" w:rsidR="007F2158" w:rsidRPr="000D2F1E" w:rsidRDefault="007F2158" w:rsidP="007F2158">
      <w:pPr>
        <w:tabs>
          <w:tab w:val="left" w:pos="-720"/>
        </w:tabs>
        <w:suppressAutoHyphens/>
        <w:rPr>
          <w:rFonts w:ascii="Book Antiqua" w:hAnsi="Book Antiqua"/>
          <w:szCs w:val="24"/>
          <w:lang w:val="es-ES"/>
        </w:rPr>
      </w:pPr>
    </w:p>
    <w:p w14:paraId="1C36686D" w14:textId="5B23F976" w:rsidR="000C52A1" w:rsidRDefault="00A52CD9" w:rsidP="007F2158">
      <w:pPr>
        <w:suppressAutoHyphens/>
        <w:snapToGrid w:val="0"/>
        <w:jc w:val="both"/>
        <w:rPr>
          <w:rFonts w:ascii="Book Antiqua" w:hAnsi="Book Antiqua"/>
          <w:spacing w:val="-3"/>
          <w:lang w:val="es-ES"/>
        </w:rPr>
      </w:pPr>
      <w:r w:rsidRPr="000D2F1E">
        <w:rPr>
          <w:rFonts w:ascii="Book Antiqua" w:hAnsi="Book Antiqua"/>
          <w:spacing w:val="-3"/>
          <w:lang w:val="es-ES"/>
        </w:rPr>
        <w:t xml:space="preserve">      </w:t>
      </w:r>
      <w:r w:rsidR="009F427F" w:rsidRPr="000D2F1E">
        <w:rPr>
          <w:rFonts w:ascii="Book Antiqua" w:hAnsi="Book Antiqua"/>
          <w:spacing w:val="-3"/>
          <w:lang w:val="es-ES"/>
        </w:rPr>
        <w:tab/>
      </w:r>
      <w:r w:rsidR="001B5218" w:rsidRPr="000D2F1E">
        <w:rPr>
          <w:rFonts w:ascii="Book Antiqua" w:hAnsi="Book Antiqua"/>
          <w:spacing w:val="-3"/>
          <w:lang w:val="es-ES"/>
        </w:rPr>
        <w:t xml:space="preserve">La </w:t>
      </w:r>
      <w:r w:rsidR="00E17E3B" w:rsidRPr="000D2F1E">
        <w:rPr>
          <w:rFonts w:ascii="Book Antiqua" w:hAnsi="Book Antiqua"/>
          <w:spacing w:val="-3"/>
          <w:lang w:val="es-ES"/>
        </w:rPr>
        <w:t>Comisión de lo Jurídico del Senado de Puerto Rico</w:t>
      </w:r>
      <w:r w:rsidR="001B5218" w:rsidRPr="000D2F1E">
        <w:rPr>
          <w:rFonts w:ascii="Book Antiqua" w:hAnsi="Book Antiqua"/>
          <w:spacing w:val="-3"/>
          <w:lang w:val="es-ES"/>
        </w:rPr>
        <w:t>, previo estudio y consideración</w:t>
      </w:r>
      <w:r w:rsidR="009F427F" w:rsidRPr="000D2F1E">
        <w:rPr>
          <w:rFonts w:ascii="Book Antiqua" w:hAnsi="Book Antiqua"/>
          <w:spacing w:val="-3"/>
          <w:lang w:val="es-ES"/>
        </w:rPr>
        <w:t xml:space="preserve"> del </w:t>
      </w:r>
      <w:r w:rsidR="000C7129" w:rsidRPr="000D2F1E">
        <w:rPr>
          <w:rFonts w:ascii="Book Antiqua" w:hAnsi="Book Antiqua"/>
          <w:b/>
          <w:bCs/>
          <w:spacing w:val="-3"/>
          <w:lang w:val="es-ES"/>
        </w:rPr>
        <w:t>P. de la C. 309</w:t>
      </w:r>
      <w:r w:rsidR="000C7129" w:rsidRPr="000D2F1E">
        <w:rPr>
          <w:rFonts w:ascii="Book Antiqua" w:hAnsi="Book Antiqua"/>
          <w:spacing w:val="-3"/>
          <w:lang w:val="es-ES"/>
        </w:rPr>
        <w:t xml:space="preserve">, </w:t>
      </w:r>
      <w:r w:rsidR="008C45A9" w:rsidRPr="000D2F1E">
        <w:rPr>
          <w:rFonts w:ascii="Book Antiqua" w:hAnsi="Book Antiqua"/>
          <w:spacing w:val="-3"/>
          <w:lang w:val="es-ES"/>
        </w:rPr>
        <w:t xml:space="preserve">no </w:t>
      </w:r>
      <w:r w:rsidR="009F427F" w:rsidRPr="000D2F1E">
        <w:rPr>
          <w:rFonts w:ascii="Book Antiqua" w:hAnsi="Book Antiqua"/>
          <w:spacing w:val="-3"/>
          <w:lang w:val="es-ES"/>
        </w:rPr>
        <w:t>recomienda a este Alto Cuerpo su</w:t>
      </w:r>
      <w:r w:rsidR="008E051A" w:rsidRPr="000D2F1E">
        <w:rPr>
          <w:rFonts w:ascii="Book Antiqua" w:hAnsi="Book Antiqua"/>
          <w:spacing w:val="-3"/>
          <w:lang w:val="es-ES"/>
        </w:rPr>
        <w:t xml:space="preserve"> </w:t>
      </w:r>
      <w:r w:rsidR="001B5218" w:rsidRPr="000D2F1E">
        <w:rPr>
          <w:rFonts w:ascii="Book Antiqua" w:hAnsi="Book Antiqua"/>
          <w:spacing w:val="-3"/>
          <w:lang w:val="es-ES"/>
        </w:rPr>
        <w:t>aprobación</w:t>
      </w:r>
      <w:r w:rsidR="008C45A9" w:rsidRPr="000D2F1E">
        <w:rPr>
          <w:rFonts w:ascii="Book Antiqua" w:hAnsi="Book Antiqua"/>
          <w:spacing w:val="-3"/>
          <w:lang w:val="es-ES"/>
        </w:rPr>
        <w:t>.</w:t>
      </w:r>
    </w:p>
    <w:p w14:paraId="771C15AD" w14:textId="77777777" w:rsidR="007F2158" w:rsidRPr="000D2F1E" w:rsidRDefault="007F2158" w:rsidP="007F2158">
      <w:pPr>
        <w:suppressAutoHyphens/>
        <w:snapToGrid w:val="0"/>
        <w:jc w:val="both"/>
        <w:rPr>
          <w:rFonts w:ascii="Book Antiqua" w:hAnsi="Book Antiqua"/>
          <w:spacing w:val="-3"/>
          <w:lang w:val="es-ES"/>
        </w:rPr>
      </w:pPr>
    </w:p>
    <w:p w14:paraId="5B5C79B2" w14:textId="061C5869" w:rsidR="000C52A1" w:rsidRDefault="001B5218" w:rsidP="007F2158">
      <w:pPr>
        <w:tabs>
          <w:tab w:val="left" w:pos="-720"/>
        </w:tabs>
        <w:suppressAutoHyphens/>
        <w:snapToGrid w:val="0"/>
        <w:jc w:val="center"/>
        <w:rPr>
          <w:rFonts w:ascii="Book Antiqua" w:hAnsi="Book Antiqua"/>
          <w:b/>
          <w:bCs/>
          <w:szCs w:val="24"/>
          <w:lang w:val="es-ES"/>
        </w:rPr>
      </w:pPr>
      <w:r w:rsidRPr="000D2F1E">
        <w:rPr>
          <w:rFonts w:ascii="Book Antiqua" w:hAnsi="Book Antiqua"/>
          <w:b/>
          <w:bCs/>
          <w:szCs w:val="24"/>
          <w:lang w:val="es-ES"/>
        </w:rPr>
        <w:t xml:space="preserve">ALCANCE DE LA MEDIDA </w:t>
      </w:r>
    </w:p>
    <w:p w14:paraId="2AF41A36" w14:textId="77777777" w:rsidR="007F2158" w:rsidRPr="000D2F1E" w:rsidRDefault="007F2158" w:rsidP="007F2158">
      <w:pPr>
        <w:tabs>
          <w:tab w:val="left" w:pos="-720"/>
        </w:tabs>
        <w:suppressAutoHyphens/>
        <w:snapToGrid w:val="0"/>
        <w:jc w:val="center"/>
        <w:rPr>
          <w:rFonts w:ascii="Book Antiqua" w:hAnsi="Book Antiqua"/>
          <w:b/>
          <w:bCs/>
          <w:szCs w:val="24"/>
          <w:lang w:val="es-ES"/>
        </w:rPr>
      </w:pPr>
    </w:p>
    <w:p w14:paraId="771800BC" w14:textId="6C081092" w:rsidR="00A06A16" w:rsidRDefault="009F427F" w:rsidP="007F2158">
      <w:pPr>
        <w:snapToGrid w:val="0"/>
        <w:jc w:val="both"/>
        <w:rPr>
          <w:rFonts w:ascii="Book Antiqua" w:hAnsi="Book Antiqua"/>
          <w:lang w:val="es-ES"/>
        </w:rPr>
      </w:pPr>
      <w:r w:rsidRPr="000D2F1E">
        <w:rPr>
          <w:rFonts w:ascii="Book Antiqua" w:hAnsi="Book Antiqua"/>
          <w:lang w:val="es-ES"/>
        </w:rPr>
        <w:tab/>
      </w:r>
      <w:r w:rsidR="001B5218" w:rsidRPr="000D2F1E">
        <w:rPr>
          <w:rFonts w:ascii="Book Antiqua" w:hAnsi="Book Antiqua"/>
          <w:lang w:val="es-ES"/>
        </w:rPr>
        <w:t xml:space="preserve">El Proyecto </w:t>
      </w:r>
      <w:r w:rsidR="000C7129" w:rsidRPr="000D2F1E">
        <w:rPr>
          <w:rFonts w:ascii="Book Antiqua" w:hAnsi="Book Antiqua"/>
          <w:lang w:val="es-ES"/>
        </w:rPr>
        <w:t>de la Cámara 309</w:t>
      </w:r>
      <w:r w:rsidR="001B5218" w:rsidRPr="000D2F1E">
        <w:rPr>
          <w:rFonts w:ascii="Book Antiqua" w:hAnsi="Book Antiqua"/>
          <w:lang w:val="es-ES"/>
        </w:rPr>
        <w:t xml:space="preserve"> </w:t>
      </w:r>
      <w:r w:rsidRPr="000D2F1E">
        <w:rPr>
          <w:rFonts w:ascii="Book Antiqua" w:hAnsi="Book Antiqua"/>
          <w:lang w:val="es-ES"/>
        </w:rPr>
        <w:t xml:space="preserve">(en adelante, </w:t>
      </w:r>
      <w:r w:rsidR="000C7129" w:rsidRPr="000D2F1E">
        <w:rPr>
          <w:rFonts w:ascii="Book Antiqua" w:hAnsi="Book Antiqua"/>
          <w:lang w:val="es-ES"/>
        </w:rPr>
        <w:t>“</w:t>
      </w:r>
      <w:r w:rsidR="000C7129" w:rsidRPr="000D2F1E">
        <w:rPr>
          <w:rFonts w:ascii="Book Antiqua" w:hAnsi="Book Antiqua"/>
          <w:spacing w:val="-3"/>
          <w:lang w:val="es-ES"/>
        </w:rPr>
        <w:t>P. de la C. 309”</w:t>
      </w:r>
      <w:r w:rsidR="005354C6" w:rsidRPr="000D2F1E">
        <w:rPr>
          <w:rFonts w:ascii="Book Antiqua" w:hAnsi="Book Antiqua"/>
          <w:lang w:val="es-ES"/>
        </w:rPr>
        <w:t>)</w:t>
      </w:r>
      <w:r w:rsidR="008C45A9" w:rsidRPr="000D2F1E">
        <w:rPr>
          <w:rFonts w:ascii="Book Antiqua" w:hAnsi="Book Antiqua"/>
          <w:i/>
          <w:iCs/>
          <w:lang w:val="es-ES"/>
        </w:rPr>
        <w:t xml:space="preserve"> </w:t>
      </w:r>
      <w:r w:rsidR="001B5218" w:rsidRPr="000D2F1E">
        <w:rPr>
          <w:rFonts w:ascii="Book Antiqua" w:hAnsi="Book Antiqua"/>
          <w:lang w:val="es-ES"/>
        </w:rPr>
        <w:t>tiene como propósito</w:t>
      </w:r>
      <w:r w:rsidR="000C7129" w:rsidRPr="000D2F1E">
        <w:rPr>
          <w:rFonts w:ascii="Book Antiqua" w:hAnsi="Book Antiqua"/>
          <w:lang w:val="es-ES"/>
        </w:rPr>
        <w:t xml:space="preserve"> enmendar los Artículos 4 y 8 de la Ley Núm. 2 de 23 de febrero de 1988, según enmendada, conocida como “Ley de la Oficina del Panel sobre el Fiscal Especial Independiente”</w:t>
      </w:r>
      <w:r w:rsidR="00514E42">
        <w:rPr>
          <w:rFonts w:ascii="Book Antiqua" w:hAnsi="Book Antiqua"/>
          <w:lang w:val="es-ES"/>
        </w:rPr>
        <w:t xml:space="preserve"> y</w:t>
      </w:r>
      <w:r w:rsidR="000C7129" w:rsidRPr="000D2F1E">
        <w:rPr>
          <w:rFonts w:ascii="Book Antiqua" w:hAnsi="Book Antiqua"/>
          <w:lang w:val="es-ES"/>
        </w:rPr>
        <w:t xml:space="preserve"> enmendar el Artículo 10 de la Ley 15-2017, según enmendada, conocida como “Ley del Inspector General de Puerto Rico”, a los fines de facultar a la Oficina del Inspector General a referir a la Oficina del Panel sobre el Fiscal Especial Independiente cualquier informe, hallazgo o determinación cuando </w:t>
      </w:r>
      <w:bookmarkStart w:id="4" w:name="_Hlk196902784"/>
      <w:r w:rsidR="000C7129" w:rsidRPr="000D2F1E">
        <w:rPr>
          <w:rFonts w:ascii="Book Antiqua" w:hAnsi="Book Antiqua"/>
          <w:lang w:val="es-ES"/>
        </w:rPr>
        <w:t xml:space="preserve">razonablemente el Inspector entienda que existe la posible comisión de </w:t>
      </w:r>
      <w:bookmarkEnd w:id="4"/>
      <w:r w:rsidR="000C7129" w:rsidRPr="000D2F1E">
        <w:rPr>
          <w:rFonts w:ascii="Book Antiqua" w:hAnsi="Book Antiqua"/>
          <w:lang w:val="es-ES"/>
        </w:rPr>
        <w:t>algún delito contra la función pública</w:t>
      </w:r>
      <w:r w:rsidR="008B4451" w:rsidRPr="000D2F1E">
        <w:rPr>
          <w:rFonts w:ascii="Book Antiqua" w:hAnsi="Book Antiqua"/>
          <w:lang w:val="es-ES"/>
        </w:rPr>
        <w:t>.</w:t>
      </w:r>
    </w:p>
    <w:p w14:paraId="57E824E4" w14:textId="77777777" w:rsidR="00514E42" w:rsidRPr="000D2F1E" w:rsidRDefault="00514E42" w:rsidP="007F2158">
      <w:pPr>
        <w:snapToGrid w:val="0"/>
        <w:jc w:val="both"/>
        <w:rPr>
          <w:rFonts w:ascii="Book Antiqua" w:hAnsi="Book Antiqua"/>
          <w:lang w:val="es-ES"/>
        </w:rPr>
      </w:pPr>
    </w:p>
    <w:p w14:paraId="1F2B76FA" w14:textId="4048BEAA" w:rsidR="000C7129" w:rsidRDefault="009F427F" w:rsidP="007F2158">
      <w:pPr>
        <w:tabs>
          <w:tab w:val="left" w:pos="-720"/>
        </w:tabs>
        <w:suppressAutoHyphens/>
        <w:snapToGrid w:val="0"/>
        <w:ind w:firstLine="360"/>
        <w:jc w:val="center"/>
        <w:rPr>
          <w:rFonts w:ascii="Book Antiqua" w:hAnsi="Book Antiqua"/>
          <w:b/>
          <w:bCs/>
          <w:lang w:val="es-ES"/>
        </w:rPr>
      </w:pPr>
      <w:r w:rsidRPr="000D2F1E">
        <w:rPr>
          <w:rFonts w:ascii="Book Antiqua" w:hAnsi="Book Antiqua"/>
          <w:b/>
          <w:bCs/>
          <w:lang w:val="es-ES"/>
        </w:rPr>
        <w:t>ANÁLISIS DE LA MEDIDA</w:t>
      </w:r>
    </w:p>
    <w:p w14:paraId="64183426" w14:textId="77777777" w:rsidR="007F2158" w:rsidRPr="000D2F1E" w:rsidRDefault="007F2158" w:rsidP="007F2158">
      <w:pPr>
        <w:tabs>
          <w:tab w:val="left" w:pos="-720"/>
        </w:tabs>
        <w:suppressAutoHyphens/>
        <w:snapToGrid w:val="0"/>
        <w:ind w:firstLine="360"/>
        <w:jc w:val="center"/>
        <w:rPr>
          <w:rFonts w:ascii="Book Antiqua" w:hAnsi="Book Antiqua"/>
          <w:b/>
          <w:bCs/>
          <w:lang w:val="es-ES"/>
        </w:rPr>
      </w:pPr>
    </w:p>
    <w:p w14:paraId="247860C1" w14:textId="00320FBA" w:rsidR="00891384" w:rsidRDefault="00EE2FB1" w:rsidP="007F2158">
      <w:pPr>
        <w:tabs>
          <w:tab w:val="left" w:pos="-720"/>
        </w:tabs>
        <w:suppressAutoHyphens/>
        <w:snapToGrid w:val="0"/>
        <w:ind w:firstLine="360"/>
        <w:jc w:val="both"/>
        <w:rPr>
          <w:rFonts w:ascii="Book Antiqua" w:hAnsi="Book Antiqua"/>
          <w:lang w:val="es-ES"/>
        </w:rPr>
      </w:pPr>
      <w:r w:rsidRPr="000D2F1E">
        <w:rPr>
          <w:rFonts w:ascii="Book Antiqua" w:hAnsi="Book Antiqua"/>
          <w:lang w:val="es-ES"/>
        </w:rPr>
        <w:tab/>
      </w:r>
      <w:r w:rsidR="008B4451" w:rsidRPr="000D2F1E">
        <w:rPr>
          <w:rFonts w:ascii="Book Antiqua" w:hAnsi="Book Antiqua"/>
          <w:lang w:val="es-ES"/>
        </w:rPr>
        <w:t xml:space="preserve">En esencia, el P. de la C. 309 pretende enmendar la Ley de la Oficina </w:t>
      </w:r>
      <w:r w:rsidR="000D2F1E" w:rsidRPr="000D2F1E">
        <w:rPr>
          <w:rFonts w:ascii="Book Antiqua" w:hAnsi="Book Antiqua"/>
          <w:lang w:val="es-ES"/>
        </w:rPr>
        <w:t>del Panel sobre el Fiscal Especial Independiente</w:t>
      </w:r>
      <w:r w:rsidR="00A66468">
        <w:rPr>
          <w:rFonts w:ascii="Book Antiqua" w:hAnsi="Book Antiqua"/>
          <w:lang w:val="es-ES"/>
        </w:rPr>
        <w:t xml:space="preserve"> (en adelante, la “Ley del FEI”)</w:t>
      </w:r>
      <w:r w:rsidR="000D2F1E" w:rsidRPr="000D2F1E">
        <w:rPr>
          <w:rFonts w:ascii="Book Antiqua" w:hAnsi="Book Antiqua"/>
          <w:lang w:val="es-ES"/>
        </w:rPr>
        <w:t xml:space="preserve"> </w:t>
      </w:r>
      <w:r w:rsidR="008B4451" w:rsidRPr="000D2F1E">
        <w:rPr>
          <w:rFonts w:ascii="Book Antiqua" w:hAnsi="Book Antiqua"/>
          <w:lang w:val="es-ES"/>
        </w:rPr>
        <w:t xml:space="preserve">y la Ley del Inspector General de Puerto Rico para </w:t>
      </w:r>
      <w:r w:rsidR="00694E2B" w:rsidRPr="000D2F1E">
        <w:rPr>
          <w:rFonts w:ascii="Book Antiqua" w:hAnsi="Book Antiqua"/>
          <w:lang w:val="es-ES"/>
        </w:rPr>
        <w:t>crear una nueva obligación: que el</w:t>
      </w:r>
      <w:r w:rsidR="00FA0390">
        <w:rPr>
          <w:rFonts w:ascii="Book Antiqua" w:hAnsi="Book Antiqua"/>
          <w:lang w:val="es-ES"/>
        </w:rPr>
        <w:t xml:space="preserve"> </w:t>
      </w:r>
      <w:r w:rsidR="00694E2B" w:rsidRPr="000D2F1E">
        <w:rPr>
          <w:rFonts w:ascii="Book Antiqua" w:hAnsi="Book Antiqua"/>
          <w:lang w:val="es-ES"/>
        </w:rPr>
        <w:t xml:space="preserve">Panel del FEI tenga que llevar a cabo una investigación </w:t>
      </w:r>
      <w:r w:rsidR="00C90F11" w:rsidRPr="000D2F1E">
        <w:rPr>
          <w:rFonts w:ascii="Book Antiqua" w:hAnsi="Book Antiqua"/>
          <w:lang w:val="es-ES"/>
        </w:rPr>
        <w:t>cuando reciba un informe parcial o final de la Oficina del Inspector General de Puerto Rico</w:t>
      </w:r>
      <w:r w:rsidR="00D453B5">
        <w:rPr>
          <w:rFonts w:ascii="Book Antiqua" w:hAnsi="Book Antiqua"/>
          <w:lang w:val="es-ES"/>
        </w:rPr>
        <w:t xml:space="preserve"> (OIG)</w:t>
      </w:r>
      <w:r w:rsidR="00C90F11" w:rsidRPr="000D2F1E">
        <w:rPr>
          <w:rFonts w:ascii="Book Antiqua" w:hAnsi="Book Antiqua"/>
          <w:lang w:val="es-ES"/>
        </w:rPr>
        <w:t xml:space="preserve">. </w:t>
      </w:r>
      <w:r w:rsidR="00D95EAD" w:rsidRPr="000D2F1E">
        <w:rPr>
          <w:rFonts w:ascii="Book Antiqua" w:hAnsi="Book Antiqua"/>
          <w:lang w:val="es-ES"/>
        </w:rPr>
        <w:t xml:space="preserve">En el caso particular del Panel del FEI, el P. de la C. 309 busca fijar como causa suficiente para activar una investigación </w:t>
      </w:r>
      <w:r w:rsidR="00D453B5">
        <w:rPr>
          <w:rFonts w:ascii="Book Antiqua" w:hAnsi="Book Antiqua"/>
          <w:lang w:val="es-ES"/>
        </w:rPr>
        <w:t xml:space="preserve">de </w:t>
      </w:r>
      <w:r w:rsidR="006F0C08">
        <w:rPr>
          <w:rFonts w:ascii="Book Antiqua" w:hAnsi="Book Antiqua"/>
          <w:lang w:val="es-ES"/>
        </w:rPr>
        <w:t>esta entidad</w:t>
      </w:r>
      <w:r w:rsidR="001C7BC8" w:rsidRPr="000D2F1E">
        <w:rPr>
          <w:rFonts w:ascii="Book Antiqua" w:hAnsi="Book Antiqua"/>
          <w:lang w:val="es-ES"/>
        </w:rPr>
        <w:t xml:space="preserve"> el </w:t>
      </w:r>
      <w:r w:rsidR="0044714B" w:rsidRPr="000D2F1E">
        <w:rPr>
          <w:rFonts w:ascii="Book Antiqua" w:hAnsi="Book Antiqua"/>
          <w:lang w:val="es-ES"/>
        </w:rPr>
        <w:t xml:space="preserve">mero </w:t>
      </w:r>
      <w:r w:rsidR="001C7BC8" w:rsidRPr="000D2F1E">
        <w:rPr>
          <w:rFonts w:ascii="Book Antiqua" w:hAnsi="Book Antiqua"/>
          <w:lang w:val="es-ES"/>
        </w:rPr>
        <w:t xml:space="preserve">recibo de un informe de la OIG. </w:t>
      </w:r>
      <w:r w:rsidR="0044714B" w:rsidRPr="000D2F1E">
        <w:rPr>
          <w:rFonts w:ascii="Book Antiqua" w:hAnsi="Book Antiqua"/>
          <w:lang w:val="es-ES"/>
        </w:rPr>
        <w:t xml:space="preserve">Asimismo, la medida </w:t>
      </w:r>
      <w:r w:rsidR="00317E92" w:rsidRPr="000D2F1E">
        <w:rPr>
          <w:rFonts w:ascii="Book Antiqua" w:hAnsi="Book Antiqua"/>
          <w:lang w:val="es-ES"/>
        </w:rPr>
        <w:t>propone enmendar la Ley de la OIG para que sea obligatorio remitir</w:t>
      </w:r>
      <w:r w:rsidR="001641D1" w:rsidRPr="000D2F1E">
        <w:rPr>
          <w:rFonts w:ascii="Book Antiqua" w:hAnsi="Book Antiqua"/>
          <w:lang w:val="es-ES"/>
        </w:rPr>
        <w:t xml:space="preserve"> al Panel del FEI</w:t>
      </w:r>
      <w:r w:rsidR="00317E92" w:rsidRPr="000D2F1E">
        <w:rPr>
          <w:rFonts w:ascii="Book Antiqua" w:hAnsi="Book Antiqua"/>
          <w:lang w:val="es-ES"/>
        </w:rPr>
        <w:t xml:space="preserve"> </w:t>
      </w:r>
      <w:r w:rsidR="001641D1" w:rsidRPr="000D2F1E">
        <w:rPr>
          <w:rFonts w:ascii="Book Antiqua" w:hAnsi="Book Antiqua"/>
          <w:lang w:val="es-ES"/>
        </w:rPr>
        <w:t>“</w:t>
      </w:r>
      <w:r w:rsidR="001641D1" w:rsidRPr="000D2F1E">
        <w:rPr>
          <w:rFonts w:ascii="Book Antiqua" w:hAnsi="Book Antiqua"/>
          <w:iCs/>
          <w:lang w:val="es-ES"/>
        </w:rPr>
        <w:t xml:space="preserve">cualquier informe de la OIG en el cual razonablemente el Inspector General </w:t>
      </w:r>
      <w:r w:rsidR="001641D1" w:rsidRPr="000D2F1E">
        <w:rPr>
          <w:rFonts w:ascii="Book Antiqua" w:hAnsi="Book Antiqua"/>
          <w:iCs/>
          <w:lang w:val="es-ES"/>
        </w:rPr>
        <w:lastRenderedPageBreak/>
        <w:t>entienda se ha cometido alguna infracción a las leyes sobre la utilización de la propiedad y fondos públicos”.</w:t>
      </w:r>
      <w:r w:rsidR="00317E92" w:rsidRPr="000D2F1E">
        <w:rPr>
          <w:rFonts w:ascii="Book Antiqua" w:hAnsi="Book Antiqua"/>
          <w:lang w:val="es-ES"/>
        </w:rPr>
        <w:t xml:space="preserve"> </w:t>
      </w:r>
    </w:p>
    <w:p w14:paraId="2C81B803" w14:textId="5956AD29" w:rsidR="00FB7AE2" w:rsidRDefault="00110172" w:rsidP="007F2158">
      <w:pPr>
        <w:tabs>
          <w:tab w:val="left" w:pos="-720"/>
        </w:tabs>
        <w:suppressAutoHyphens/>
        <w:snapToGrid w:val="0"/>
        <w:ind w:firstLine="720"/>
        <w:jc w:val="both"/>
        <w:rPr>
          <w:rFonts w:ascii="Book Antiqua" w:hAnsi="Book Antiqua"/>
          <w:lang w:val="es-ES"/>
        </w:rPr>
      </w:pPr>
      <w:r w:rsidRPr="00110172">
        <w:rPr>
          <w:rFonts w:ascii="Book Antiqua" w:hAnsi="Book Antiqua"/>
          <w:lang w:val="es-ES"/>
        </w:rPr>
        <w:t xml:space="preserve">Es decir, el P. de la C. 309 pretende activar de manera automática y desmedida todo el aparato de procesamiento criminal del </w:t>
      </w:r>
      <w:r>
        <w:rPr>
          <w:rFonts w:ascii="Book Antiqua" w:hAnsi="Book Antiqua"/>
          <w:lang w:val="es-ES"/>
        </w:rPr>
        <w:t>Panel del FEI</w:t>
      </w:r>
      <w:r w:rsidRPr="00110172">
        <w:rPr>
          <w:rFonts w:ascii="Book Antiqua" w:hAnsi="Book Antiqua"/>
          <w:lang w:val="es-ES"/>
        </w:rPr>
        <w:t>, delegando en el Inspector General una discreción amplia</w:t>
      </w:r>
      <w:r w:rsidR="00D56051">
        <w:rPr>
          <w:rFonts w:ascii="Book Antiqua" w:hAnsi="Book Antiqua"/>
          <w:lang w:val="es-ES"/>
        </w:rPr>
        <w:t xml:space="preserve"> </w:t>
      </w:r>
      <w:r w:rsidRPr="00110172">
        <w:rPr>
          <w:rFonts w:ascii="Book Antiqua" w:hAnsi="Book Antiqua"/>
          <w:lang w:val="es-ES"/>
        </w:rPr>
        <w:t>y carente de controles claros, para que, según su solo criterio, determine cuándo se ha cometido alguna infracción</w:t>
      </w:r>
      <w:r w:rsidR="008E5266">
        <w:rPr>
          <w:rFonts w:ascii="Book Antiqua" w:hAnsi="Book Antiqua"/>
          <w:lang w:val="es-ES"/>
        </w:rPr>
        <w:t xml:space="preserve"> de índole criminal</w:t>
      </w:r>
      <w:r w:rsidRPr="00110172">
        <w:rPr>
          <w:rFonts w:ascii="Book Antiqua" w:hAnsi="Book Antiqua"/>
          <w:lang w:val="es-ES"/>
        </w:rPr>
        <w:t xml:space="preserve">. </w:t>
      </w:r>
      <w:r w:rsidR="008D3E5F" w:rsidRPr="008D3E5F">
        <w:rPr>
          <w:rFonts w:ascii="Book Antiqua" w:hAnsi="Book Antiqua"/>
          <w:lang w:val="es-ES"/>
        </w:rPr>
        <w:t>Esta apertura no solo debilita la función institucional y constitucional del Departamento de Justicia, sino que además coloca a los funcionarios en un escenario de exposición procesal que podría carecer de la uniformidad y rigurosidad que exige nuestro ordenamiento jurídico.</w:t>
      </w:r>
    </w:p>
    <w:p w14:paraId="03694B85" w14:textId="77777777" w:rsidR="007F2158" w:rsidRPr="00CC66A0" w:rsidRDefault="007F2158" w:rsidP="007F2158">
      <w:pPr>
        <w:tabs>
          <w:tab w:val="left" w:pos="-720"/>
        </w:tabs>
        <w:suppressAutoHyphens/>
        <w:snapToGrid w:val="0"/>
        <w:ind w:firstLine="720"/>
        <w:jc w:val="both"/>
        <w:rPr>
          <w:rFonts w:ascii="Book Antiqua" w:hAnsi="Book Antiqua"/>
          <w:lang w:val="es-ES"/>
        </w:rPr>
      </w:pPr>
    </w:p>
    <w:p w14:paraId="040801D3" w14:textId="0EDF6DBE" w:rsidR="000C52A1" w:rsidRDefault="0096171F" w:rsidP="007F2158">
      <w:pPr>
        <w:tabs>
          <w:tab w:val="left" w:pos="-720"/>
        </w:tabs>
        <w:suppressAutoHyphens/>
        <w:snapToGrid w:val="0"/>
        <w:ind w:firstLine="720"/>
        <w:jc w:val="center"/>
        <w:rPr>
          <w:rFonts w:ascii="Book Antiqua" w:hAnsi="Book Antiqua"/>
          <w:b/>
          <w:bCs/>
          <w:lang w:val="es-ES"/>
        </w:rPr>
      </w:pPr>
      <w:r w:rsidRPr="000D2F1E">
        <w:rPr>
          <w:rFonts w:ascii="Book Antiqua" w:hAnsi="Book Antiqua"/>
          <w:b/>
          <w:bCs/>
          <w:lang w:val="es-ES"/>
        </w:rPr>
        <w:t>C</w:t>
      </w:r>
      <w:r w:rsidR="002C402D" w:rsidRPr="000D2F1E">
        <w:rPr>
          <w:rFonts w:ascii="Book Antiqua" w:hAnsi="Book Antiqua"/>
          <w:b/>
          <w:bCs/>
          <w:lang w:val="es-ES"/>
        </w:rPr>
        <w:t xml:space="preserve">ONCLUSIÓN </w:t>
      </w:r>
    </w:p>
    <w:p w14:paraId="2A6CFAA6" w14:textId="77777777" w:rsidR="007F2158" w:rsidRPr="000D2F1E" w:rsidRDefault="007F2158" w:rsidP="007F2158">
      <w:pPr>
        <w:tabs>
          <w:tab w:val="left" w:pos="-720"/>
        </w:tabs>
        <w:suppressAutoHyphens/>
        <w:snapToGrid w:val="0"/>
        <w:ind w:firstLine="720"/>
        <w:jc w:val="center"/>
        <w:rPr>
          <w:rFonts w:ascii="Book Antiqua" w:hAnsi="Book Antiqua"/>
          <w:b/>
          <w:bCs/>
          <w:lang w:val="es-ES"/>
        </w:rPr>
      </w:pPr>
    </w:p>
    <w:p w14:paraId="12984714" w14:textId="53CF4FDE" w:rsidR="000B071A" w:rsidRDefault="00006DDC" w:rsidP="007F2158">
      <w:pPr>
        <w:tabs>
          <w:tab w:val="left" w:pos="-720"/>
        </w:tabs>
        <w:suppressAutoHyphens/>
        <w:snapToGrid w:val="0"/>
        <w:ind w:firstLine="720"/>
        <w:jc w:val="both"/>
        <w:rPr>
          <w:rFonts w:ascii="Book Antiqua" w:hAnsi="Book Antiqua"/>
          <w:lang w:val="es-ES"/>
        </w:rPr>
      </w:pPr>
      <w:r w:rsidRPr="000D2F1E">
        <w:rPr>
          <w:rFonts w:ascii="Book Antiqua" w:hAnsi="Book Antiqua"/>
          <w:lang w:val="es-ES"/>
        </w:rPr>
        <w:t xml:space="preserve">La </w:t>
      </w:r>
      <w:r w:rsidR="00F86C0C" w:rsidRPr="000D2F1E">
        <w:rPr>
          <w:rFonts w:ascii="Book Antiqua" w:hAnsi="Book Antiqua"/>
          <w:spacing w:val="-3"/>
          <w:lang w:val="es-ES"/>
        </w:rPr>
        <w:t>Comisión de lo Jurídico del Senado de Puerto Rico</w:t>
      </w:r>
      <w:r w:rsidR="006C283C" w:rsidRPr="000D2F1E">
        <w:rPr>
          <w:rFonts w:ascii="Book Antiqua" w:hAnsi="Book Antiqua"/>
          <w:lang w:val="es-ES"/>
        </w:rPr>
        <w:t xml:space="preserve"> </w:t>
      </w:r>
      <w:r w:rsidR="004F6E72" w:rsidRPr="000D2F1E">
        <w:rPr>
          <w:rFonts w:ascii="Book Antiqua" w:hAnsi="Book Antiqua"/>
          <w:lang w:val="es-ES"/>
        </w:rPr>
        <w:t xml:space="preserve">efectuó un análisis minucioso </w:t>
      </w:r>
      <w:r w:rsidR="00201567" w:rsidRPr="000D2F1E">
        <w:rPr>
          <w:rFonts w:ascii="Book Antiqua" w:hAnsi="Book Antiqua"/>
          <w:lang w:val="es-ES"/>
        </w:rPr>
        <w:t xml:space="preserve">del P. </w:t>
      </w:r>
      <w:r w:rsidR="00B6764B" w:rsidRPr="000D2F1E">
        <w:rPr>
          <w:rFonts w:ascii="Book Antiqua" w:hAnsi="Book Antiqua"/>
          <w:lang w:val="es-ES"/>
        </w:rPr>
        <w:t>de la</w:t>
      </w:r>
      <w:r w:rsidR="00201567" w:rsidRPr="000D2F1E">
        <w:rPr>
          <w:rFonts w:ascii="Book Antiqua" w:hAnsi="Book Antiqua"/>
          <w:lang w:val="es-ES"/>
        </w:rPr>
        <w:t xml:space="preserve"> </w:t>
      </w:r>
      <w:r w:rsidR="005B151E" w:rsidRPr="000D2F1E">
        <w:rPr>
          <w:rFonts w:ascii="Book Antiqua" w:hAnsi="Book Antiqua"/>
          <w:lang w:val="es-ES"/>
        </w:rPr>
        <w:t>C</w:t>
      </w:r>
      <w:r w:rsidR="00201567" w:rsidRPr="000D2F1E">
        <w:rPr>
          <w:rFonts w:ascii="Book Antiqua" w:hAnsi="Book Antiqua"/>
          <w:lang w:val="es-ES"/>
        </w:rPr>
        <w:t xml:space="preserve">. </w:t>
      </w:r>
      <w:r w:rsidR="005B151E" w:rsidRPr="000D2F1E">
        <w:rPr>
          <w:rFonts w:ascii="Book Antiqua" w:hAnsi="Book Antiqua"/>
          <w:lang w:val="es-ES"/>
        </w:rPr>
        <w:t>309</w:t>
      </w:r>
      <w:r w:rsidR="004B0664">
        <w:rPr>
          <w:rFonts w:ascii="Book Antiqua" w:hAnsi="Book Antiqua"/>
          <w:lang w:val="es-ES"/>
        </w:rPr>
        <w:t>,</w:t>
      </w:r>
      <w:r w:rsidR="00B702A0" w:rsidRPr="000D2F1E">
        <w:rPr>
          <w:rFonts w:ascii="Book Antiqua" w:hAnsi="Book Antiqua"/>
          <w:lang w:val="es-ES"/>
        </w:rPr>
        <w:t xml:space="preserve"> según fue referid</w:t>
      </w:r>
      <w:r w:rsidR="00201567" w:rsidRPr="000D2F1E">
        <w:rPr>
          <w:rFonts w:ascii="Book Antiqua" w:hAnsi="Book Antiqua"/>
          <w:lang w:val="es-ES"/>
        </w:rPr>
        <w:t>o</w:t>
      </w:r>
      <w:r w:rsidR="00B6764B" w:rsidRPr="000D2F1E">
        <w:rPr>
          <w:rFonts w:ascii="Book Antiqua" w:hAnsi="Book Antiqua"/>
          <w:lang w:val="es-ES"/>
        </w:rPr>
        <w:t xml:space="preserve"> y, además, examinó con detenimiento </w:t>
      </w:r>
      <w:r w:rsidR="004A1504">
        <w:rPr>
          <w:rFonts w:ascii="Book Antiqua" w:hAnsi="Book Antiqua"/>
          <w:lang w:val="es-ES"/>
        </w:rPr>
        <w:t xml:space="preserve">la </w:t>
      </w:r>
      <w:r w:rsidR="004A1504" w:rsidRPr="000D2F1E">
        <w:rPr>
          <w:rFonts w:ascii="Book Antiqua" w:hAnsi="Book Antiqua"/>
          <w:lang w:val="es-ES"/>
        </w:rPr>
        <w:t>Ley de la Oficina del Panel sobre el Fiscal Especial Independiente</w:t>
      </w:r>
      <w:r w:rsidR="004E4976">
        <w:rPr>
          <w:rFonts w:ascii="Book Antiqua" w:hAnsi="Book Antiqua"/>
          <w:lang w:val="es-ES"/>
        </w:rPr>
        <w:t>,</w:t>
      </w:r>
      <w:r w:rsidR="004A1504" w:rsidRPr="000D2F1E">
        <w:rPr>
          <w:rFonts w:ascii="Book Antiqua" w:hAnsi="Book Antiqua"/>
          <w:lang w:val="es-ES"/>
        </w:rPr>
        <w:t xml:space="preserve"> </w:t>
      </w:r>
      <w:r w:rsidR="004B0664">
        <w:rPr>
          <w:rFonts w:ascii="Book Antiqua" w:hAnsi="Book Antiqua"/>
          <w:lang w:val="es-ES"/>
        </w:rPr>
        <w:t xml:space="preserve">la </w:t>
      </w:r>
      <w:r w:rsidR="004A1504" w:rsidRPr="000D2F1E">
        <w:rPr>
          <w:rFonts w:ascii="Book Antiqua" w:hAnsi="Book Antiqua"/>
          <w:lang w:val="es-ES"/>
        </w:rPr>
        <w:t>Ley del Inspector General de Puerto Rico</w:t>
      </w:r>
      <w:r w:rsidR="004E4976">
        <w:rPr>
          <w:rFonts w:ascii="Book Antiqua" w:hAnsi="Book Antiqua"/>
          <w:lang w:val="es-ES"/>
        </w:rPr>
        <w:t xml:space="preserve"> </w:t>
      </w:r>
      <w:r w:rsidR="004B0664">
        <w:rPr>
          <w:rFonts w:ascii="Book Antiqua" w:hAnsi="Book Antiqua"/>
          <w:lang w:val="es-ES"/>
        </w:rPr>
        <w:t>y</w:t>
      </w:r>
      <w:r w:rsidR="004E4976">
        <w:rPr>
          <w:rFonts w:ascii="Book Antiqua" w:hAnsi="Book Antiqua"/>
          <w:lang w:val="es-ES"/>
        </w:rPr>
        <w:t xml:space="preserve"> la jurisprudencia aplicable. </w:t>
      </w:r>
    </w:p>
    <w:p w14:paraId="1DD092C8" w14:textId="0E466AA0" w:rsidR="003859BC" w:rsidRDefault="003859BC" w:rsidP="007F2158">
      <w:pPr>
        <w:tabs>
          <w:tab w:val="left" w:pos="-720"/>
        </w:tabs>
        <w:suppressAutoHyphens/>
        <w:snapToGrid w:val="0"/>
        <w:ind w:firstLine="720"/>
        <w:jc w:val="both"/>
        <w:rPr>
          <w:rFonts w:ascii="Book Antiqua" w:hAnsi="Book Antiqua"/>
          <w:lang w:val="es-ES"/>
        </w:rPr>
      </w:pPr>
      <w:r>
        <w:rPr>
          <w:rFonts w:ascii="Book Antiqua" w:hAnsi="Book Antiqua"/>
          <w:lang w:val="es-ES"/>
        </w:rPr>
        <w:t>La Comisión de lo Jurídico coincide en que la</w:t>
      </w:r>
      <w:r w:rsidRPr="003859BC">
        <w:rPr>
          <w:rFonts w:ascii="Book Antiqua" w:hAnsi="Book Antiqua"/>
          <w:lang w:val="es-ES"/>
        </w:rPr>
        <w:t xml:space="preserve"> aprobación</w:t>
      </w:r>
      <w:r>
        <w:rPr>
          <w:rFonts w:ascii="Book Antiqua" w:hAnsi="Book Antiqua"/>
          <w:lang w:val="es-ES"/>
        </w:rPr>
        <w:t xml:space="preserve"> del P. de la C. 309</w:t>
      </w:r>
      <w:r w:rsidRPr="003859BC">
        <w:rPr>
          <w:rFonts w:ascii="Book Antiqua" w:hAnsi="Book Antiqua"/>
          <w:lang w:val="es-ES"/>
        </w:rPr>
        <w:t xml:space="preserve"> no aporta un valor añadido real al esquema de fiscalización actual, sino que amenaza con fragmentar competencias, duplicar esfuerzos investigativos y generar inseguridad jurídica en la coordinación entre las agencias fiscalizadoras del Estado.</w:t>
      </w:r>
      <w:r w:rsidR="0068348C">
        <w:rPr>
          <w:rFonts w:ascii="Book Antiqua" w:hAnsi="Book Antiqua"/>
          <w:lang w:val="es-ES"/>
        </w:rPr>
        <w:t xml:space="preserve"> Veamos. </w:t>
      </w:r>
    </w:p>
    <w:p w14:paraId="5A48C42F" w14:textId="77777777" w:rsidR="00E66A45" w:rsidRDefault="00F0016E" w:rsidP="007F2158">
      <w:pPr>
        <w:tabs>
          <w:tab w:val="left" w:pos="-720"/>
        </w:tabs>
        <w:suppressAutoHyphens/>
        <w:snapToGrid w:val="0"/>
        <w:ind w:firstLine="720"/>
        <w:jc w:val="both"/>
        <w:rPr>
          <w:rFonts w:ascii="Book Antiqua" w:hAnsi="Book Antiqua"/>
          <w:lang w:val="es-ES"/>
        </w:rPr>
      </w:pPr>
      <w:r>
        <w:rPr>
          <w:rFonts w:ascii="Book Antiqua" w:hAnsi="Book Antiqua"/>
          <w:lang w:val="es-ES"/>
        </w:rPr>
        <w:t xml:space="preserve">En primer lugar, </w:t>
      </w:r>
      <w:r w:rsidR="004742FD">
        <w:rPr>
          <w:rFonts w:ascii="Book Antiqua" w:hAnsi="Book Antiqua"/>
          <w:lang w:val="es-ES"/>
        </w:rPr>
        <w:t xml:space="preserve">conviene </w:t>
      </w:r>
      <w:r w:rsidR="0068348C">
        <w:rPr>
          <w:rFonts w:ascii="Book Antiqua" w:hAnsi="Book Antiqua"/>
          <w:lang w:val="es-ES"/>
        </w:rPr>
        <w:t xml:space="preserve">recordar el carácter exclusivo y excepcional de la </w:t>
      </w:r>
      <w:r w:rsidR="0068348C" w:rsidRPr="000D2F1E">
        <w:rPr>
          <w:rFonts w:ascii="Book Antiqua" w:hAnsi="Book Antiqua"/>
          <w:lang w:val="es-ES"/>
        </w:rPr>
        <w:t>Ley de la Oficina del Panel sobre el Fiscal Especial Independiente</w:t>
      </w:r>
      <w:r w:rsidR="0068348C">
        <w:rPr>
          <w:rFonts w:ascii="Book Antiqua" w:hAnsi="Book Antiqua"/>
          <w:lang w:val="es-ES"/>
        </w:rPr>
        <w:t xml:space="preserve">. </w:t>
      </w:r>
      <w:r w:rsidR="00AA7B4F">
        <w:rPr>
          <w:rFonts w:ascii="Book Antiqua" w:hAnsi="Book Antiqua"/>
          <w:lang w:val="es-ES"/>
        </w:rPr>
        <w:t>Los orígenes del FEI se remontan a la década de</w:t>
      </w:r>
      <w:r w:rsidR="00AF3780">
        <w:rPr>
          <w:rFonts w:ascii="Book Antiqua" w:hAnsi="Book Antiqua"/>
          <w:lang w:val="es-ES"/>
        </w:rPr>
        <w:t xml:space="preserve"> los 80’. </w:t>
      </w:r>
      <w:r w:rsidR="00E478B1">
        <w:rPr>
          <w:rFonts w:ascii="Book Antiqua" w:hAnsi="Book Antiqua"/>
          <w:lang w:val="es-ES"/>
        </w:rPr>
        <w:t xml:space="preserve">En esa época, la Asamblea Legislativa y el Poder Ejecutivo </w:t>
      </w:r>
      <w:r w:rsidR="000B44A6">
        <w:rPr>
          <w:rFonts w:ascii="Book Antiqua" w:hAnsi="Book Antiqua"/>
          <w:lang w:val="es-ES"/>
        </w:rPr>
        <w:t>delegaron en</w:t>
      </w:r>
      <w:r w:rsidR="00E478B1">
        <w:rPr>
          <w:rFonts w:ascii="Book Antiqua" w:hAnsi="Book Antiqua"/>
          <w:lang w:val="es-ES"/>
        </w:rPr>
        <w:t xml:space="preserve"> la recién creada figura del Fiscal Especial Independiente </w:t>
      </w:r>
      <w:r w:rsidR="003205D4">
        <w:rPr>
          <w:rFonts w:ascii="Book Antiqua" w:hAnsi="Book Antiqua"/>
          <w:lang w:val="es-ES"/>
        </w:rPr>
        <w:t>“en la forma</w:t>
      </w:r>
      <w:r w:rsidR="00E478B1">
        <w:rPr>
          <w:rFonts w:ascii="Book Antiqua" w:hAnsi="Book Antiqua"/>
          <w:lang w:val="es-ES"/>
        </w:rPr>
        <w:t xml:space="preserve"> </w:t>
      </w:r>
      <w:r w:rsidR="00AF3780" w:rsidRPr="00AF3780">
        <w:rPr>
          <w:rFonts w:ascii="Book Antiqua" w:hAnsi="Book Antiqua"/>
          <w:lang w:val="es-ES"/>
        </w:rPr>
        <w:t>más amplia concebible, toda investigación y procesamiento por violaciones a la Ley Penal con relación a los incidentes ocurridos en el Cerro Maravilla, Villalba, el 25 de julio de 1978</w:t>
      </w:r>
      <w:r w:rsidR="003205D4">
        <w:rPr>
          <w:rFonts w:ascii="Book Antiqua" w:hAnsi="Book Antiqua"/>
          <w:lang w:val="es-ES"/>
        </w:rPr>
        <w:t>”.</w:t>
      </w:r>
      <w:r w:rsidR="003205D4">
        <w:rPr>
          <w:rStyle w:val="FootnoteReference"/>
          <w:rFonts w:ascii="Book Antiqua" w:hAnsi="Book Antiqua"/>
          <w:lang w:val="es-ES"/>
        </w:rPr>
        <w:footnoteReference w:id="1"/>
      </w:r>
      <w:r w:rsidR="000B44A6">
        <w:rPr>
          <w:rFonts w:ascii="Book Antiqua" w:hAnsi="Book Antiqua"/>
          <w:lang w:val="es-ES"/>
        </w:rPr>
        <w:t xml:space="preserve"> </w:t>
      </w:r>
      <w:r w:rsidR="00912AE7">
        <w:rPr>
          <w:rFonts w:ascii="Book Antiqua" w:hAnsi="Book Antiqua"/>
          <w:lang w:val="es-ES"/>
        </w:rPr>
        <w:t xml:space="preserve">Aunque inicialmente la Ley del FEI se limitó a investigar los sucesos del Cerro Maravilla, la Ley </w:t>
      </w:r>
      <w:r w:rsidR="00F93D2B" w:rsidRPr="00F93D2B">
        <w:rPr>
          <w:rFonts w:ascii="Book Antiqua" w:hAnsi="Book Antiqua"/>
          <w:lang w:val="es-ES"/>
        </w:rPr>
        <w:t>2 de 23 de Febrero de 1988</w:t>
      </w:r>
      <w:r w:rsidR="00571713">
        <w:rPr>
          <w:rFonts w:ascii="Book Antiqua" w:hAnsi="Book Antiqua"/>
          <w:lang w:val="es-ES"/>
        </w:rPr>
        <w:t>, ley vigente,</w:t>
      </w:r>
      <w:r w:rsidR="00F93D2B">
        <w:rPr>
          <w:rFonts w:ascii="Book Antiqua" w:hAnsi="Book Antiqua"/>
          <w:lang w:val="es-ES"/>
        </w:rPr>
        <w:t xml:space="preserve"> amplió </w:t>
      </w:r>
      <w:r w:rsidR="00514646">
        <w:rPr>
          <w:rFonts w:ascii="Book Antiqua" w:hAnsi="Book Antiqua"/>
          <w:lang w:val="es-ES"/>
        </w:rPr>
        <w:t>el</w:t>
      </w:r>
      <w:r w:rsidR="00F93D2B">
        <w:rPr>
          <w:rFonts w:ascii="Book Antiqua" w:hAnsi="Book Antiqua"/>
          <w:lang w:val="es-ES"/>
        </w:rPr>
        <w:t xml:space="preserve"> alcance </w:t>
      </w:r>
      <w:r w:rsidR="00514646">
        <w:rPr>
          <w:rFonts w:ascii="Book Antiqua" w:hAnsi="Book Antiqua"/>
          <w:lang w:val="es-ES"/>
        </w:rPr>
        <w:t xml:space="preserve">del FEI para </w:t>
      </w:r>
      <w:r w:rsidR="00F93D2B" w:rsidRPr="00F93D2B">
        <w:rPr>
          <w:rFonts w:ascii="Book Antiqua" w:hAnsi="Book Antiqua"/>
          <w:lang w:val="es-ES"/>
        </w:rPr>
        <w:t xml:space="preserve">procesar criminalmente </w:t>
      </w:r>
      <w:r w:rsidR="00514646">
        <w:rPr>
          <w:rFonts w:ascii="Book Antiqua" w:hAnsi="Book Antiqua"/>
          <w:lang w:val="es-ES"/>
        </w:rPr>
        <w:t xml:space="preserve">a </w:t>
      </w:r>
      <w:r w:rsidR="00F93D2B" w:rsidRPr="00F93D2B">
        <w:rPr>
          <w:rFonts w:ascii="Book Antiqua" w:hAnsi="Book Antiqua"/>
          <w:lang w:val="es-ES"/>
        </w:rPr>
        <w:t>determinados funcionarios</w:t>
      </w:r>
      <w:r w:rsidR="00F93D2B">
        <w:rPr>
          <w:rStyle w:val="FootnoteReference"/>
          <w:rFonts w:ascii="Book Antiqua" w:hAnsi="Book Antiqua"/>
          <w:lang w:val="es-ES"/>
        </w:rPr>
        <w:footnoteReference w:id="2"/>
      </w:r>
      <w:r w:rsidR="00F93D2B" w:rsidRPr="00F93D2B">
        <w:rPr>
          <w:rFonts w:ascii="Book Antiqua" w:hAnsi="Book Antiqua"/>
          <w:lang w:val="es-ES"/>
        </w:rPr>
        <w:t xml:space="preserve"> que</w:t>
      </w:r>
      <w:r w:rsidR="00F93D2B">
        <w:rPr>
          <w:rFonts w:ascii="Book Antiqua" w:hAnsi="Book Antiqua"/>
          <w:lang w:val="es-ES"/>
        </w:rPr>
        <w:t xml:space="preserve"> </w:t>
      </w:r>
      <w:r w:rsidR="00F93D2B" w:rsidRPr="00F93D2B">
        <w:rPr>
          <w:rFonts w:ascii="Book Antiqua" w:hAnsi="Book Antiqua"/>
          <w:lang w:val="es-ES"/>
        </w:rPr>
        <w:t>incurran en conducta delictiva</w:t>
      </w:r>
      <w:r w:rsidR="00F93D2B">
        <w:rPr>
          <w:rFonts w:ascii="Book Antiqua" w:hAnsi="Book Antiqua"/>
          <w:lang w:val="es-ES"/>
        </w:rPr>
        <w:t xml:space="preserve">. </w:t>
      </w:r>
      <w:r w:rsidR="00415783">
        <w:rPr>
          <w:rFonts w:ascii="Book Antiqua" w:hAnsi="Book Antiqua"/>
          <w:lang w:val="es-ES"/>
        </w:rPr>
        <w:t xml:space="preserve">Sin embargo, y desde entonces, el Tribunal Supremo de Puerto </w:t>
      </w:r>
      <w:r w:rsidR="00415783">
        <w:rPr>
          <w:rFonts w:ascii="Book Antiqua" w:hAnsi="Book Antiqua"/>
          <w:lang w:val="es-ES"/>
        </w:rPr>
        <w:lastRenderedPageBreak/>
        <w:t>Rico ha sentenciado que “[e]</w:t>
      </w:r>
      <w:r w:rsidR="00415783" w:rsidRPr="00415783">
        <w:rPr>
          <w:rFonts w:ascii="Book Antiqua" w:hAnsi="Book Antiqua"/>
          <w:lang w:val="es-ES"/>
        </w:rPr>
        <w:t>n su perspectiva histórica y funcional, el Departamento de Justicia representa la institución que en nuestro sistema de gobierno democrático tiene el deber de velar y hacer cumplir las leyes. Bajo la estructura constitucional--organizada bajo la doctrina de 'separación de Poderes' y de 'pesos y contrapesos'--y el derecho vigente constituye la institución de la Rama Ejecutiva que ostenta la representación del Estado en las causas criminales y civiles</w:t>
      </w:r>
      <w:r w:rsidR="00415783">
        <w:rPr>
          <w:rFonts w:ascii="Book Antiqua" w:hAnsi="Book Antiqua"/>
          <w:lang w:val="es-ES"/>
        </w:rPr>
        <w:t>”.</w:t>
      </w:r>
      <w:r w:rsidR="00415783">
        <w:rPr>
          <w:rStyle w:val="FootnoteReference"/>
          <w:rFonts w:ascii="Book Antiqua" w:hAnsi="Book Antiqua"/>
          <w:lang w:val="es-ES"/>
        </w:rPr>
        <w:footnoteReference w:id="3"/>
      </w:r>
      <w:r w:rsidR="0079599E">
        <w:rPr>
          <w:rFonts w:ascii="Book Antiqua" w:hAnsi="Book Antiqua"/>
          <w:lang w:val="es-ES"/>
        </w:rPr>
        <w:t xml:space="preserve"> También se ha dejado claro que “</w:t>
      </w:r>
      <w:r w:rsidR="00415783" w:rsidRPr="00415783">
        <w:rPr>
          <w:rFonts w:ascii="Book Antiqua" w:hAnsi="Book Antiqua"/>
          <w:lang w:val="es-ES"/>
        </w:rPr>
        <w:t xml:space="preserve">la comparecencia y representación del Estado recae sobre el </w:t>
      </w:r>
      <w:proofErr w:type="gramStart"/>
      <w:r w:rsidR="00415783" w:rsidRPr="00415783">
        <w:rPr>
          <w:rFonts w:ascii="Book Antiqua" w:hAnsi="Book Antiqua"/>
          <w:lang w:val="es-ES"/>
        </w:rPr>
        <w:t>Secretario</w:t>
      </w:r>
      <w:proofErr w:type="gramEnd"/>
      <w:r w:rsidR="00415783" w:rsidRPr="00415783">
        <w:rPr>
          <w:rFonts w:ascii="Book Antiqua" w:hAnsi="Book Antiqua"/>
          <w:lang w:val="es-ES"/>
        </w:rPr>
        <w:t xml:space="preserve"> de Justicia. Éste directamente, o a través de sus fiscales, tiene la misión y representación del Estado en todos los casos criminales</w:t>
      </w:r>
      <w:r w:rsidR="0079599E">
        <w:rPr>
          <w:rFonts w:ascii="Book Antiqua" w:hAnsi="Book Antiqua"/>
          <w:lang w:val="es-ES"/>
        </w:rPr>
        <w:t>”.</w:t>
      </w:r>
      <w:r w:rsidR="0079599E">
        <w:rPr>
          <w:rStyle w:val="FootnoteReference"/>
          <w:rFonts w:ascii="Book Antiqua" w:hAnsi="Book Antiqua"/>
          <w:lang w:val="es-ES"/>
        </w:rPr>
        <w:footnoteReference w:id="4"/>
      </w:r>
      <w:r w:rsidR="00E9016E">
        <w:rPr>
          <w:rFonts w:ascii="Book Antiqua" w:hAnsi="Book Antiqua"/>
          <w:lang w:val="es-ES"/>
        </w:rPr>
        <w:t xml:space="preserve"> </w:t>
      </w:r>
    </w:p>
    <w:p w14:paraId="23CD41ED" w14:textId="135C62D8" w:rsidR="00415783" w:rsidRDefault="00E9016E" w:rsidP="007F2158">
      <w:pPr>
        <w:tabs>
          <w:tab w:val="left" w:pos="-720"/>
        </w:tabs>
        <w:suppressAutoHyphens/>
        <w:snapToGrid w:val="0"/>
        <w:ind w:firstLine="720"/>
        <w:jc w:val="both"/>
        <w:rPr>
          <w:rFonts w:ascii="Book Antiqua" w:hAnsi="Book Antiqua"/>
          <w:lang w:val="es-ES"/>
        </w:rPr>
      </w:pPr>
      <w:r>
        <w:rPr>
          <w:rFonts w:ascii="Book Antiqua" w:hAnsi="Book Antiqua"/>
          <w:lang w:val="es-ES"/>
        </w:rPr>
        <w:t>Tan solo dos años luego de la aprobación de la vigente Ley del FEI, el Tribunal Supremo aclaró lo siguiente:</w:t>
      </w:r>
    </w:p>
    <w:p w14:paraId="137EE07E" w14:textId="77777777" w:rsidR="007F2158" w:rsidRDefault="007F2158" w:rsidP="007F2158">
      <w:pPr>
        <w:tabs>
          <w:tab w:val="left" w:pos="-720"/>
        </w:tabs>
        <w:suppressAutoHyphens/>
        <w:snapToGrid w:val="0"/>
        <w:ind w:firstLine="720"/>
        <w:jc w:val="both"/>
        <w:rPr>
          <w:rFonts w:ascii="Book Antiqua" w:hAnsi="Book Antiqua"/>
          <w:lang w:val="es-ES"/>
        </w:rPr>
      </w:pPr>
    </w:p>
    <w:p w14:paraId="454976A0" w14:textId="1B33B85D" w:rsidR="00AF3780" w:rsidRDefault="00E9016E" w:rsidP="007F2158">
      <w:pPr>
        <w:tabs>
          <w:tab w:val="left" w:pos="-720"/>
        </w:tabs>
        <w:suppressAutoHyphens/>
        <w:snapToGrid w:val="0"/>
        <w:ind w:left="720" w:right="720"/>
        <w:jc w:val="both"/>
        <w:rPr>
          <w:rFonts w:ascii="Book Antiqua" w:hAnsi="Book Antiqua"/>
          <w:lang w:val="es-ES"/>
        </w:rPr>
      </w:pPr>
      <w:r w:rsidRPr="00E9016E">
        <w:rPr>
          <w:rFonts w:ascii="Book Antiqua" w:hAnsi="Book Antiqua"/>
          <w:lang w:val="es-ES"/>
        </w:rPr>
        <w:t xml:space="preserve">No podemos perder de perspectiva que toda concesión de jurisdicción, por más amplia y abarcadora que resulte, necesariamente conlleva unos límites. En el caso de los Fiscales Especiales </w:t>
      </w:r>
      <w:r>
        <w:rPr>
          <w:rFonts w:ascii="Book Antiqua" w:hAnsi="Book Antiqua"/>
          <w:lang w:val="es-ES"/>
        </w:rPr>
        <w:t>–a quienes</w:t>
      </w:r>
      <w:r w:rsidRPr="00E9016E">
        <w:rPr>
          <w:rFonts w:ascii="Book Antiqua" w:hAnsi="Book Antiqua"/>
          <w:lang w:val="es-ES"/>
        </w:rPr>
        <w:t xml:space="preserve"> por su naturaleza excepcional se les concede una encomienda específica</w:t>
      </w:r>
      <w:r>
        <w:rPr>
          <w:rFonts w:ascii="Book Antiqua" w:hAnsi="Book Antiqua"/>
          <w:lang w:val="es-ES"/>
        </w:rPr>
        <w:t>– resulta</w:t>
      </w:r>
      <w:r w:rsidRPr="00E9016E">
        <w:rPr>
          <w:rFonts w:ascii="Book Antiqua" w:hAnsi="Book Antiqua"/>
          <w:lang w:val="es-ES"/>
        </w:rPr>
        <w:t xml:space="preserve"> </w:t>
      </w:r>
      <w:r w:rsidR="00044B5A">
        <w:rPr>
          <w:rFonts w:ascii="Book Antiqua" w:hAnsi="Book Antiqua"/>
          <w:lang w:val="es-ES"/>
        </w:rPr>
        <w:t>de particular</w:t>
      </w:r>
      <w:r w:rsidRPr="00E9016E">
        <w:rPr>
          <w:rFonts w:ascii="Book Antiqua" w:hAnsi="Book Antiqua"/>
          <w:lang w:val="es-ES"/>
        </w:rPr>
        <w:t xml:space="preserve"> importancia que deslindemos cuidadosamente el alcance de la jurisdicción de éstos, tomando en consideración, repetimos, que como regla general </w:t>
      </w:r>
      <w:r w:rsidRPr="00A83095">
        <w:rPr>
          <w:rFonts w:ascii="Book Antiqua" w:hAnsi="Book Antiqua"/>
          <w:b/>
          <w:bCs/>
          <w:lang w:val="es-ES"/>
        </w:rPr>
        <w:t>la jurisdicción para investigar y procesar los delitos que se cometen en Puerto Rico corresponde al Departamento de Justicia</w:t>
      </w:r>
      <w:r w:rsidRPr="00E9016E">
        <w:rPr>
          <w:rFonts w:ascii="Book Antiqua" w:hAnsi="Book Antiqua"/>
          <w:lang w:val="es-ES"/>
        </w:rPr>
        <w:t xml:space="preserve"> y que, </w:t>
      </w:r>
      <w:r w:rsidRPr="00044B5A">
        <w:rPr>
          <w:rFonts w:ascii="Book Antiqua" w:hAnsi="Book Antiqua"/>
          <w:b/>
          <w:bCs/>
          <w:lang w:val="es-ES"/>
        </w:rPr>
        <w:t>sólo en circunstancias excepcionales, se justifica la intervención de un fiscal especial</w:t>
      </w:r>
      <w:r w:rsidRPr="00E9016E">
        <w:rPr>
          <w:rFonts w:ascii="Book Antiqua" w:hAnsi="Book Antiqua"/>
          <w:lang w:val="es-ES"/>
        </w:rPr>
        <w:t>; no teniendo dichos funcionarios la facultad para determinar el alcance de su propia jurisdicción.</w:t>
      </w:r>
      <w:r w:rsidR="00044B5A">
        <w:rPr>
          <w:rStyle w:val="FootnoteReference"/>
          <w:rFonts w:ascii="Book Antiqua" w:hAnsi="Book Antiqua"/>
          <w:lang w:val="es-ES"/>
        </w:rPr>
        <w:footnoteReference w:id="5"/>
      </w:r>
    </w:p>
    <w:p w14:paraId="423DAC4E" w14:textId="77777777" w:rsidR="007F2158" w:rsidRPr="00AF3780" w:rsidRDefault="007F2158" w:rsidP="007F2158">
      <w:pPr>
        <w:tabs>
          <w:tab w:val="left" w:pos="-720"/>
        </w:tabs>
        <w:suppressAutoHyphens/>
        <w:snapToGrid w:val="0"/>
        <w:ind w:left="720" w:right="720"/>
        <w:jc w:val="both"/>
        <w:rPr>
          <w:rFonts w:ascii="Book Antiqua" w:hAnsi="Book Antiqua"/>
          <w:lang w:val="es-ES"/>
        </w:rPr>
      </w:pPr>
    </w:p>
    <w:p w14:paraId="5FF23BF5" w14:textId="10DBE82D" w:rsidR="007D13E7" w:rsidRPr="007D13E7" w:rsidRDefault="00922637" w:rsidP="007F2158">
      <w:pPr>
        <w:tabs>
          <w:tab w:val="left" w:pos="-720"/>
        </w:tabs>
        <w:suppressAutoHyphens/>
        <w:snapToGrid w:val="0"/>
        <w:ind w:firstLine="720"/>
        <w:jc w:val="both"/>
        <w:rPr>
          <w:rFonts w:ascii="Book Antiqua" w:hAnsi="Book Antiqua"/>
          <w:lang w:val="es-ES"/>
        </w:rPr>
      </w:pPr>
      <w:r>
        <w:rPr>
          <w:rFonts w:ascii="Book Antiqua" w:hAnsi="Book Antiqua"/>
          <w:lang w:val="es-ES"/>
        </w:rPr>
        <w:t xml:space="preserve">Así las cosas, el Tribunal </w:t>
      </w:r>
      <w:r w:rsidR="00514646">
        <w:rPr>
          <w:rFonts w:ascii="Book Antiqua" w:hAnsi="Book Antiqua"/>
          <w:lang w:val="es-ES"/>
        </w:rPr>
        <w:t xml:space="preserve">Supremo </w:t>
      </w:r>
      <w:r w:rsidR="004E469A">
        <w:rPr>
          <w:rFonts w:ascii="Book Antiqua" w:hAnsi="Book Antiqua"/>
          <w:lang w:val="es-ES"/>
        </w:rPr>
        <w:t xml:space="preserve">de Puerto Rico </w:t>
      </w:r>
      <w:r w:rsidR="00251FCF">
        <w:rPr>
          <w:rFonts w:ascii="Book Antiqua" w:hAnsi="Book Antiqua"/>
          <w:lang w:val="es-ES"/>
        </w:rPr>
        <w:t>ha dictaminado que, al</w:t>
      </w:r>
      <w:r w:rsidR="007D13E7">
        <w:rPr>
          <w:rFonts w:ascii="Book Antiqua" w:hAnsi="Book Antiqua"/>
          <w:lang w:val="es-ES"/>
        </w:rPr>
        <w:t xml:space="preserve"> interpretar un estatuto como la Ley del FEI (por su naturaleza excepcional), es necesario adoptar</w:t>
      </w:r>
      <w:r w:rsidR="007D13E7" w:rsidRPr="007D13E7">
        <w:rPr>
          <w:rFonts w:ascii="Book Antiqua" w:hAnsi="Book Antiqua"/>
          <w:lang w:val="es-ES"/>
        </w:rPr>
        <w:t xml:space="preserve"> </w:t>
      </w:r>
      <w:r w:rsidR="007D13E7">
        <w:rPr>
          <w:rFonts w:ascii="Book Antiqua" w:hAnsi="Book Antiqua"/>
          <w:lang w:val="es-ES"/>
        </w:rPr>
        <w:t>“</w:t>
      </w:r>
      <w:r w:rsidR="007D13E7" w:rsidRPr="007D13E7">
        <w:rPr>
          <w:rFonts w:ascii="Book Antiqua" w:hAnsi="Book Antiqua"/>
          <w:lang w:val="es-ES"/>
        </w:rPr>
        <w:t>un enfoque restrictivo cuando nos enfrentamos a las excepciones de un principio general</w:t>
      </w:r>
      <w:r w:rsidR="00251FCF">
        <w:rPr>
          <w:rFonts w:ascii="Book Antiqua" w:hAnsi="Book Antiqua"/>
          <w:lang w:val="es-ES"/>
        </w:rPr>
        <w:t>”</w:t>
      </w:r>
      <w:r w:rsidR="007D13E7">
        <w:rPr>
          <w:rFonts w:ascii="Book Antiqua" w:hAnsi="Book Antiqua"/>
          <w:lang w:val="es-ES"/>
        </w:rPr>
        <w:t>.</w:t>
      </w:r>
      <w:r w:rsidR="007D13E7">
        <w:rPr>
          <w:rStyle w:val="FootnoteReference"/>
          <w:rFonts w:ascii="Book Antiqua" w:hAnsi="Book Antiqua"/>
          <w:lang w:val="es-ES"/>
        </w:rPr>
        <w:footnoteReference w:id="6"/>
      </w:r>
      <w:r w:rsidR="00C94BDA">
        <w:rPr>
          <w:rFonts w:ascii="Book Antiqua" w:hAnsi="Book Antiqua"/>
          <w:lang w:val="es-ES"/>
        </w:rPr>
        <w:t xml:space="preserve"> A tono con esa norma: “</w:t>
      </w:r>
      <w:r w:rsidR="00C94BDA" w:rsidRPr="00C94BDA">
        <w:rPr>
          <w:rFonts w:ascii="Book Antiqua" w:hAnsi="Book Antiqua"/>
          <w:lang w:val="es-ES"/>
        </w:rPr>
        <w:t xml:space="preserve">la autorización que se concede a funcionarios públicos para casos específicos, y no en forma general, </w:t>
      </w:r>
      <w:r w:rsidR="00C94BDA" w:rsidRPr="004E469A">
        <w:rPr>
          <w:rFonts w:ascii="Book Antiqua" w:hAnsi="Book Antiqua"/>
          <w:b/>
          <w:bCs/>
          <w:lang w:val="es-ES"/>
        </w:rPr>
        <w:t>debe ser interpretada de manera restrictiva</w:t>
      </w:r>
      <w:r w:rsidR="00C94BDA">
        <w:rPr>
          <w:rFonts w:ascii="Book Antiqua" w:hAnsi="Book Antiqua"/>
          <w:lang w:val="es-ES"/>
        </w:rPr>
        <w:t>”.</w:t>
      </w:r>
      <w:r w:rsidR="00C94BDA">
        <w:rPr>
          <w:rStyle w:val="FootnoteReference"/>
          <w:rFonts w:ascii="Book Antiqua" w:hAnsi="Book Antiqua"/>
          <w:lang w:val="es-ES"/>
        </w:rPr>
        <w:footnoteReference w:id="7"/>
      </w:r>
    </w:p>
    <w:p w14:paraId="5A770622" w14:textId="712B6C1B" w:rsidR="0057054C" w:rsidRDefault="007D13E7" w:rsidP="007F2158">
      <w:pPr>
        <w:tabs>
          <w:tab w:val="left" w:pos="-720"/>
        </w:tabs>
        <w:suppressAutoHyphens/>
        <w:snapToGrid w:val="0"/>
        <w:jc w:val="both"/>
        <w:rPr>
          <w:rFonts w:ascii="Book Antiqua" w:hAnsi="Book Antiqua"/>
          <w:lang w:val="es-ES"/>
        </w:rPr>
      </w:pPr>
      <w:r>
        <w:rPr>
          <w:rFonts w:ascii="Book Antiqua" w:hAnsi="Book Antiqua"/>
          <w:lang w:val="es-ES"/>
        </w:rPr>
        <w:lastRenderedPageBreak/>
        <w:tab/>
      </w:r>
      <w:r w:rsidR="00112C2C">
        <w:rPr>
          <w:rFonts w:ascii="Book Antiqua" w:hAnsi="Book Antiqua"/>
          <w:lang w:val="es-ES"/>
        </w:rPr>
        <w:t xml:space="preserve">En segundo lugar, </w:t>
      </w:r>
      <w:r w:rsidR="00A82C32">
        <w:rPr>
          <w:rFonts w:ascii="Book Antiqua" w:hAnsi="Book Antiqua"/>
          <w:lang w:val="es-ES"/>
        </w:rPr>
        <w:t xml:space="preserve">el estado de derecho actual ya contempla la obligación de </w:t>
      </w:r>
      <w:r w:rsidR="00A82C32" w:rsidRPr="00A82C32">
        <w:rPr>
          <w:rFonts w:ascii="Book Antiqua" w:hAnsi="Book Antiqua"/>
          <w:lang w:val="es-ES"/>
        </w:rPr>
        <w:t>someter inmediatamente al Departamento de Justicia</w:t>
      </w:r>
      <w:r w:rsidR="00A82C32">
        <w:rPr>
          <w:rFonts w:ascii="Book Antiqua" w:hAnsi="Book Antiqua"/>
          <w:lang w:val="es-ES"/>
        </w:rPr>
        <w:t xml:space="preserve"> </w:t>
      </w:r>
      <w:r w:rsidR="00A82C32" w:rsidRPr="00A82C32">
        <w:rPr>
          <w:rFonts w:ascii="Book Antiqua" w:hAnsi="Book Antiqua"/>
          <w:lang w:val="es-ES"/>
        </w:rPr>
        <w:t>cualquier informe de la OIG</w:t>
      </w:r>
      <w:r w:rsidR="00A82C32">
        <w:rPr>
          <w:rFonts w:ascii="Book Antiqua" w:hAnsi="Book Antiqua"/>
          <w:lang w:val="es-ES"/>
        </w:rPr>
        <w:t xml:space="preserve"> </w:t>
      </w:r>
      <w:r w:rsidR="00A82C32" w:rsidRPr="00A82C32">
        <w:rPr>
          <w:rFonts w:ascii="Book Antiqua" w:hAnsi="Book Antiqua"/>
          <w:lang w:val="es-ES"/>
        </w:rPr>
        <w:t>en el cual razonablemente el Inspector General entienda se ha cometido alguna infracción a las</w:t>
      </w:r>
      <w:r w:rsidR="00A82C32">
        <w:rPr>
          <w:rFonts w:ascii="Book Antiqua" w:hAnsi="Book Antiqua"/>
          <w:lang w:val="es-ES"/>
        </w:rPr>
        <w:t xml:space="preserve"> </w:t>
      </w:r>
      <w:r w:rsidR="00A82C32" w:rsidRPr="00A82C32">
        <w:rPr>
          <w:rFonts w:ascii="Book Antiqua" w:hAnsi="Book Antiqua"/>
          <w:lang w:val="es-ES"/>
        </w:rPr>
        <w:t>leyes sobre la utilización de la propiedad y fondos públicos</w:t>
      </w:r>
      <w:r w:rsidR="00A82C32">
        <w:rPr>
          <w:rFonts w:ascii="Book Antiqua" w:hAnsi="Book Antiqua"/>
          <w:lang w:val="es-ES"/>
        </w:rPr>
        <w:t>.</w:t>
      </w:r>
      <w:r w:rsidR="00A82C32">
        <w:rPr>
          <w:rStyle w:val="FootnoteReference"/>
          <w:rFonts w:ascii="Book Antiqua" w:hAnsi="Book Antiqua"/>
          <w:lang w:val="es-ES"/>
        </w:rPr>
        <w:footnoteReference w:id="8"/>
      </w:r>
      <w:r w:rsidR="004742FD">
        <w:rPr>
          <w:rFonts w:ascii="Book Antiqua" w:hAnsi="Book Antiqua"/>
          <w:lang w:val="es-ES"/>
        </w:rPr>
        <w:t xml:space="preserve"> </w:t>
      </w:r>
      <w:r w:rsidR="008A02DE">
        <w:rPr>
          <w:rFonts w:ascii="Book Antiqua" w:hAnsi="Book Antiqua"/>
          <w:lang w:val="es-ES"/>
        </w:rPr>
        <w:t>Recordemos que la rueda de la justicia, en el caso</w:t>
      </w:r>
      <w:r w:rsidR="00576616">
        <w:rPr>
          <w:rFonts w:ascii="Book Antiqua" w:hAnsi="Book Antiqua"/>
          <w:lang w:val="es-ES"/>
        </w:rPr>
        <w:t xml:space="preserve"> excepcional</w:t>
      </w:r>
      <w:r w:rsidR="008A02DE">
        <w:rPr>
          <w:rFonts w:ascii="Book Antiqua" w:hAnsi="Book Antiqua"/>
          <w:lang w:val="es-ES"/>
        </w:rPr>
        <w:t xml:space="preserve"> del Panel del FEI, comienza en el Departamento de Justicia. De manera que si </w:t>
      </w:r>
      <w:r w:rsidR="00E67121" w:rsidRPr="00E67121">
        <w:rPr>
          <w:rFonts w:ascii="Book Antiqua" w:hAnsi="Book Antiqua"/>
          <w:lang w:val="es-ES"/>
        </w:rPr>
        <w:t>el Secretario</w:t>
      </w:r>
      <w:r w:rsidR="00E67121">
        <w:rPr>
          <w:rFonts w:ascii="Book Antiqua" w:hAnsi="Book Antiqua"/>
          <w:lang w:val="es-ES"/>
        </w:rPr>
        <w:t xml:space="preserve"> de Justicia</w:t>
      </w:r>
      <w:r w:rsidR="00E67121" w:rsidRPr="00E67121">
        <w:rPr>
          <w:rFonts w:ascii="Book Antiqua" w:hAnsi="Book Antiqua"/>
          <w:lang w:val="es-ES"/>
        </w:rPr>
        <w:t xml:space="preserve"> recibiere información bajo juramento que a su juicio constituyera causa</w:t>
      </w:r>
      <w:r w:rsidR="00E67121">
        <w:rPr>
          <w:rFonts w:ascii="Book Antiqua" w:hAnsi="Book Antiqua"/>
          <w:lang w:val="es-ES"/>
        </w:rPr>
        <w:t xml:space="preserve"> </w:t>
      </w:r>
      <w:r w:rsidR="00E67121" w:rsidRPr="00E67121">
        <w:rPr>
          <w:rFonts w:ascii="Book Antiqua" w:hAnsi="Book Antiqua"/>
          <w:lang w:val="es-ES"/>
        </w:rPr>
        <w:t>suficiente para investigar</w:t>
      </w:r>
      <w:r w:rsidR="00A66468">
        <w:rPr>
          <w:rFonts w:ascii="Book Antiqua" w:hAnsi="Book Antiqua"/>
          <w:lang w:val="es-ES"/>
        </w:rPr>
        <w:t xml:space="preserve">, </w:t>
      </w:r>
      <w:r w:rsidR="00E67121" w:rsidRPr="00E67121">
        <w:rPr>
          <w:rFonts w:ascii="Book Antiqua" w:hAnsi="Book Antiqua"/>
          <w:lang w:val="es-ES"/>
        </w:rPr>
        <w:t>efectuará</w:t>
      </w:r>
      <w:r w:rsidR="0019349C">
        <w:rPr>
          <w:rFonts w:ascii="Book Antiqua" w:hAnsi="Book Antiqua"/>
          <w:lang w:val="es-ES"/>
        </w:rPr>
        <w:t xml:space="preserve"> </w:t>
      </w:r>
      <w:r w:rsidR="00E67121" w:rsidRPr="00E67121">
        <w:rPr>
          <w:rFonts w:ascii="Book Antiqua" w:hAnsi="Book Antiqua"/>
          <w:lang w:val="es-ES"/>
        </w:rPr>
        <w:t>una investigación preliminar y solicitará el nombramiento de un Fiscal Especial cuando</w:t>
      </w:r>
      <w:r w:rsidR="0019349C">
        <w:rPr>
          <w:rFonts w:ascii="Book Antiqua" w:hAnsi="Book Antiqua"/>
          <w:lang w:val="es-ES"/>
        </w:rPr>
        <w:t xml:space="preserve"> </w:t>
      </w:r>
      <w:r w:rsidR="00E67121" w:rsidRPr="00E67121">
        <w:rPr>
          <w:rFonts w:ascii="Book Antiqua" w:hAnsi="Book Antiqua"/>
          <w:lang w:val="es-ES"/>
        </w:rPr>
        <w:t xml:space="preserve">determine que, de ser la investigación realizada por el </w:t>
      </w:r>
      <w:r w:rsidR="00FC6E31">
        <w:rPr>
          <w:rFonts w:ascii="Book Antiqua" w:hAnsi="Book Antiqua"/>
          <w:lang w:val="es-ES"/>
        </w:rPr>
        <w:t>Departamento</w:t>
      </w:r>
      <w:r w:rsidR="00E67121" w:rsidRPr="00E67121">
        <w:rPr>
          <w:rFonts w:ascii="Book Antiqua" w:hAnsi="Book Antiqua"/>
          <w:lang w:val="es-ES"/>
        </w:rPr>
        <w:t xml:space="preserve"> de Justicia, podría resultar en</w:t>
      </w:r>
      <w:r w:rsidR="0019349C">
        <w:rPr>
          <w:rFonts w:ascii="Book Antiqua" w:hAnsi="Book Antiqua"/>
          <w:lang w:val="es-ES"/>
        </w:rPr>
        <w:t xml:space="preserve"> </w:t>
      </w:r>
      <w:r w:rsidR="00E67121" w:rsidRPr="00E67121">
        <w:rPr>
          <w:rFonts w:ascii="Book Antiqua" w:hAnsi="Book Antiqua"/>
          <w:lang w:val="es-ES"/>
        </w:rPr>
        <w:t>algún conflicto de interés</w:t>
      </w:r>
      <w:r w:rsidR="00A5725C">
        <w:rPr>
          <w:rFonts w:ascii="Book Antiqua" w:hAnsi="Book Antiqua"/>
          <w:lang w:val="es-ES"/>
        </w:rPr>
        <w:t>.</w:t>
      </w:r>
      <w:r w:rsidR="00A5725C">
        <w:rPr>
          <w:rStyle w:val="FootnoteReference"/>
          <w:rFonts w:ascii="Book Antiqua" w:hAnsi="Book Antiqua"/>
          <w:lang w:val="es-ES"/>
        </w:rPr>
        <w:footnoteReference w:id="9"/>
      </w:r>
      <w:r w:rsidR="00A5725C">
        <w:rPr>
          <w:rFonts w:ascii="Book Antiqua" w:hAnsi="Book Antiqua"/>
          <w:lang w:val="es-ES"/>
        </w:rPr>
        <w:t xml:space="preserve"> Por el contrario, si </w:t>
      </w:r>
      <w:r w:rsidR="00A5725C" w:rsidRPr="00A5725C">
        <w:rPr>
          <w:rFonts w:ascii="Book Antiqua" w:hAnsi="Book Antiqua"/>
          <w:lang w:val="es-ES"/>
        </w:rPr>
        <w:t>no existe conflicto de interés alguno que impida la</w:t>
      </w:r>
      <w:r w:rsidR="00A5725C">
        <w:rPr>
          <w:rFonts w:ascii="Book Antiqua" w:hAnsi="Book Antiqua"/>
          <w:lang w:val="es-ES"/>
        </w:rPr>
        <w:t xml:space="preserve"> </w:t>
      </w:r>
      <w:r w:rsidR="00A5725C" w:rsidRPr="00A5725C">
        <w:rPr>
          <w:rFonts w:ascii="Book Antiqua" w:hAnsi="Book Antiqua"/>
          <w:lang w:val="es-ES"/>
        </w:rPr>
        <w:t>investigación objetiva por parte del Departamento de Justicia, el Secretario</w:t>
      </w:r>
      <w:r w:rsidR="00A5725C">
        <w:rPr>
          <w:rFonts w:ascii="Book Antiqua" w:hAnsi="Book Antiqua"/>
          <w:lang w:val="es-ES"/>
        </w:rPr>
        <w:t xml:space="preserve"> </w:t>
      </w:r>
      <w:r w:rsidR="00A5725C" w:rsidRPr="00A5725C">
        <w:rPr>
          <w:rFonts w:ascii="Book Antiqua" w:hAnsi="Book Antiqua"/>
          <w:lang w:val="es-ES"/>
        </w:rPr>
        <w:t>designará el funcionario que conducirá la investigación y el Departamento de Justicia asumirá</w:t>
      </w:r>
      <w:r w:rsidR="00A66468">
        <w:rPr>
          <w:rFonts w:ascii="Book Antiqua" w:hAnsi="Book Antiqua"/>
          <w:lang w:val="es-ES"/>
        </w:rPr>
        <w:t xml:space="preserve"> </w:t>
      </w:r>
      <w:r w:rsidR="00A5725C" w:rsidRPr="00A5725C">
        <w:rPr>
          <w:rFonts w:ascii="Book Antiqua" w:hAnsi="Book Antiqua"/>
          <w:lang w:val="es-ES"/>
        </w:rPr>
        <w:t xml:space="preserve">jurisdicción sobre la </w:t>
      </w:r>
      <w:r w:rsidR="00367F70">
        <w:rPr>
          <w:rFonts w:ascii="Book Antiqua" w:hAnsi="Book Antiqua"/>
          <w:lang w:val="es-ES"/>
        </w:rPr>
        <w:t>investigación.</w:t>
      </w:r>
      <w:r w:rsidR="00367F70">
        <w:rPr>
          <w:rStyle w:val="FootnoteReference"/>
          <w:rFonts w:ascii="Book Antiqua" w:hAnsi="Book Antiqua"/>
          <w:lang w:val="es-ES"/>
        </w:rPr>
        <w:footnoteReference w:id="10"/>
      </w:r>
      <w:r w:rsidR="00AE1F08">
        <w:rPr>
          <w:rFonts w:ascii="Book Antiqua" w:hAnsi="Book Antiqua"/>
          <w:lang w:val="es-ES"/>
        </w:rPr>
        <w:t xml:space="preserve"> </w:t>
      </w:r>
    </w:p>
    <w:p w14:paraId="616FA8E1" w14:textId="28D472F1" w:rsidR="00042BE6" w:rsidRDefault="0057054C" w:rsidP="007F2158">
      <w:pPr>
        <w:tabs>
          <w:tab w:val="left" w:pos="-720"/>
        </w:tabs>
        <w:suppressAutoHyphens/>
        <w:snapToGrid w:val="0"/>
        <w:jc w:val="both"/>
        <w:rPr>
          <w:rFonts w:ascii="Book Antiqua" w:hAnsi="Book Antiqua"/>
          <w:lang w:val="es-ES"/>
        </w:rPr>
      </w:pPr>
      <w:r>
        <w:rPr>
          <w:rFonts w:ascii="Book Antiqua" w:hAnsi="Book Antiqua"/>
          <w:lang w:val="es-ES"/>
        </w:rPr>
        <w:tab/>
      </w:r>
      <w:r w:rsidR="00A24FF3" w:rsidRPr="00A24FF3">
        <w:rPr>
          <w:rFonts w:ascii="Book Antiqua" w:hAnsi="Book Antiqua"/>
          <w:lang w:val="es-ES"/>
        </w:rPr>
        <w:t>Así</w:t>
      </w:r>
      <w:r w:rsidR="00A24FF3">
        <w:rPr>
          <w:rFonts w:ascii="Book Antiqua" w:hAnsi="Book Antiqua"/>
          <w:lang w:val="es-ES"/>
        </w:rPr>
        <w:t>, pues</w:t>
      </w:r>
      <w:r w:rsidR="00A24FF3" w:rsidRPr="00A24FF3">
        <w:rPr>
          <w:rFonts w:ascii="Book Antiqua" w:hAnsi="Book Antiqua"/>
          <w:lang w:val="es-ES"/>
        </w:rPr>
        <w:t xml:space="preserve">, la intervención del Departamento de Justicia en </w:t>
      </w:r>
      <w:r>
        <w:rPr>
          <w:rFonts w:ascii="Book Antiqua" w:hAnsi="Book Antiqua"/>
          <w:lang w:val="es-ES"/>
        </w:rPr>
        <w:t>esta</w:t>
      </w:r>
      <w:r w:rsidR="00A24FF3" w:rsidRPr="00A24FF3">
        <w:rPr>
          <w:rFonts w:ascii="Book Antiqua" w:hAnsi="Book Antiqua"/>
          <w:lang w:val="es-ES"/>
        </w:rPr>
        <w:t xml:space="preserve"> etapa intermedia opera como un filtro de legalidad, en tanto constituye una revisión desde la perspectiva del derecho penal sustantivo y procesal. </w:t>
      </w:r>
      <w:r w:rsidR="00E157D9">
        <w:rPr>
          <w:rFonts w:ascii="Book Antiqua" w:hAnsi="Book Antiqua"/>
          <w:lang w:val="es-ES"/>
        </w:rPr>
        <w:t>El examen que haga el Departamento de Justicia sobre los informes que le remita la OIG</w:t>
      </w:r>
      <w:r w:rsidR="00A24FF3" w:rsidRPr="00A24FF3">
        <w:rPr>
          <w:rFonts w:ascii="Book Antiqua" w:hAnsi="Book Antiqua"/>
          <w:lang w:val="es-ES"/>
        </w:rPr>
        <w:t xml:space="preserve"> permite efectuar una evaluación objetiva y desapasionada de los elementos constitutivos de un posible delito, a partir de la información recopilada en la investigación administrativa realizada por la </w:t>
      </w:r>
      <w:r w:rsidR="00A24FF3">
        <w:rPr>
          <w:rFonts w:ascii="Book Antiqua" w:hAnsi="Book Antiqua"/>
          <w:lang w:val="es-ES"/>
        </w:rPr>
        <w:t>OIG</w:t>
      </w:r>
      <w:r w:rsidR="00A24FF3" w:rsidRPr="00A24FF3">
        <w:rPr>
          <w:rFonts w:ascii="Book Antiqua" w:hAnsi="Book Antiqua"/>
          <w:lang w:val="es-ES"/>
        </w:rPr>
        <w:t xml:space="preserve">, </w:t>
      </w:r>
      <w:r w:rsidR="00A24FF3" w:rsidRPr="009C4211">
        <w:rPr>
          <w:rFonts w:ascii="Book Antiqua" w:hAnsi="Book Antiqua"/>
          <w:b/>
          <w:bCs/>
          <w:lang w:val="es-ES"/>
        </w:rPr>
        <w:t>asegurando así que el eventual referido al FEI responda a criterios de juridicidad y no meramente a apreciaciones discrecionales de naturaleza administrativa</w:t>
      </w:r>
      <w:r w:rsidR="00A24FF3" w:rsidRPr="00A24FF3">
        <w:rPr>
          <w:rFonts w:ascii="Book Antiqua" w:hAnsi="Book Antiqua"/>
          <w:lang w:val="es-ES"/>
        </w:rPr>
        <w:t>.</w:t>
      </w:r>
      <w:r w:rsidR="00BF39E2">
        <w:rPr>
          <w:rFonts w:ascii="Book Antiqua" w:hAnsi="Book Antiqua"/>
          <w:lang w:val="es-ES"/>
        </w:rPr>
        <w:t xml:space="preserve"> Esta Comisión no encuentra razones fundamentales para eliminar la intervención del Departamento de Justicia, pues hacerlo</w:t>
      </w:r>
      <w:r w:rsidR="004158D8">
        <w:rPr>
          <w:rFonts w:ascii="Book Antiqua" w:hAnsi="Book Antiqua"/>
          <w:lang w:val="es-ES"/>
        </w:rPr>
        <w:t xml:space="preserve"> dilapida el principio de la búsqueda de la verdad</w:t>
      </w:r>
      <w:r w:rsidR="004E70C8">
        <w:rPr>
          <w:rFonts w:ascii="Book Antiqua" w:hAnsi="Book Antiqua"/>
          <w:lang w:val="es-ES"/>
        </w:rPr>
        <w:t xml:space="preserve"> en el ámbito penal</w:t>
      </w:r>
      <w:r w:rsidR="004158D8">
        <w:rPr>
          <w:rFonts w:ascii="Book Antiqua" w:hAnsi="Book Antiqua"/>
          <w:lang w:val="es-ES"/>
        </w:rPr>
        <w:t>, habida cuenta que la OIG no cuenta con la experiencia</w:t>
      </w:r>
      <w:r w:rsidR="001F4245">
        <w:rPr>
          <w:rFonts w:ascii="Book Antiqua" w:hAnsi="Book Antiqua"/>
          <w:lang w:val="es-ES"/>
        </w:rPr>
        <w:t xml:space="preserve">, </w:t>
      </w:r>
      <w:r w:rsidR="00A8770E">
        <w:rPr>
          <w:rFonts w:ascii="Book Antiqua" w:hAnsi="Book Antiqua"/>
          <w:lang w:val="es-ES"/>
        </w:rPr>
        <w:t>ni con</w:t>
      </w:r>
      <w:r w:rsidR="001F4245">
        <w:rPr>
          <w:rFonts w:ascii="Book Antiqua" w:hAnsi="Book Antiqua"/>
          <w:lang w:val="es-ES"/>
        </w:rPr>
        <w:t xml:space="preserve"> </w:t>
      </w:r>
      <w:r w:rsidR="00A8770E">
        <w:rPr>
          <w:rFonts w:ascii="Book Antiqua" w:hAnsi="Book Antiqua"/>
          <w:lang w:val="es-ES"/>
        </w:rPr>
        <w:t>la prerrogativa institucional y constitucional,</w:t>
      </w:r>
      <w:r w:rsidR="004158D8">
        <w:rPr>
          <w:rFonts w:ascii="Book Antiqua" w:hAnsi="Book Antiqua"/>
          <w:lang w:val="es-ES"/>
        </w:rPr>
        <w:t xml:space="preserve"> </w:t>
      </w:r>
      <w:r w:rsidR="00A8770E">
        <w:rPr>
          <w:rFonts w:ascii="Book Antiqua" w:hAnsi="Book Antiqua"/>
          <w:lang w:val="es-ES"/>
        </w:rPr>
        <w:t xml:space="preserve">ni con </w:t>
      </w:r>
      <w:r w:rsidR="004158D8">
        <w:rPr>
          <w:rFonts w:ascii="Book Antiqua" w:hAnsi="Book Antiqua"/>
          <w:lang w:val="es-ES"/>
        </w:rPr>
        <w:t xml:space="preserve">el andamiaje </w:t>
      </w:r>
      <w:r w:rsidR="00042BE6">
        <w:rPr>
          <w:rFonts w:ascii="Book Antiqua" w:hAnsi="Book Antiqua"/>
          <w:lang w:val="es-ES"/>
        </w:rPr>
        <w:t xml:space="preserve">de </w:t>
      </w:r>
      <w:r w:rsidR="004158D8">
        <w:rPr>
          <w:rFonts w:ascii="Book Antiqua" w:hAnsi="Book Antiqua"/>
          <w:lang w:val="es-ES"/>
        </w:rPr>
        <w:t>experto</w:t>
      </w:r>
      <w:r w:rsidR="00042BE6">
        <w:rPr>
          <w:rFonts w:ascii="Book Antiqua" w:hAnsi="Book Antiqua"/>
          <w:lang w:val="es-ES"/>
        </w:rPr>
        <w:t>s</w:t>
      </w:r>
      <w:r w:rsidR="004158D8">
        <w:rPr>
          <w:rFonts w:ascii="Book Antiqua" w:hAnsi="Book Antiqua"/>
          <w:lang w:val="es-ES"/>
        </w:rPr>
        <w:t xml:space="preserve"> para el procesamiento criminal en Puerto Rico. </w:t>
      </w:r>
    </w:p>
    <w:p w14:paraId="3A83A4EB" w14:textId="1338C842" w:rsidR="0019349C" w:rsidRDefault="00042BE6" w:rsidP="007F2158">
      <w:pPr>
        <w:tabs>
          <w:tab w:val="left" w:pos="-720"/>
        </w:tabs>
        <w:suppressAutoHyphens/>
        <w:snapToGrid w:val="0"/>
        <w:jc w:val="both"/>
        <w:rPr>
          <w:rFonts w:ascii="Book Antiqua" w:hAnsi="Book Antiqua"/>
          <w:lang w:val="es-ES"/>
        </w:rPr>
      </w:pPr>
      <w:r>
        <w:rPr>
          <w:rFonts w:ascii="Book Antiqua" w:hAnsi="Book Antiqua"/>
          <w:lang w:val="es-ES"/>
        </w:rPr>
        <w:tab/>
        <w:t>Por otra parte, l</w:t>
      </w:r>
      <w:r w:rsidR="008701E6" w:rsidRPr="008701E6">
        <w:rPr>
          <w:rFonts w:ascii="Book Antiqua" w:hAnsi="Book Antiqua"/>
          <w:lang w:val="es-ES"/>
        </w:rPr>
        <w:t xml:space="preserve">a Exposición de Motivos del P. de la C. 309 incurre en un planteamiento errado al otorgar mayor peso al precedente de Pueblo v. González Malavé, 116 DPR 578 (1985), que al de Pueblo v. Pérez Casillas, 126 DPR 702 (1990). El primero, en efecto, se limitó a reconocer </w:t>
      </w:r>
      <w:r w:rsidR="00F23128">
        <w:rPr>
          <w:rFonts w:ascii="Book Antiqua" w:hAnsi="Book Antiqua"/>
          <w:lang w:val="es-ES"/>
        </w:rPr>
        <w:t xml:space="preserve">exclusivamente </w:t>
      </w:r>
      <w:r w:rsidR="008701E6" w:rsidRPr="008701E6">
        <w:rPr>
          <w:rFonts w:ascii="Book Antiqua" w:hAnsi="Book Antiqua"/>
          <w:lang w:val="es-ES"/>
        </w:rPr>
        <w:t xml:space="preserve">la facultad excepcional del Fiscal Especial Independiente para asumir la investigación y procesamiento de los hechos vinculados a los sucesos del Cerro Maravilla ocurridos en Villalba el 25 de julio de 1978, en sustitución del Departamento de Justicia. Sin embargo, en </w:t>
      </w:r>
      <w:r w:rsidR="008701E6" w:rsidRPr="005212A6">
        <w:rPr>
          <w:rFonts w:ascii="Book Antiqua" w:hAnsi="Book Antiqua"/>
          <w:i/>
          <w:iCs/>
          <w:lang w:val="es-ES"/>
        </w:rPr>
        <w:t>Pérez Casillas</w:t>
      </w:r>
      <w:r w:rsidR="008701E6" w:rsidRPr="008701E6">
        <w:rPr>
          <w:rFonts w:ascii="Book Antiqua" w:hAnsi="Book Antiqua"/>
          <w:lang w:val="es-ES"/>
        </w:rPr>
        <w:t xml:space="preserve">, decidido </w:t>
      </w:r>
      <w:r w:rsidR="00E859EC">
        <w:rPr>
          <w:rFonts w:ascii="Book Antiqua" w:hAnsi="Book Antiqua"/>
          <w:lang w:val="es-ES"/>
        </w:rPr>
        <w:t xml:space="preserve">tan </w:t>
      </w:r>
      <w:r w:rsidR="008701E6" w:rsidRPr="008701E6">
        <w:rPr>
          <w:rFonts w:ascii="Book Antiqua" w:hAnsi="Book Antiqua"/>
          <w:lang w:val="es-ES"/>
        </w:rPr>
        <w:t xml:space="preserve">dos años después de la aprobación de la Ley de la OPFEI, </w:t>
      </w:r>
      <w:r w:rsidR="005212A6">
        <w:rPr>
          <w:rFonts w:ascii="Book Antiqua" w:hAnsi="Book Antiqua"/>
          <w:lang w:val="es-ES"/>
        </w:rPr>
        <w:t>el mismo</w:t>
      </w:r>
      <w:r w:rsidR="008701E6" w:rsidRPr="008701E6">
        <w:rPr>
          <w:rFonts w:ascii="Book Antiqua" w:hAnsi="Book Antiqua"/>
          <w:lang w:val="es-ES"/>
        </w:rPr>
        <w:t xml:space="preserve"> Tribunal Supremo estableció expresamente los límites del FEI, reafirmando que la facultad general de investigar y procesar delitos en Puerto Rico recae, como regla constitucional y estatutaria, en el Departamento de Justicia y sus fiscales. Así, la </w:t>
      </w:r>
      <w:r w:rsidR="008701E6" w:rsidRPr="008701E6">
        <w:rPr>
          <w:rFonts w:ascii="Book Antiqua" w:hAnsi="Book Antiqua"/>
          <w:lang w:val="es-ES"/>
        </w:rPr>
        <w:lastRenderedPageBreak/>
        <w:t xml:space="preserve">utilización preferente de </w:t>
      </w:r>
      <w:r w:rsidR="008701E6" w:rsidRPr="006A732E">
        <w:rPr>
          <w:rFonts w:ascii="Book Antiqua" w:hAnsi="Book Antiqua"/>
          <w:i/>
          <w:iCs/>
          <w:lang w:val="es-ES"/>
        </w:rPr>
        <w:t>González Malavé</w:t>
      </w:r>
      <w:r w:rsidR="008701E6" w:rsidRPr="008701E6">
        <w:rPr>
          <w:rFonts w:ascii="Book Antiqua" w:hAnsi="Book Antiqua"/>
          <w:lang w:val="es-ES"/>
        </w:rPr>
        <w:t xml:space="preserve"> en la Exposición de Motivos desconoce el desarrollo jurisprudencial posterior que delimitó y contuvo el alcance de la figura del FEI, pretendiendo extender unas prerrogativas que ya habían sido claramente acotadas por nuestra más alta Curia.</w:t>
      </w:r>
    </w:p>
    <w:p w14:paraId="21464A21" w14:textId="3AD2B2EA" w:rsidR="00685BFC" w:rsidRPr="00685BFC" w:rsidRDefault="00A90EAE" w:rsidP="00685BFC">
      <w:pPr>
        <w:tabs>
          <w:tab w:val="left" w:pos="-720"/>
        </w:tabs>
        <w:suppressAutoHyphens/>
        <w:snapToGrid w:val="0"/>
        <w:jc w:val="both"/>
        <w:rPr>
          <w:rFonts w:ascii="Book Antiqua" w:hAnsi="Book Antiqua"/>
          <w:lang w:val="es-ES"/>
        </w:rPr>
      </w:pPr>
      <w:r>
        <w:rPr>
          <w:rFonts w:ascii="Book Antiqua" w:hAnsi="Book Antiqua"/>
          <w:lang w:val="es-ES"/>
        </w:rPr>
        <w:tab/>
      </w:r>
      <w:r w:rsidR="001E7FDD" w:rsidRPr="001E7FDD">
        <w:rPr>
          <w:rFonts w:ascii="Book Antiqua" w:hAnsi="Book Antiqua"/>
          <w:lang w:val="es-ES"/>
        </w:rPr>
        <w:t>Esta Comisión de lo Jurídico concluye que imponer a la Oficina del Panel sobre el Fiscal Especial Independiente la obligación de investigar todos los informes que, a juicio y discreción de la Oficina del Inspector General, le sean remitidos, “desnaturaliza los preceptos elementales en que se funda esta legislación especial”,</w:t>
      </w:r>
      <w:r w:rsidR="001E7FDD" w:rsidRPr="001E7FDD">
        <w:rPr>
          <w:rStyle w:val="FootnoteReference"/>
          <w:rFonts w:ascii="Book Antiqua" w:hAnsi="Book Antiqua"/>
          <w:lang w:val="es-ES"/>
        </w:rPr>
        <w:t xml:space="preserve"> </w:t>
      </w:r>
      <w:r w:rsidR="001E7FDD">
        <w:rPr>
          <w:rStyle w:val="FootnoteReference"/>
          <w:rFonts w:ascii="Book Antiqua" w:hAnsi="Book Antiqua"/>
          <w:lang w:val="es-ES"/>
        </w:rPr>
        <w:footnoteReference w:id="11"/>
      </w:r>
      <w:r w:rsidR="001E7FDD" w:rsidRPr="001E7FDD">
        <w:rPr>
          <w:rFonts w:ascii="Book Antiqua" w:hAnsi="Book Antiqua"/>
          <w:lang w:val="es-ES"/>
        </w:rPr>
        <w:t xml:space="preserve"> en tanto trastoca </w:t>
      </w:r>
      <w:r w:rsidR="001E7FDD">
        <w:rPr>
          <w:rFonts w:ascii="Book Antiqua" w:hAnsi="Book Antiqua"/>
          <w:lang w:val="es-ES"/>
        </w:rPr>
        <w:t>el diseño institucional provista por</w:t>
      </w:r>
      <w:r w:rsidR="001E7FDD" w:rsidRPr="001E7FDD">
        <w:rPr>
          <w:rFonts w:ascii="Book Antiqua" w:hAnsi="Book Antiqua"/>
          <w:lang w:val="es-ES"/>
        </w:rPr>
        <w:t xml:space="preserve"> la Ley de la OPFEI. </w:t>
      </w:r>
      <w:r w:rsidR="00D365D1">
        <w:rPr>
          <w:rFonts w:ascii="Book Antiqua" w:hAnsi="Book Antiqua"/>
          <w:lang w:val="es-ES"/>
        </w:rPr>
        <w:t>Aquí es preciso señalar</w:t>
      </w:r>
      <w:r w:rsidR="006D2A81">
        <w:rPr>
          <w:rFonts w:ascii="Book Antiqua" w:hAnsi="Book Antiqua"/>
          <w:lang w:val="es-ES"/>
        </w:rPr>
        <w:t xml:space="preserve"> que</w:t>
      </w:r>
      <w:r w:rsidR="00D365D1">
        <w:rPr>
          <w:rFonts w:ascii="Book Antiqua" w:hAnsi="Book Antiqua"/>
          <w:lang w:val="es-ES"/>
        </w:rPr>
        <w:t xml:space="preserve"> la “</w:t>
      </w:r>
      <w:r w:rsidR="00D365D1" w:rsidRPr="00D365D1">
        <w:rPr>
          <w:rFonts w:ascii="Book Antiqua" w:hAnsi="Book Antiqua"/>
          <w:lang w:val="es-ES"/>
        </w:rPr>
        <w:t xml:space="preserve">hermenéutica legal nos lleva a analizar el estatuto para conocer la intención que tuvo la Asamblea Legislativa cuando lo promulgó. El ejercicio interpretativo debe estar fundamentad[o] en las reglas que gobiernan el pensamiento, ya que la ley no es letra </w:t>
      </w:r>
      <w:proofErr w:type="gramStart"/>
      <w:r w:rsidR="00D365D1" w:rsidRPr="00D365D1">
        <w:rPr>
          <w:rFonts w:ascii="Book Antiqua" w:hAnsi="Book Antiqua"/>
          <w:lang w:val="es-ES"/>
        </w:rPr>
        <w:t>muerta</w:t>
      </w:r>
      <w:proofErr w:type="gramEnd"/>
      <w:r w:rsidR="00D365D1" w:rsidRPr="00D365D1">
        <w:rPr>
          <w:rFonts w:ascii="Book Antiqua" w:hAnsi="Book Antiqua"/>
          <w:lang w:val="es-ES"/>
        </w:rPr>
        <w:t xml:space="preserve"> sino que tiene un contenido espiritual</w:t>
      </w:r>
      <w:r w:rsidR="005A32F2">
        <w:rPr>
          <w:rFonts w:ascii="Book Antiqua" w:hAnsi="Book Antiqua"/>
          <w:lang w:val="es-ES"/>
        </w:rPr>
        <w:t>”</w:t>
      </w:r>
      <w:r w:rsidR="00D365D1" w:rsidRPr="00D365D1">
        <w:rPr>
          <w:rFonts w:ascii="Book Antiqua" w:hAnsi="Book Antiqua"/>
          <w:lang w:val="es-ES"/>
        </w:rPr>
        <w:t>.</w:t>
      </w:r>
      <w:r w:rsidR="005A32F2">
        <w:rPr>
          <w:rStyle w:val="FootnoteReference"/>
          <w:rFonts w:ascii="Book Antiqua" w:hAnsi="Book Antiqua"/>
          <w:lang w:val="es-ES"/>
        </w:rPr>
        <w:footnoteReference w:id="12"/>
      </w:r>
      <w:r w:rsidR="00D365D1" w:rsidRPr="00D365D1">
        <w:rPr>
          <w:rFonts w:ascii="Book Antiqua" w:hAnsi="Book Antiqua"/>
          <w:lang w:val="es-ES"/>
        </w:rPr>
        <w:t xml:space="preserve"> </w:t>
      </w:r>
      <w:r w:rsidR="00C86713">
        <w:rPr>
          <w:rFonts w:ascii="Book Antiqua" w:hAnsi="Book Antiqua"/>
          <w:lang w:val="es-ES"/>
        </w:rPr>
        <w:t>Por eso, colegimos en que e</w:t>
      </w:r>
      <w:r w:rsidR="001E7FDD" w:rsidRPr="001E7FDD">
        <w:rPr>
          <w:rFonts w:ascii="Book Antiqua" w:hAnsi="Book Antiqua"/>
          <w:lang w:val="es-ES"/>
        </w:rPr>
        <w:t xml:space="preserve">l esquema vigente persigue un balance entre la autonomía investigativa del </w:t>
      </w:r>
      <w:r w:rsidR="00C24817">
        <w:rPr>
          <w:rFonts w:ascii="Book Antiqua" w:hAnsi="Book Antiqua"/>
          <w:lang w:val="es-ES"/>
        </w:rPr>
        <w:t>FEI</w:t>
      </w:r>
      <w:r w:rsidR="001E7FDD" w:rsidRPr="001E7FDD">
        <w:rPr>
          <w:rFonts w:ascii="Book Antiqua" w:hAnsi="Book Antiqua"/>
          <w:lang w:val="es-ES"/>
        </w:rPr>
        <w:t xml:space="preserve"> y la función constitucional del Departamento de Justicia como ente primario de investigación y procesamiento penal</w:t>
      </w:r>
      <w:r w:rsidR="00C24817">
        <w:rPr>
          <w:rFonts w:ascii="Book Antiqua" w:hAnsi="Book Antiqua"/>
          <w:lang w:val="es-ES"/>
        </w:rPr>
        <w:t xml:space="preserve"> en Puerto Rico</w:t>
      </w:r>
      <w:r w:rsidR="001E7FDD" w:rsidRPr="001E7FDD">
        <w:rPr>
          <w:rFonts w:ascii="Book Antiqua" w:hAnsi="Book Antiqua"/>
          <w:lang w:val="es-ES"/>
        </w:rPr>
        <w:t xml:space="preserve">. </w:t>
      </w:r>
      <w:r w:rsidR="00CD33F9">
        <w:rPr>
          <w:rFonts w:ascii="Book Antiqua" w:hAnsi="Book Antiqua"/>
          <w:lang w:val="es-ES"/>
        </w:rPr>
        <w:t>Pretender</w:t>
      </w:r>
      <w:r w:rsidR="001E7FDD" w:rsidRPr="001E7FDD">
        <w:rPr>
          <w:rFonts w:ascii="Book Antiqua" w:hAnsi="Book Antiqua"/>
          <w:lang w:val="es-ES"/>
        </w:rPr>
        <w:t xml:space="preserve"> trasladar indiscriminadamente dicha carga al </w:t>
      </w:r>
      <w:r w:rsidR="00C24817">
        <w:rPr>
          <w:rFonts w:ascii="Book Antiqua" w:hAnsi="Book Antiqua"/>
          <w:lang w:val="es-ES"/>
        </w:rPr>
        <w:t>FEI</w:t>
      </w:r>
      <w:r w:rsidR="001E7FDD" w:rsidRPr="001E7FDD">
        <w:rPr>
          <w:rFonts w:ascii="Book Antiqua" w:hAnsi="Book Antiqua"/>
          <w:lang w:val="es-ES"/>
        </w:rPr>
        <w:t>, desvirtúa ese balance y altera la naturaleza extraordinaria, limitada y excepcional que caracteriza la intervención del FEI en nuestro ordenamiento.</w:t>
      </w:r>
    </w:p>
    <w:p w14:paraId="6F6588C1" w14:textId="77777777" w:rsidR="00685BFC" w:rsidRDefault="00685BFC" w:rsidP="00685BFC">
      <w:pPr>
        <w:tabs>
          <w:tab w:val="left" w:pos="-720"/>
        </w:tabs>
        <w:suppressAutoHyphens/>
        <w:snapToGrid w:val="0"/>
        <w:jc w:val="both"/>
        <w:rPr>
          <w:rFonts w:ascii="Book Antiqua" w:hAnsi="Book Antiqua"/>
          <w:b/>
          <w:bCs/>
          <w:lang w:val="es-ES"/>
        </w:rPr>
      </w:pPr>
    </w:p>
    <w:p w14:paraId="7885E90D" w14:textId="675A9EEA" w:rsidR="00DF45DC" w:rsidRPr="000D2F1E" w:rsidRDefault="0096171F" w:rsidP="007F2158">
      <w:pPr>
        <w:tabs>
          <w:tab w:val="left" w:pos="-720"/>
        </w:tabs>
        <w:suppressAutoHyphens/>
        <w:snapToGrid w:val="0"/>
        <w:ind w:firstLine="720"/>
        <w:jc w:val="both"/>
        <w:rPr>
          <w:rFonts w:ascii="Book Antiqua" w:hAnsi="Book Antiqua"/>
          <w:lang w:val="es-ES"/>
        </w:rPr>
      </w:pPr>
      <w:r w:rsidRPr="000D2F1E">
        <w:rPr>
          <w:rFonts w:ascii="Book Antiqua" w:hAnsi="Book Antiqua"/>
          <w:b/>
          <w:bCs/>
          <w:lang w:val="es-ES"/>
        </w:rPr>
        <w:t>POR TODO LO ANTES EXPUESTO</w:t>
      </w:r>
      <w:r w:rsidRPr="000D2F1E">
        <w:rPr>
          <w:rFonts w:ascii="Book Antiqua" w:hAnsi="Book Antiqua"/>
          <w:lang w:val="es-ES"/>
        </w:rPr>
        <w:t xml:space="preserve">, la </w:t>
      </w:r>
      <w:r w:rsidR="001D12A7" w:rsidRPr="000D2F1E">
        <w:rPr>
          <w:rFonts w:ascii="Book Antiqua" w:hAnsi="Book Antiqua"/>
          <w:spacing w:val="-3"/>
          <w:lang w:val="es-ES"/>
        </w:rPr>
        <w:t>Comisión de lo Jurídico del Senado de Puerto Rico</w:t>
      </w:r>
      <w:r w:rsidR="001D12A7" w:rsidRPr="000D2F1E">
        <w:rPr>
          <w:rFonts w:ascii="Book Antiqua" w:hAnsi="Book Antiqua"/>
          <w:lang w:val="es-ES"/>
        </w:rPr>
        <w:t xml:space="preserve"> </w:t>
      </w:r>
      <w:r w:rsidR="00006DDC" w:rsidRPr="000D2F1E">
        <w:rPr>
          <w:rFonts w:ascii="Book Antiqua" w:hAnsi="Book Antiqua"/>
          <w:lang w:val="es-ES"/>
        </w:rPr>
        <w:t xml:space="preserve">tiene a bien presentar ante este Alto Cuerpo el Informe </w:t>
      </w:r>
      <w:r w:rsidR="004A1504">
        <w:rPr>
          <w:rFonts w:ascii="Book Antiqua" w:hAnsi="Book Antiqua"/>
          <w:lang w:val="es-ES"/>
        </w:rPr>
        <w:t>Negativo</w:t>
      </w:r>
      <w:r w:rsidR="00006DDC" w:rsidRPr="000D2F1E">
        <w:rPr>
          <w:rFonts w:ascii="Book Antiqua" w:hAnsi="Book Antiqua"/>
          <w:lang w:val="es-ES"/>
        </w:rPr>
        <w:t xml:space="preserve"> sobre el </w:t>
      </w:r>
      <w:r w:rsidR="00B6764B" w:rsidRPr="000D2F1E">
        <w:rPr>
          <w:rFonts w:ascii="Book Antiqua" w:hAnsi="Book Antiqua"/>
          <w:b/>
          <w:bCs/>
          <w:lang w:val="es-ES"/>
        </w:rPr>
        <w:t xml:space="preserve">P. de la C. 309 </w:t>
      </w:r>
      <w:r w:rsidR="00B6764B" w:rsidRPr="000D2F1E">
        <w:rPr>
          <w:rFonts w:ascii="Book Antiqua" w:hAnsi="Book Antiqua"/>
          <w:lang w:val="es-ES"/>
        </w:rPr>
        <w:t>y</w:t>
      </w:r>
      <w:r w:rsidR="00006DDC" w:rsidRPr="000D2F1E">
        <w:rPr>
          <w:rFonts w:ascii="Book Antiqua" w:hAnsi="Book Antiqua"/>
          <w:lang w:val="es-ES"/>
        </w:rPr>
        <w:t xml:space="preserve"> </w:t>
      </w:r>
      <w:r w:rsidR="004A1504">
        <w:rPr>
          <w:rFonts w:ascii="Book Antiqua" w:hAnsi="Book Antiqua"/>
          <w:lang w:val="es-ES"/>
        </w:rPr>
        <w:t xml:space="preserve">no </w:t>
      </w:r>
      <w:r w:rsidR="00B6764B" w:rsidRPr="000D2F1E">
        <w:rPr>
          <w:rFonts w:ascii="Book Antiqua" w:hAnsi="Book Antiqua"/>
          <w:lang w:val="es-ES"/>
        </w:rPr>
        <w:t>recomienda</w:t>
      </w:r>
      <w:r w:rsidR="00006DDC" w:rsidRPr="000D2F1E">
        <w:rPr>
          <w:rFonts w:ascii="Book Antiqua" w:hAnsi="Book Antiqua"/>
          <w:lang w:val="es-ES"/>
        </w:rPr>
        <w:t xml:space="preserve"> su aprobación</w:t>
      </w:r>
      <w:r w:rsidR="004A1504">
        <w:rPr>
          <w:rFonts w:ascii="Book Antiqua" w:hAnsi="Book Antiqua"/>
          <w:lang w:val="es-ES"/>
        </w:rPr>
        <w:t>.</w:t>
      </w:r>
    </w:p>
    <w:p w14:paraId="02F3C812" w14:textId="77777777" w:rsidR="006861CE" w:rsidRPr="000D2F1E" w:rsidRDefault="006861CE" w:rsidP="007F2158">
      <w:pPr>
        <w:tabs>
          <w:tab w:val="left" w:pos="-720"/>
        </w:tabs>
        <w:suppressAutoHyphens/>
        <w:rPr>
          <w:rFonts w:ascii="Book Antiqua" w:hAnsi="Book Antiqua"/>
          <w:lang w:val="es-ES"/>
        </w:rPr>
      </w:pPr>
    </w:p>
    <w:p w14:paraId="10325F5D" w14:textId="65F53B7A" w:rsidR="00006DDC" w:rsidRPr="000D2F1E" w:rsidRDefault="00B6764B" w:rsidP="007F2158">
      <w:pPr>
        <w:tabs>
          <w:tab w:val="left" w:pos="-720"/>
        </w:tabs>
        <w:suppressAutoHyphens/>
        <w:rPr>
          <w:rFonts w:ascii="Book Antiqua" w:hAnsi="Book Antiqua"/>
          <w:b/>
          <w:bCs/>
          <w:lang w:val="es-ES"/>
        </w:rPr>
      </w:pPr>
      <w:r w:rsidRPr="000D2F1E">
        <w:rPr>
          <w:rFonts w:ascii="Book Antiqua" w:hAnsi="Book Antiqua"/>
          <w:b/>
          <w:bCs/>
          <w:lang w:val="es-ES"/>
        </w:rPr>
        <w:t xml:space="preserve">RESPETUOSAMENTE SOMETIDO, </w:t>
      </w:r>
    </w:p>
    <w:p w14:paraId="2444C5B2" w14:textId="77777777" w:rsidR="00552B8A" w:rsidRPr="000D2F1E"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0D2F1E" w:rsidRDefault="00242E80" w:rsidP="00EE4536">
      <w:pPr>
        <w:tabs>
          <w:tab w:val="left" w:pos="-720"/>
        </w:tabs>
        <w:suppressAutoHyphens/>
        <w:rPr>
          <w:rFonts w:ascii="Book Antiqua" w:hAnsi="Book Antiqua"/>
          <w:b/>
          <w:bCs/>
          <w:lang w:val="es-ES"/>
        </w:rPr>
      </w:pPr>
    </w:p>
    <w:p w14:paraId="6AE93B69" w14:textId="6641F2FE" w:rsidR="00AB2E69" w:rsidRPr="000D2F1E" w:rsidRDefault="00D8699D" w:rsidP="00EE4536">
      <w:pPr>
        <w:tabs>
          <w:tab w:val="left" w:pos="-720"/>
        </w:tabs>
        <w:suppressAutoHyphens/>
        <w:rPr>
          <w:rFonts w:ascii="Book Antiqua" w:hAnsi="Book Antiqua"/>
          <w:b/>
          <w:bCs/>
          <w:lang w:val="es-ES"/>
        </w:rPr>
      </w:pPr>
      <w:proofErr w:type="spellStart"/>
      <w:r w:rsidRPr="000D2F1E">
        <w:rPr>
          <w:rFonts w:ascii="Book Antiqua" w:hAnsi="Book Antiqua"/>
          <w:b/>
          <w:bCs/>
          <w:lang w:val="es-ES"/>
        </w:rPr>
        <w:t>Hon</w:t>
      </w:r>
      <w:proofErr w:type="spellEnd"/>
      <w:r w:rsidRPr="000D2F1E">
        <w:rPr>
          <w:rFonts w:ascii="Book Antiqua" w:hAnsi="Book Antiqua"/>
          <w:b/>
          <w:bCs/>
          <w:lang w:val="es-ES"/>
        </w:rPr>
        <w:t xml:space="preserve">. </w:t>
      </w:r>
      <w:r w:rsidR="001D12A7" w:rsidRPr="000D2F1E">
        <w:rPr>
          <w:rFonts w:ascii="Book Antiqua" w:hAnsi="Book Antiqua"/>
          <w:b/>
          <w:bCs/>
          <w:lang w:val="es-ES"/>
        </w:rPr>
        <w:t>Ángel A. Toledo López</w:t>
      </w:r>
    </w:p>
    <w:p w14:paraId="1665555A" w14:textId="77777777" w:rsidR="004F6E72" w:rsidRPr="000D2F1E" w:rsidRDefault="00AB2E69" w:rsidP="00EE4536">
      <w:pPr>
        <w:tabs>
          <w:tab w:val="left" w:pos="-720"/>
        </w:tabs>
        <w:suppressAutoHyphens/>
        <w:rPr>
          <w:rFonts w:ascii="Book Antiqua" w:hAnsi="Book Antiqua"/>
          <w:lang w:val="es-ES"/>
        </w:rPr>
      </w:pPr>
      <w:r w:rsidRPr="000D2F1E">
        <w:rPr>
          <w:rFonts w:ascii="Book Antiqua" w:hAnsi="Book Antiqua"/>
          <w:lang w:val="es-ES"/>
        </w:rPr>
        <w:t>Presidente</w:t>
      </w:r>
    </w:p>
    <w:p w14:paraId="3FF3D27A" w14:textId="77777777" w:rsidR="001D12A7" w:rsidRPr="000D2F1E" w:rsidRDefault="001D12A7" w:rsidP="001D12A7">
      <w:pPr>
        <w:tabs>
          <w:tab w:val="left" w:pos="-720"/>
        </w:tabs>
        <w:suppressAutoHyphens/>
        <w:rPr>
          <w:rFonts w:ascii="Book Antiqua" w:hAnsi="Book Antiqua"/>
          <w:spacing w:val="-3"/>
          <w:lang w:val="es-ES"/>
        </w:rPr>
      </w:pPr>
      <w:r w:rsidRPr="000D2F1E">
        <w:rPr>
          <w:rFonts w:ascii="Book Antiqua" w:hAnsi="Book Antiqua"/>
          <w:spacing w:val="-3"/>
          <w:lang w:val="es-ES"/>
        </w:rPr>
        <w:t xml:space="preserve">Comisión de lo Jurídico </w:t>
      </w:r>
    </w:p>
    <w:p w14:paraId="13BD9EC9" w14:textId="036EECB7" w:rsidR="000B3411" w:rsidRPr="000D2F1E" w:rsidRDefault="001D12A7" w:rsidP="001D12A7">
      <w:pPr>
        <w:tabs>
          <w:tab w:val="left" w:pos="-720"/>
        </w:tabs>
        <w:suppressAutoHyphens/>
        <w:rPr>
          <w:rFonts w:ascii="Book Antiqua" w:hAnsi="Book Antiqua"/>
          <w:spacing w:val="-3"/>
          <w:lang w:val="es-ES"/>
        </w:rPr>
      </w:pPr>
      <w:r w:rsidRPr="000D2F1E">
        <w:rPr>
          <w:rFonts w:ascii="Book Antiqua" w:hAnsi="Book Antiqua"/>
          <w:spacing w:val="-3"/>
          <w:lang w:val="es-ES"/>
        </w:rPr>
        <w:t>Senado de Puerto Rico</w:t>
      </w:r>
    </w:p>
    <w:sectPr w:rsidR="000B3411" w:rsidRPr="000D2F1E"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19D61" w14:textId="77777777" w:rsidR="00882DB2" w:rsidRDefault="00882DB2">
      <w:r>
        <w:separator/>
      </w:r>
    </w:p>
  </w:endnote>
  <w:endnote w:type="continuationSeparator" w:id="0">
    <w:p w14:paraId="1DF41969" w14:textId="77777777" w:rsidR="00882DB2" w:rsidRDefault="00882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54A96" w14:textId="77777777" w:rsidR="00882DB2" w:rsidRDefault="00882DB2">
      <w:r>
        <w:separator/>
      </w:r>
    </w:p>
  </w:footnote>
  <w:footnote w:type="continuationSeparator" w:id="0">
    <w:p w14:paraId="29FCD04E" w14:textId="77777777" w:rsidR="00882DB2" w:rsidRDefault="00882DB2">
      <w:r>
        <w:continuationSeparator/>
      </w:r>
    </w:p>
  </w:footnote>
  <w:footnote w:id="1">
    <w:p w14:paraId="3040E13C" w14:textId="14BC5A72" w:rsidR="003205D4" w:rsidRPr="005A32F2" w:rsidRDefault="003205D4" w:rsidP="00251FCF">
      <w:pPr>
        <w:pStyle w:val="FootnoteText"/>
        <w:jc w:val="both"/>
        <w:rPr>
          <w:rFonts w:ascii="Book Antiqua" w:hAnsi="Book Antiqua"/>
          <w:lang w:val="es-ES"/>
        </w:rPr>
      </w:pPr>
      <w:r w:rsidRPr="005A32F2">
        <w:rPr>
          <w:rStyle w:val="FootnoteReference"/>
          <w:rFonts w:ascii="Book Antiqua" w:hAnsi="Book Antiqua"/>
        </w:rPr>
        <w:footnoteRef/>
      </w:r>
      <w:r w:rsidRPr="005A32F2">
        <w:rPr>
          <w:rFonts w:ascii="Book Antiqua" w:hAnsi="Book Antiqua"/>
          <w:lang w:val="es-ES"/>
        </w:rPr>
        <w:t xml:space="preserve"> </w:t>
      </w:r>
      <w:r w:rsidR="000B44A6" w:rsidRPr="005A32F2">
        <w:rPr>
          <w:rFonts w:ascii="Book Antiqua" w:hAnsi="Book Antiqua"/>
          <w:lang w:val="es-ES"/>
        </w:rPr>
        <w:t xml:space="preserve">Pueblo v. González Malavé, 116 DPR 578, 585 (1985). </w:t>
      </w:r>
    </w:p>
  </w:footnote>
  <w:footnote w:id="2">
    <w:p w14:paraId="7CB9EBFF" w14:textId="3B970E6F" w:rsidR="00F93D2B" w:rsidRPr="005A32F2" w:rsidRDefault="00F93D2B" w:rsidP="00251FCF">
      <w:pPr>
        <w:pStyle w:val="FootnoteText"/>
        <w:jc w:val="both"/>
        <w:rPr>
          <w:rFonts w:ascii="Book Antiqua" w:hAnsi="Book Antiqua"/>
          <w:lang w:val="es-ES"/>
        </w:rPr>
      </w:pPr>
      <w:r w:rsidRPr="005A32F2">
        <w:rPr>
          <w:rStyle w:val="FootnoteReference"/>
          <w:rFonts w:ascii="Book Antiqua" w:hAnsi="Book Antiqua"/>
        </w:rPr>
        <w:footnoteRef/>
      </w:r>
      <w:r w:rsidRPr="005A32F2">
        <w:rPr>
          <w:rFonts w:ascii="Book Antiqua" w:hAnsi="Book Antiqua"/>
          <w:lang w:val="es-ES"/>
        </w:rPr>
        <w:t xml:space="preserve"> En la actualidad, el Panel sobre el Fiscal Especial Independiente ostenta jurisdicción exclusiva sobre en aquellos casos en que se implique a cualquiera de los siguientes funcionarios: (a) El Gobernador; (b) los secretarios y subsecretarios de los departamentos del Gobierno; (c) los jefes y subjefes de agencias; (d) los directores ejecutivos y subdirectores de las corporaciones públicas; (e) los alcaldes; (f) los miembros de la Asamblea Legislativa de Puerto Rico; (g) los asesores y ayudantes del Gobernador; (h) jueces, (i) Los fiscales (j) Los registradores de la propiedad, (k) Los procuradores de relaciones de familia y menores, (l) toda persona que haya ocupado cualesquiera de los cargos antes enumerados, a quien se le impute la comisión de cualquier delito grave y menos grave incluido en la misma transacción o evento, o cualquier delito contra los derechos civiles, la función pública o el erario mientras ocupaba uno de los cargos mencionados, sujeto a que la designación del Fiscal Especial se haga dentro de los cuatro (4) años siguientes a la fecha en que dicho individuo cesó en su cargo.</w:t>
      </w:r>
    </w:p>
  </w:footnote>
  <w:footnote w:id="3">
    <w:p w14:paraId="64ACE24E" w14:textId="50450F59" w:rsidR="00415783" w:rsidRPr="005A32F2" w:rsidRDefault="00415783" w:rsidP="00251FCF">
      <w:pPr>
        <w:pStyle w:val="FootnoteText"/>
        <w:jc w:val="both"/>
        <w:rPr>
          <w:rFonts w:ascii="Book Antiqua" w:hAnsi="Book Antiqua"/>
          <w:lang w:val="es-ES"/>
        </w:rPr>
      </w:pPr>
      <w:r w:rsidRPr="005A32F2">
        <w:rPr>
          <w:rStyle w:val="FootnoteReference"/>
          <w:rFonts w:ascii="Book Antiqua" w:hAnsi="Book Antiqua"/>
        </w:rPr>
        <w:footnoteRef/>
      </w:r>
      <w:r w:rsidRPr="005A32F2">
        <w:rPr>
          <w:rFonts w:ascii="Book Antiqua" w:hAnsi="Book Antiqua"/>
          <w:lang w:val="es-ES"/>
        </w:rPr>
        <w:t xml:space="preserve"> </w:t>
      </w:r>
      <w:r w:rsidRPr="00E45AE6">
        <w:rPr>
          <w:rFonts w:ascii="Book Antiqua" w:hAnsi="Book Antiqua"/>
          <w:i/>
          <w:iCs/>
          <w:lang w:val="es-ES"/>
        </w:rPr>
        <w:t>Id</w:t>
      </w:r>
      <w:r w:rsidRPr="005A32F2">
        <w:rPr>
          <w:rFonts w:ascii="Book Antiqua" w:hAnsi="Book Antiqua"/>
          <w:lang w:val="es-ES"/>
        </w:rPr>
        <w:t xml:space="preserve">. en la pág. </w:t>
      </w:r>
      <w:r w:rsidR="0079599E" w:rsidRPr="005A32F2">
        <w:rPr>
          <w:rFonts w:ascii="Book Antiqua" w:hAnsi="Book Antiqua"/>
          <w:lang w:val="es-ES"/>
        </w:rPr>
        <w:t>583.</w:t>
      </w:r>
    </w:p>
  </w:footnote>
  <w:footnote w:id="4">
    <w:p w14:paraId="4C5C5560" w14:textId="5C897E25" w:rsidR="0079599E" w:rsidRPr="005A32F2" w:rsidRDefault="0079599E" w:rsidP="00251FCF">
      <w:pPr>
        <w:pStyle w:val="FootnoteText"/>
        <w:jc w:val="both"/>
        <w:rPr>
          <w:rFonts w:ascii="Book Antiqua" w:hAnsi="Book Antiqua"/>
          <w:lang w:val="es-ES"/>
        </w:rPr>
      </w:pPr>
      <w:r w:rsidRPr="005A32F2">
        <w:rPr>
          <w:rStyle w:val="FootnoteReference"/>
          <w:rFonts w:ascii="Book Antiqua" w:hAnsi="Book Antiqua"/>
        </w:rPr>
        <w:footnoteRef/>
      </w:r>
      <w:r w:rsidRPr="005A32F2">
        <w:rPr>
          <w:rFonts w:ascii="Book Antiqua" w:hAnsi="Book Antiqua"/>
          <w:lang w:val="es-ES"/>
        </w:rPr>
        <w:t xml:space="preserve"> </w:t>
      </w:r>
      <w:r w:rsidRPr="00E45AE6">
        <w:rPr>
          <w:rFonts w:ascii="Book Antiqua" w:hAnsi="Book Antiqua"/>
          <w:i/>
          <w:iCs/>
          <w:lang w:val="es-ES"/>
        </w:rPr>
        <w:t>Id</w:t>
      </w:r>
      <w:r w:rsidRPr="005A32F2">
        <w:rPr>
          <w:rFonts w:ascii="Book Antiqua" w:hAnsi="Book Antiqua"/>
          <w:lang w:val="es-ES"/>
        </w:rPr>
        <w:t>. en la pág. 584.</w:t>
      </w:r>
    </w:p>
  </w:footnote>
  <w:footnote w:id="5">
    <w:p w14:paraId="2A348E5F" w14:textId="13BC7DF9" w:rsidR="00044B5A" w:rsidRPr="005A32F2" w:rsidRDefault="00044B5A" w:rsidP="00251FCF">
      <w:pPr>
        <w:pStyle w:val="FootnoteText"/>
        <w:jc w:val="both"/>
        <w:rPr>
          <w:rFonts w:ascii="Book Antiqua" w:hAnsi="Book Antiqua"/>
          <w:lang w:val="es-ES"/>
        </w:rPr>
      </w:pPr>
      <w:r w:rsidRPr="005A32F2">
        <w:rPr>
          <w:rStyle w:val="FootnoteReference"/>
          <w:rFonts w:ascii="Book Antiqua" w:hAnsi="Book Antiqua"/>
        </w:rPr>
        <w:footnoteRef/>
      </w:r>
      <w:r w:rsidRPr="005A32F2">
        <w:rPr>
          <w:rFonts w:ascii="Book Antiqua" w:hAnsi="Book Antiqua"/>
          <w:lang w:val="es-ES"/>
        </w:rPr>
        <w:t xml:space="preserve"> Pueblo v. Pérez Casillas, 126 DPR 702, 712 (1990)</w:t>
      </w:r>
      <w:r w:rsidR="00514646" w:rsidRPr="005A32F2">
        <w:rPr>
          <w:rFonts w:ascii="Book Antiqua" w:hAnsi="Book Antiqua"/>
          <w:lang w:val="es-ES"/>
        </w:rPr>
        <w:t xml:space="preserve"> (énfasis suplido).</w:t>
      </w:r>
    </w:p>
  </w:footnote>
  <w:footnote w:id="6">
    <w:p w14:paraId="3EBDDB58" w14:textId="073524D1" w:rsidR="007D13E7" w:rsidRPr="005A32F2" w:rsidRDefault="007D13E7" w:rsidP="00251FCF">
      <w:pPr>
        <w:pStyle w:val="FootnoteText"/>
        <w:jc w:val="both"/>
        <w:rPr>
          <w:rFonts w:ascii="Book Antiqua" w:hAnsi="Book Antiqua"/>
        </w:rPr>
      </w:pPr>
      <w:r w:rsidRPr="005A32F2">
        <w:rPr>
          <w:rStyle w:val="FootnoteReference"/>
          <w:rFonts w:ascii="Book Antiqua" w:hAnsi="Book Antiqua"/>
        </w:rPr>
        <w:footnoteRef/>
      </w:r>
      <w:r w:rsidRPr="005A32F2">
        <w:rPr>
          <w:rFonts w:ascii="Book Antiqua" w:hAnsi="Book Antiqua"/>
          <w:lang w:val="es-ES"/>
        </w:rPr>
        <w:t xml:space="preserve"> </w:t>
      </w:r>
      <w:r w:rsidRPr="006A54EB">
        <w:rPr>
          <w:rFonts w:ascii="Book Antiqua" w:hAnsi="Book Antiqua"/>
          <w:i/>
          <w:iCs/>
          <w:lang w:val="es-ES"/>
        </w:rPr>
        <w:t>Id</w:t>
      </w:r>
      <w:r w:rsidRPr="005A32F2">
        <w:rPr>
          <w:rFonts w:ascii="Book Antiqua" w:hAnsi="Book Antiqua"/>
          <w:lang w:val="es-ES"/>
        </w:rPr>
        <w:t>. en la pág. 709</w:t>
      </w:r>
      <w:r w:rsidR="00251FCF" w:rsidRPr="005A32F2">
        <w:rPr>
          <w:rFonts w:ascii="Book Antiqua" w:hAnsi="Book Antiqua"/>
          <w:lang w:val="es-ES"/>
        </w:rPr>
        <w:t xml:space="preserve"> (</w:t>
      </w:r>
      <w:r w:rsidR="00251FCF" w:rsidRPr="00E45AE6">
        <w:rPr>
          <w:rFonts w:ascii="Book Antiqua" w:hAnsi="Book Antiqua"/>
          <w:i/>
          <w:iCs/>
          <w:lang w:val="es-ES"/>
        </w:rPr>
        <w:t xml:space="preserve">citando </w:t>
      </w:r>
      <w:r w:rsidR="00E45AE6" w:rsidRPr="00E45AE6">
        <w:rPr>
          <w:rFonts w:ascii="Book Antiqua" w:hAnsi="Book Antiqua"/>
          <w:i/>
          <w:iCs/>
          <w:lang w:val="es-ES"/>
        </w:rPr>
        <w:t>a</w:t>
      </w:r>
      <w:r w:rsidR="00E45AE6" w:rsidRPr="005A32F2">
        <w:rPr>
          <w:rFonts w:ascii="Book Antiqua" w:hAnsi="Book Antiqua"/>
          <w:lang w:val="es-ES"/>
        </w:rPr>
        <w:t xml:space="preserve"> Salazar</w:t>
      </w:r>
      <w:r w:rsidR="00251FCF" w:rsidRPr="005A32F2">
        <w:rPr>
          <w:rFonts w:ascii="Book Antiqua" w:hAnsi="Book Antiqua"/>
          <w:lang w:val="es-ES"/>
        </w:rPr>
        <w:t xml:space="preserve"> v. El Registrador, 27 D.P.R. 63, 66-67 (1919); Ex parte Ramos, 53 D.P.R. 374, 379 (1938); De Castro v. Junta Comisionados, 59 D.P.R. 676, 680 (1942); R.E. Bernier, La Accesión en Puerto Rico, Barcelona, 1970, pág. 129; R.E. Bernier y J.A. Cuevas Segarra, Aprobación e interpretación de las leyes en Puerto Rico, 2da ed., San Juan, Pubs. J.T.S., 1987, Vol. </w:t>
      </w:r>
      <w:r w:rsidR="00251FCF" w:rsidRPr="006A54EB">
        <w:rPr>
          <w:rFonts w:ascii="Book Antiqua" w:hAnsi="Book Antiqua"/>
        </w:rPr>
        <w:t xml:space="preserve">I, </w:t>
      </w:r>
      <w:proofErr w:type="spellStart"/>
      <w:r w:rsidR="00251FCF" w:rsidRPr="006A54EB">
        <w:rPr>
          <w:rFonts w:ascii="Book Antiqua" w:hAnsi="Book Antiqua"/>
        </w:rPr>
        <w:t>pág</w:t>
      </w:r>
      <w:proofErr w:type="spellEnd"/>
      <w:r w:rsidR="00251FCF" w:rsidRPr="006A54EB">
        <w:rPr>
          <w:rFonts w:ascii="Book Antiqua" w:hAnsi="Book Antiqua"/>
        </w:rPr>
        <w:t xml:space="preserve">. 475 y </w:t>
      </w:r>
      <w:proofErr w:type="spellStart"/>
      <w:r w:rsidR="00251FCF" w:rsidRPr="006A54EB">
        <w:rPr>
          <w:rFonts w:ascii="Book Antiqua" w:hAnsi="Book Antiqua"/>
        </w:rPr>
        <w:t>jurisprudencia</w:t>
      </w:r>
      <w:proofErr w:type="spellEnd"/>
      <w:r w:rsidR="00251FCF" w:rsidRPr="006A54EB">
        <w:rPr>
          <w:rFonts w:ascii="Book Antiqua" w:hAnsi="Book Antiqua"/>
        </w:rPr>
        <w:t xml:space="preserve"> </w:t>
      </w:r>
      <w:proofErr w:type="spellStart"/>
      <w:r w:rsidR="00251FCF" w:rsidRPr="006A54EB">
        <w:rPr>
          <w:rFonts w:ascii="Book Antiqua" w:hAnsi="Book Antiqua"/>
        </w:rPr>
        <w:t>allí</w:t>
      </w:r>
      <w:proofErr w:type="spellEnd"/>
      <w:r w:rsidR="00251FCF" w:rsidRPr="006A54EB">
        <w:rPr>
          <w:rFonts w:ascii="Book Antiqua" w:hAnsi="Book Antiqua"/>
        </w:rPr>
        <w:t xml:space="preserve"> </w:t>
      </w:r>
      <w:proofErr w:type="spellStart"/>
      <w:r w:rsidR="00251FCF" w:rsidRPr="006A54EB">
        <w:rPr>
          <w:rFonts w:ascii="Book Antiqua" w:hAnsi="Book Antiqua"/>
        </w:rPr>
        <w:t>citada</w:t>
      </w:r>
      <w:proofErr w:type="spellEnd"/>
      <w:r w:rsidR="00E45AE6" w:rsidRPr="006A54EB">
        <w:rPr>
          <w:rFonts w:ascii="Book Antiqua" w:hAnsi="Book Antiqua"/>
        </w:rPr>
        <w:t xml:space="preserve">; </w:t>
      </w:r>
      <w:r w:rsidR="00251FCF" w:rsidRPr="006A54EB">
        <w:rPr>
          <w:rFonts w:ascii="Book Antiqua" w:hAnsi="Book Antiqua"/>
        </w:rPr>
        <w:t xml:space="preserve">Shilkret v. </w:t>
      </w:r>
      <w:proofErr w:type="spellStart"/>
      <w:r w:rsidR="00251FCF" w:rsidRPr="006A54EB">
        <w:rPr>
          <w:rFonts w:ascii="Book Antiqua" w:hAnsi="Book Antiqua"/>
        </w:rPr>
        <w:t>Musicraft</w:t>
      </w:r>
      <w:proofErr w:type="spellEnd"/>
      <w:r w:rsidR="00251FCF" w:rsidRPr="006A54EB">
        <w:rPr>
          <w:rFonts w:ascii="Book Antiqua" w:hAnsi="Book Antiqua"/>
        </w:rPr>
        <w:t xml:space="preserve"> Records, 131 F.2d 929, 931 (2do Cir. 1942), cert. </w:t>
      </w:r>
      <w:proofErr w:type="spellStart"/>
      <w:r w:rsidR="00251FCF" w:rsidRPr="006A54EB">
        <w:rPr>
          <w:rFonts w:ascii="Book Antiqua" w:hAnsi="Book Antiqua"/>
        </w:rPr>
        <w:t>denegado</w:t>
      </w:r>
      <w:proofErr w:type="spellEnd"/>
      <w:r w:rsidR="00251FCF" w:rsidRPr="006A54EB">
        <w:rPr>
          <w:rFonts w:ascii="Book Antiqua" w:hAnsi="Book Antiqua"/>
        </w:rPr>
        <w:t xml:space="preserve">, 319 U.S. 742 (1943); Edward B. Marks Music Corp. v. Colorado Mag. Inc., 497 F.2d 285, 288 (10mo Cir. 1974), cert. </w:t>
      </w:r>
      <w:proofErr w:type="spellStart"/>
      <w:r w:rsidR="00251FCF" w:rsidRPr="006A54EB">
        <w:rPr>
          <w:rFonts w:ascii="Book Antiqua" w:hAnsi="Book Antiqua"/>
        </w:rPr>
        <w:t>denegado</w:t>
      </w:r>
      <w:proofErr w:type="spellEnd"/>
      <w:r w:rsidR="00251FCF" w:rsidRPr="006A54EB">
        <w:rPr>
          <w:rFonts w:ascii="Book Antiqua" w:hAnsi="Book Antiqua"/>
        </w:rPr>
        <w:t xml:space="preserve">, 419 U.S. 1120 (1975); U.S. v. State of California, 504 F.2d 750, 754 (Temp. </w:t>
      </w:r>
      <w:r w:rsidR="00251FCF" w:rsidRPr="005A32F2">
        <w:rPr>
          <w:rFonts w:ascii="Book Antiqua" w:hAnsi="Book Antiqua"/>
        </w:rPr>
        <w:t xml:space="preserve">Emer. Ct. App. 1974), cert. </w:t>
      </w:r>
      <w:proofErr w:type="spellStart"/>
      <w:r w:rsidR="00251FCF" w:rsidRPr="005A32F2">
        <w:rPr>
          <w:rFonts w:ascii="Book Antiqua" w:hAnsi="Book Antiqua"/>
        </w:rPr>
        <w:t>denegado</w:t>
      </w:r>
      <w:proofErr w:type="spellEnd"/>
      <w:r w:rsidR="00251FCF" w:rsidRPr="005A32F2">
        <w:rPr>
          <w:rFonts w:ascii="Book Antiqua" w:hAnsi="Book Antiqua"/>
        </w:rPr>
        <w:t xml:space="preserve">, 421 U.S. 1015 (1975); Alabama Power Co. v. </w:t>
      </w:r>
      <w:proofErr w:type="spellStart"/>
      <w:r w:rsidR="00251FCF" w:rsidRPr="005A32F2">
        <w:rPr>
          <w:rFonts w:ascii="Book Antiqua" w:hAnsi="Book Antiqua"/>
        </w:rPr>
        <w:t>Costle</w:t>
      </w:r>
      <w:proofErr w:type="spellEnd"/>
      <w:r w:rsidR="00251FCF" w:rsidRPr="005A32F2">
        <w:rPr>
          <w:rFonts w:ascii="Book Antiqua" w:hAnsi="Book Antiqua"/>
        </w:rPr>
        <w:t>, 636 F.2d 323, 358 (Cir. D.C. 1979); Colo. Dept. of Soc. Serv. v. Dept. of Health, 558 F. Supp. 337, 351 (Colo. D.C. 1983)).</w:t>
      </w:r>
    </w:p>
  </w:footnote>
  <w:footnote w:id="7">
    <w:p w14:paraId="6123C59E" w14:textId="765707D0" w:rsidR="00C94BDA" w:rsidRPr="005A32F2" w:rsidRDefault="00C94BDA">
      <w:pPr>
        <w:pStyle w:val="FootnoteText"/>
        <w:rPr>
          <w:rFonts w:ascii="Book Antiqua" w:hAnsi="Book Antiqua"/>
        </w:rPr>
      </w:pPr>
      <w:r w:rsidRPr="005A32F2">
        <w:rPr>
          <w:rStyle w:val="FootnoteReference"/>
          <w:rFonts w:ascii="Book Antiqua" w:hAnsi="Book Antiqua"/>
        </w:rPr>
        <w:footnoteRef/>
      </w:r>
      <w:r w:rsidRPr="005A32F2">
        <w:rPr>
          <w:rFonts w:ascii="Book Antiqua" w:hAnsi="Book Antiqua"/>
        </w:rPr>
        <w:t xml:space="preserve"> </w:t>
      </w:r>
      <w:r w:rsidRPr="006A54EB">
        <w:rPr>
          <w:rFonts w:ascii="Book Antiqua" w:hAnsi="Book Antiqua"/>
          <w:i/>
          <w:iCs/>
        </w:rPr>
        <w:t>Id</w:t>
      </w:r>
      <w:r w:rsidRPr="005A32F2">
        <w:rPr>
          <w:rFonts w:ascii="Book Antiqua" w:hAnsi="Book Antiqua"/>
        </w:rPr>
        <w:t>. (</w:t>
      </w:r>
      <w:proofErr w:type="spellStart"/>
      <w:r w:rsidRPr="006A54EB">
        <w:rPr>
          <w:rFonts w:ascii="Book Antiqua" w:hAnsi="Book Antiqua"/>
          <w:i/>
          <w:iCs/>
        </w:rPr>
        <w:t>citando</w:t>
      </w:r>
      <w:proofErr w:type="spellEnd"/>
      <w:r w:rsidRPr="006A54EB">
        <w:rPr>
          <w:rFonts w:ascii="Book Antiqua" w:hAnsi="Book Antiqua"/>
          <w:i/>
          <w:iCs/>
        </w:rPr>
        <w:t xml:space="preserve"> a</w:t>
      </w:r>
      <w:r w:rsidRPr="005A32F2">
        <w:rPr>
          <w:rFonts w:ascii="Book Antiqua" w:hAnsi="Book Antiqua"/>
        </w:rPr>
        <w:t xml:space="preserve"> </w:t>
      </w:r>
      <w:r w:rsidR="00621F99" w:rsidRPr="005A32F2">
        <w:rPr>
          <w:rFonts w:ascii="Book Antiqua" w:hAnsi="Book Antiqua"/>
        </w:rPr>
        <w:t>White Star Bus Line, Inc. v. Sánchez, 59 D.P.R. 748, 752 (1942)</w:t>
      </w:r>
      <w:r w:rsidR="004E469A">
        <w:rPr>
          <w:rFonts w:ascii="Book Antiqua" w:hAnsi="Book Antiqua"/>
        </w:rPr>
        <w:t xml:space="preserve"> (</w:t>
      </w:r>
      <w:proofErr w:type="spellStart"/>
      <w:r w:rsidR="00576616">
        <w:rPr>
          <w:rFonts w:ascii="Book Antiqua" w:hAnsi="Book Antiqua"/>
        </w:rPr>
        <w:t>énfasis</w:t>
      </w:r>
      <w:proofErr w:type="spellEnd"/>
      <w:r w:rsidR="004E469A">
        <w:rPr>
          <w:rFonts w:ascii="Book Antiqua" w:hAnsi="Book Antiqua"/>
        </w:rPr>
        <w:t xml:space="preserve"> </w:t>
      </w:r>
      <w:proofErr w:type="spellStart"/>
      <w:r w:rsidR="004E469A">
        <w:rPr>
          <w:rFonts w:ascii="Book Antiqua" w:hAnsi="Book Antiqua"/>
        </w:rPr>
        <w:t>suplido</w:t>
      </w:r>
      <w:proofErr w:type="spellEnd"/>
      <w:r w:rsidR="004E469A">
        <w:rPr>
          <w:rFonts w:ascii="Book Antiqua" w:hAnsi="Book Antiqua"/>
        </w:rPr>
        <w:t>)</w:t>
      </w:r>
      <w:r w:rsidR="00621F99" w:rsidRPr="005A32F2">
        <w:rPr>
          <w:rFonts w:ascii="Book Antiqua" w:hAnsi="Book Antiqua"/>
        </w:rPr>
        <w:t>)</w:t>
      </w:r>
    </w:p>
  </w:footnote>
  <w:footnote w:id="8">
    <w:p w14:paraId="3DC352E2" w14:textId="37235486" w:rsidR="00A82C32" w:rsidRPr="005A32F2" w:rsidRDefault="00A82C32" w:rsidP="00251FCF">
      <w:pPr>
        <w:pStyle w:val="FootnoteText"/>
        <w:jc w:val="both"/>
        <w:rPr>
          <w:rFonts w:ascii="Book Antiqua" w:hAnsi="Book Antiqua"/>
          <w:lang w:val="es-ES"/>
        </w:rPr>
      </w:pPr>
      <w:r w:rsidRPr="005A32F2">
        <w:rPr>
          <w:rStyle w:val="FootnoteReference"/>
          <w:rFonts w:ascii="Book Antiqua" w:hAnsi="Book Antiqua"/>
        </w:rPr>
        <w:footnoteRef/>
      </w:r>
      <w:r w:rsidRPr="005A32F2">
        <w:rPr>
          <w:rFonts w:ascii="Book Antiqua" w:hAnsi="Book Antiqua"/>
          <w:lang w:val="es-ES"/>
        </w:rPr>
        <w:t xml:space="preserve"> Art. 10</w:t>
      </w:r>
      <w:r w:rsidR="004742FD" w:rsidRPr="005A32F2">
        <w:rPr>
          <w:rFonts w:ascii="Book Antiqua" w:hAnsi="Book Antiqua"/>
          <w:lang w:val="es-ES"/>
        </w:rPr>
        <w:t>, Ley 15-2017, según enmendada, conocida como “Ley del Inspector General de Puerto Rico”.</w:t>
      </w:r>
    </w:p>
  </w:footnote>
  <w:footnote w:id="9">
    <w:p w14:paraId="4EC59C9D" w14:textId="1B9EF24A" w:rsidR="00A5725C" w:rsidRPr="005A32F2" w:rsidRDefault="00A5725C" w:rsidP="00251FCF">
      <w:pPr>
        <w:pStyle w:val="FootnoteText"/>
        <w:jc w:val="both"/>
        <w:rPr>
          <w:rFonts w:ascii="Book Antiqua" w:hAnsi="Book Antiqua"/>
          <w:lang w:val="es-ES"/>
        </w:rPr>
      </w:pPr>
      <w:r w:rsidRPr="005A32F2">
        <w:rPr>
          <w:rStyle w:val="FootnoteReference"/>
          <w:rFonts w:ascii="Book Antiqua" w:hAnsi="Book Antiqua"/>
        </w:rPr>
        <w:footnoteRef/>
      </w:r>
      <w:r w:rsidRPr="005A32F2">
        <w:rPr>
          <w:rFonts w:ascii="Book Antiqua" w:hAnsi="Book Antiqua"/>
          <w:lang w:val="es-ES"/>
        </w:rPr>
        <w:t xml:space="preserve"> </w:t>
      </w:r>
      <w:r w:rsidR="00A66468" w:rsidRPr="005A32F2">
        <w:rPr>
          <w:rFonts w:ascii="Book Antiqua" w:hAnsi="Book Antiqua"/>
          <w:lang w:val="es-ES"/>
        </w:rPr>
        <w:t xml:space="preserve">Art. 5, Ley 2 de 23 de </w:t>
      </w:r>
      <w:r w:rsidR="006A54EB" w:rsidRPr="005A32F2">
        <w:rPr>
          <w:rFonts w:ascii="Book Antiqua" w:hAnsi="Book Antiqua"/>
          <w:lang w:val="es-ES"/>
        </w:rPr>
        <w:t>febrero</w:t>
      </w:r>
      <w:r w:rsidR="00A66468" w:rsidRPr="005A32F2">
        <w:rPr>
          <w:rFonts w:ascii="Book Antiqua" w:hAnsi="Book Antiqua"/>
          <w:lang w:val="es-ES"/>
        </w:rPr>
        <w:t xml:space="preserve"> de 1988, según enmendada, conocida como “Ley de la Oficina del Panel sobre el Fiscal Especial Independiente”.</w:t>
      </w:r>
    </w:p>
  </w:footnote>
  <w:footnote w:id="10">
    <w:p w14:paraId="02A836EC" w14:textId="65443254" w:rsidR="00367F70" w:rsidRPr="00E45AE6" w:rsidRDefault="00367F70" w:rsidP="00251FCF">
      <w:pPr>
        <w:pStyle w:val="FootnoteText"/>
        <w:jc w:val="both"/>
        <w:rPr>
          <w:rFonts w:ascii="Book Antiqua" w:hAnsi="Book Antiqua"/>
          <w:lang w:val="es-ES"/>
        </w:rPr>
      </w:pPr>
      <w:r w:rsidRPr="005A32F2">
        <w:rPr>
          <w:rStyle w:val="FootnoteReference"/>
          <w:rFonts w:ascii="Book Antiqua" w:hAnsi="Book Antiqua"/>
        </w:rPr>
        <w:footnoteRef/>
      </w:r>
      <w:r w:rsidRPr="00E45AE6">
        <w:rPr>
          <w:rFonts w:ascii="Book Antiqua" w:hAnsi="Book Antiqua"/>
          <w:lang w:val="es-ES"/>
        </w:rPr>
        <w:t xml:space="preserve"> </w:t>
      </w:r>
      <w:r w:rsidRPr="006A54EB">
        <w:rPr>
          <w:rFonts w:ascii="Book Antiqua" w:hAnsi="Book Antiqua"/>
          <w:i/>
          <w:iCs/>
          <w:lang w:val="es-ES"/>
        </w:rPr>
        <w:t>Id</w:t>
      </w:r>
      <w:r w:rsidRPr="00E45AE6">
        <w:rPr>
          <w:rFonts w:ascii="Book Antiqua" w:hAnsi="Book Antiqua"/>
          <w:lang w:val="es-ES"/>
        </w:rPr>
        <w:t xml:space="preserve">. </w:t>
      </w:r>
    </w:p>
  </w:footnote>
  <w:footnote w:id="11">
    <w:p w14:paraId="63A34F0F" w14:textId="77777777" w:rsidR="001E7FDD" w:rsidRPr="005A32F2" w:rsidRDefault="001E7FDD" w:rsidP="001E7FDD">
      <w:pPr>
        <w:pStyle w:val="FootnoteText"/>
        <w:rPr>
          <w:rFonts w:ascii="Book Antiqua" w:hAnsi="Book Antiqua"/>
          <w:lang w:val="es-ES"/>
        </w:rPr>
      </w:pPr>
      <w:r w:rsidRPr="005A32F2">
        <w:rPr>
          <w:rStyle w:val="FootnoteReference"/>
          <w:rFonts w:ascii="Book Antiqua" w:hAnsi="Book Antiqua"/>
        </w:rPr>
        <w:footnoteRef/>
      </w:r>
      <w:r w:rsidRPr="005A32F2">
        <w:rPr>
          <w:rFonts w:ascii="Book Antiqua" w:hAnsi="Book Antiqua"/>
          <w:lang w:val="es-ES"/>
        </w:rPr>
        <w:t xml:space="preserve"> Pueblo v. González Malavé, 116 DPR 578, 586 (1985).</w:t>
      </w:r>
    </w:p>
  </w:footnote>
  <w:footnote w:id="12">
    <w:p w14:paraId="14A70A40" w14:textId="59A0B451" w:rsidR="005A32F2" w:rsidRPr="005A32F2" w:rsidRDefault="005A32F2">
      <w:pPr>
        <w:pStyle w:val="FootnoteText"/>
        <w:rPr>
          <w:rFonts w:ascii="Book Antiqua" w:hAnsi="Book Antiqua"/>
          <w:lang w:val="es-ES"/>
        </w:rPr>
      </w:pPr>
      <w:r w:rsidRPr="005A32F2">
        <w:rPr>
          <w:rStyle w:val="FootnoteReference"/>
          <w:rFonts w:ascii="Book Antiqua" w:hAnsi="Book Antiqua"/>
        </w:rPr>
        <w:footnoteRef/>
      </w:r>
      <w:r w:rsidRPr="005A32F2">
        <w:rPr>
          <w:rFonts w:ascii="Book Antiqua" w:hAnsi="Book Antiqua"/>
          <w:lang w:val="es-ES"/>
        </w:rPr>
        <w:t xml:space="preserve"> Pueblo v. Colón Bonet 200 DPR 27, 44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4F1BD9BE"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w:t>
    </w:r>
    <w:r w:rsidR="000D2F1E">
      <w:rPr>
        <w:rFonts w:ascii="Book Antiqua" w:hAnsi="Book Antiqua"/>
        <w:i/>
        <w:iCs/>
        <w:sz w:val="20"/>
        <w:lang w:val="es-PR"/>
      </w:rPr>
      <w:t>Negativo</w:t>
    </w:r>
    <w:r w:rsidRPr="007B4C52">
      <w:rPr>
        <w:rFonts w:ascii="Book Antiqua" w:hAnsi="Book Antiqua"/>
        <w:i/>
        <w:iCs/>
        <w:sz w:val="20"/>
        <w:lang w:val="es-PR"/>
      </w:rPr>
      <w:t xml:space="preserve"> sobre el </w:t>
    </w:r>
    <w:r w:rsidR="000C7129">
      <w:rPr>
        <w:rFonts w:ascii="Book Antiqua" w:hAnsi="Book Antiqua"/>
        <w:i/>
        <w:iCs/>
        <w:sz w:val="20"/>
        <w:lang w:val="es-PR"/>
      </w:rPr>
      <w:t>P</w:t>
    </w:r>
    <w:r w:rsidR="000D2F1E">
      <w:rPr>
        <w:rFonts w:ascii="Book Antiqua" w:hAnsi="Book Antiqua"/>
        <w:i/>
        <w:iCs/>
        <w:sz w:val="20"/>
        <w:lang w:val="es-PR"/>
      </w:rPr>
      <w:t>.</w:t>
    </w:r>
    <w:r w:rsidR="000C7129">
      <w:rPr>
        <w:rFonts w:ascii="Book Antiqua" w:hAnsi="Book Antiqua"/>
        <w:i/>
        <w:iCs/>
        <w:sz w:val="20"/>
        <w:lang w:val="es-PR"/>
      </w:rPr>
      <w:t xml:space="preserve"> de la C. 309</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48DC728F"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w:t>
    </w:r>
    <w:r w:rsidR="007F2158">
      <w:rPr>
        <w:rFonts w:ascii="Book Antiqua" w:hAnsi="Book Antiqua"/>
        <w:i/>
        <w:iCs/>
        <w:sz w:val="20"/>
        <w:lang w:val="es-PR"/>
      </w:rPr>
      <w:t>Negativo</w:t>
    </w:r>
    <w:r w:rsidRPr="009F524F">
      <w:rPr>
        <w:rFonts w:ascii="Book Antiqua" w:hAnsi="Book Antiqua"/>
        <w:i/>
        <w:iCs/>
        <w:sz w:val="20"/>
        <w:lang w:val="es-PR"/>
      </w:rPr>
      <w:t xml:space="preserve"> sobre el </w:t>
    </w:r>
    <w:r w:rsidR="005B151E">
      <w:rPr>
        <w:rFonts w:ascii="Book Antiqua" w:hAnsi="Book Antiqua"/>
        <w:i/>
        <w:iCs/>
        <w:sz w:val="20"/>
        <w:lang w:val="es-PR"/>
      </w:rPr>
      <w:t>P</w:t>
    </w:r>
    <w:r w:rsidR="007F2158">
      <w:rPr>
        <w:rFonts w:ascii="Book Antiqua" w:hAnsi="Book Antiqua"/>
        <w:i/>
        <w:iCs/>
        <w:sz w:val="20"/>
        <w:lang w:val="es-PR"/>
      </w:rPr>
      <w:t>.</w:t>
    </w:r>
    <w:r w:rsidR="005B151E">
      <w:rPr>
        <w:rFonts w:ascii="Book Antiqua" w:hAnsi="Book Antiqua"/>
        <w:i/>
        <w:iCs/>
        <w:sz w:val="20"/>
        <w:lang w:val="es-PR"/>
      </w:rPr>
      <w:t xml:space="preserve"> de la C. 309</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C218DF"/>
    <w:multiLevelType w:val="hybridMultilevel"/>
    <w:tmpl w:val="2952744E"/>
    <w:lvl w:ilvl="0" w:tplc="045217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DB674C"/>
    <w:multiLevelType w:val="hybridMultilevel"/>
    <w:tmpl w:val="59300902"/>
    <w:lvl w:ilvl="0" w:tplc="6FCC6EA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3"/>
  </w:num>
  <w:num w:numId="3" w16cid:durableId="1740246671">
    <w:abstractNumId w:val="4"/>
  </w:num>
  <w:num w:numId="4" w16cid:durableId="1210073537">
    <w:abstractNumId w:val="2"/>
  </w:num>
  <w:num w:numId="5" w16cid:durableId="1052465916">
    <w:abstractNumId w:val="5"/>
  </w:num>
  <w:num w:numId="6" w16cid:durableId="2085452212">
    <w:abstractNumId w:val="6"/>
  </w:num>
  <w:num w:numId="7" w16cid:durableId="1333414551">
    <w:abstractNumId w:val="7"/>
  </w:num>
  <w:num w:numId="8" w16cid:durableId="124200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2BE6"/>
    <w:rsid w:val="00043B59"/>
    <w:rsid w:val="00044B5A"/>
    <w:rsid w:val="00045442"/>
    <w:rsid w:val="00046DD2"/>
    <w:rsid w:val="00051A99"/>
    <w:rsid w:val="000533CB"/>
    <w:rsid w:val="0005560C"/>
    <w:rsid w:val="00061A27"/>
    <w:rsid w:val="00066916"/>
    <w:rsid w:val="000879BC"/>
    <w:rsid w:val="000902F9"/>
    <w:rsid w:val="000945D3"/>
    <w:rsid w:val="000A0CEF"/>
    <w:rsid w:val="000A135C"/>
    <w:rsid w:val="000B071A"/>
    <w:rsid w:val="000B3411"/>
    <w:rsid w:val="000B39C5"/>
    <w:rsid w:val="000B44A6"/>
    <w:rsid w:val="000C18B9"/>
    <w:rsid w:val="000C52A1"/>
    <w:rsid w:val="000C5B91"/>
    <w:rsid w:val="000C7129"/>
    <w:rsid w:val="000D2F1E"/>
    <w:rsid w:val="000D3899"/>
    <w:rsid w:val="000E0D6C"/>
    <w:rsid w:val="000E4A6D"/>
    <w:rsid w:val="000E6B35"/>
    <w:rsid w:val="000F7663"/>
    <w:rsid w:val="0010073E"/>
    <w:rsid w:val="00104CF6"/>
    <w:rsid w:val="00107712"/>
    <w:rsid w:val="00110172"/>
    <w:rsid w:val="00111E71"/>
    <w:rsid w:val="00112C2C"/>
    <w:rsid w:val="00114F93"/>
    <w:rsid w:val="00127010"/>
    <w:rsid w:val="001312DC"/>
    <w:rsid w:val="00152956"/>
    <w:rsid w:val="00152AEE"/>
    <w:rsid w:val="00157BC8"/>
    <w:rsid w:val="001641D1"/>
    <w:rsid w:val="00172EE0"/>
    <w:rsid w:val="00186AB6"/>
    <w:rsid w:val="00191ED7"/>
    <w:rsid w:val="0019349C"/>
    <w:rsid w:val="001A4A02"/>
    <w:rsid w:val="001A7434"/>
    <w:rsid w:val="001B5218"/>
    <w:rsid w:val="001B77D6"/>
    <w:rsid w:val="001C0F9B"/>
    <w:rsid w:val="001C2FA8"/>
    <w:rsid w:val="001C31BA"/>
    <w:rsid w:val="001C5DEB"/>
    <w:rsid w:val="001C7BC8"/>
    <w:rsid w:val="001D12A7"/>
    <w:rsid w:val="001D3C1D"/>
    <w:rsid w:val="001D70F5"/>
    <w:rsid w:val="001D79E5"/>
    <w:rsid w:val="001E78B4"/>
    <w:rsid w:val="001E7FDD"/>
    <w:rsid w:val="001F4245"/>
    <w:rsid w:val="001F7ABB"/>
    <w:rsid w:val="00200B6F"/>
    <w:rsid w:val="00201567"/>
    <w:rsid w:val="00201B8C"/>
    <w:rsid w:val="00213CAD"/>
    <w:rsid w:val="002214F8"/>
    <w:rsid w:val="0022642B"/>
    <w:rsid w:val="0024131E"/>
    <w:rsid w:val="00242E80"/>
    <w:rsid w:val="00243FD8"/>
    <w:rsid w:val="0024587F"/>
    <w:rsid w:val="00246C97"/>
    <w:rsid w:val="00251FCF"/>
    <w:rsid w:val="0025270C"/>
    <w:rsid w:val="00254B92"/>
    <w:rsid w:val="00255AF9"/>
    <w:rsid w:val="00262270"/>
    <w:rsid w:val="002663EA"/>
    <w:rsid w:val="00266EEC"/>
    <w:rsid w:val="002671BE"/>
    <w:rsid w:val="0027212A"/>
    <w:rsid w:val="0027266F"/>
    <w:rsid w:val="002779B7"/>
    <w:rsid w:val="002B0B9E"/>
    <w:rsid w:val="002B62DE"/>
    <w:rsid w:val="002C18ED"/>
    <w:rsid w:val="002C402D"/>
    <w:rsid w:val="002D185B"/>
    <w:rsid w:val="002D4AC8"/>
    <w:rsid w:val="002E3F48"/>
    <w:rsid w:val="002E4A52"/>
    <w:rsid w:val="002E66F9"/>
    <w:rsid w:val="002F0440"/>
    <w:rsid w:val="002F79D4"/>
    <w:rsid w:val="00303FA5"/>
    <w:rsid w:val="003046E3"/>
    <w:rsid w:val="003059D5"/>
    <w:rsid w:val="00311782"/>
    <w:rsid w:val="00316786"/>
    <w:rsid w:val="00317E76"/>
    <w:rsid w:val="00317E92"/>
    <w:rsid w:val="003205D4"/>
    <w:rsid w:val="003239C5"/>
    <w:rsid w:val="00330372"/>
    <w:rsid w:val="00334935"/>
    <w:rsid w:val="00337BB7"/>
    <w:rsid w:val="0034055D"/>
    <w:rsid w:val="003465C8"/>
    <w:rsid w:val="0034766E"/>
    <w:rsid w:val="00352C78"/>
    <w:rsid w:val="00367F70"/>
    <w:rsid w:val="00381F18"/>
    <w:rsid w:val="0038390D"/>
    <w:rsid w:val="003857EC"/>
    <w:rsid w:val="003859BC"/>
    <w:rsid w:val="00386D32"/>
    <w:rsid w:val="0039037B"/>
    <w:rsid w:val="003906D8"/>
    <w:rsid w:val="00393CA6"/>
    <w:rsid w:val="003A201A"/>
    <w:rsid w:val="003B0348"/>
    <w:rsid w:val="003D7045"/>
    <w:rsid w:val="00402413"/>
    <w:rsid w:val="004076B9"/>
    <w:rsid w:val="00412A61"/>
    <w:rsid w:val="00415783"/>
    <w:rsid w:val="004158D8"/>
    <w:rsid w:val="004227D1"/>
    <w:rsid w:val="00424144"/>
    <w:rsid w:val="004278D1"/>
    <w:rsid w:val="00430AA7"/>
    <w:rsid w:val="00430CBA"/>
    <w:rsid w:val="004408DF"/>
    <w:rsid w:val="004440CB"/>
    <w:rsid w:val="00444FD2"/>
    <w:rsid w:val="00445E69"/>
    <w:rsid w:val="0044714B"/>
    <w:rsid w:val="004713D2"/>
    <w:rsid w:val="004742FD"/>
    <w:rsid w:val="004817F3"/>
    <w:rsid w:val="00481C39"/>
    <w:rsid w:val="00487AC3"/>
    <w:rsid w:val="004918F1"/>
    <w:rsid w:val="004A05FC"/>
    <w:rsid w:val="004A0FD4"/>
    <w:rsid w:val="004A1504"/>
    <w:rsid w:val="004A18C6"/>
    <w:rsid w:val="004B0082"/>
    <w:rsid w:val="004B0664"/>
    <w:rsid w:val="004B1C7E"/>
    <w:rsid w:val="004C370E"/>
    <w:rsid w:val="004D2BC7"/>
    <w:rsid w:val="004D4E14"/>
    <w:rsid w:val="004E469A"/>
    <w:rsid w:val="004E4976"/>
    <w:rsid w:val="004E70C8"/>
    <w:rsid w:val="004E7F65"/>
    <w:rsid w:val="004F6E72"/>
    <w:rsid w:val="004F7173"/>
    <w:rsid w:val="0051050B"/>
    <w:rsid w:val="00514646"/>
    <w:rsid w:val="00514E42"/>
    <w:rsid w:val="005212A6"/>
    <w:rsid w:val="00530395"/>
    <w:rsid w:val="005354C6"/>
    <w:rsid w:val="00535EE6"/>
    <w:rsid w:val="00540B6A"/>
    <w:rsid w:val="00540DDE"/>
    <w:rsid w:val="00541FE3"/>
    <w:rsid w:val="005478C9"/>
    <w:rsid w:val="00550023"/>
    <w:rsid w:val="00550412"/>
    <w:rsid w:val="00552B8A"/>
    <w:rsid w:val="00555018"/>
    <w:rsid w:val="0057054C"/>
    <w:rsid w:val="00571713"/>
    <w:rsid w:val="00571789"/>
    <w:rsid w:val="00573858"/>
    <w:rsid w:val="00573B23"/>
    <w:rsid w:val="005741F6"/>
    <w:rsid w:val="00576616"/>
    <w:rsid w:val="00580EC6"/>
    <w:rsid w:val="005817B7"/>
    <w:rsid w:val="00592B05"/>
    <w:rsid w:val="00595F5F"/>
    <w:rsid w:val="00597DF8"/>
    <w:rsid w:val="005A24EF"/>
    <w:rsid w:val="005A32F2"/>
    <w:rsid w:val="005A4787"/>
    <w:rsid w:val="005B151E"/>
    <w:rsid w:val="005B2884"/>
    <w:rsid w:val="005C37AD"/>
    <w:rsid w:val="005C5E81"/>
    <w:rsid w:val="005D2E57"/>
    <w:rsid w:val="005D4AA7"/>
    <w:rsid w:val="005E150B"/>
    <w:rsid w:val="005E7E85"/>
    <w:rsid w:val="0061550A"/>
    <w:rsid w:val="00615AB1"/>
    <w:rsid w:val="00615E64"/>
    <w:rsid w:val="00621F99"/>
    <w:rsid w:val="00622333"/>
    <w:rsid w:val="006239E8"/>
    <w:rsid w:val="00646C38"/>
    <w:rsid w:val="00650D8E"/>
    <w:rsid w:val="0066129F"/>
    <w:rsid w:val="00662809"/>
    <w:rsid w:val="006807C0"/>
    <w:rsid w:val="0068348C"/>
    <w:rsid w:val="00683D26"/>
    <w:rsid w:val="00685BFC"/>
    <w:rsid w:val="006861CE"/>
    <w:rsid w:val="00687A70"/>
    <w:rsid w:val="00694E2B"/>
    <w:rsid w:val="006A24A9"/>
    <w:rsid w:val="006A54EB"/>
    <w:rsid w:val="006A732E"/>
    <w:rsid w:val="006B3D07"/>
    <w:rsid w:val="006B6346"/>
    <w:rsid w:val="006B7E26"/>
    <w:rsid w:val="006C283C"/>
    <w:rsid w:val="006C654C"/>
    <w:rsid w:val="006D01F6"/>
    <w:rsid w:val="006D2A81"/>
    <w:rsid w:val="006D49D8"/>
    <w:rsid w:val="006D5838"/>
    <w:rsid w:val="006D6359"/>
    <w:rsid w:val="006E5B7A"/>
    <w:rsid w:val="006F0C08"/>
    <w:rsid w:val="006F226E"/>
    <w:rsid w:val="006F51A8"/>
    <w:rsid w:val="00714102"/>
    <w:rsid w:val="007163D8"/>
    <w:rsid w:val="007167F5"/>
    <w:rsid w:val="00716A76"/>
    <w:rsid w:val="00720B6F"/>
    <w:rsid w:val="007229E9"/>
    <w:rsid w:val="00725174"/>
    <w:rsid w:val="0073675F"/>
    <w:rsid w:val="007472C1"/>
    <w:rsid w:val="007535BB"/>
    <w:rsid w:val="007611FE"/>
    <w:rsid w:val="00777E1D"/>
    <w:rsid w:val="00785050"/>
    <w:rsid w:val="00793E19"/>
    <w:rsid w:val="0079599E"/>
    <w:rsid w:val="007B4C52"/>
    <w:rsid w:val="007B7197"/>
    <w:rsid w:val="007C04E5"/>
    <w:rsid w:val="007C156B"/>
    <w:rsid w:val="007C592E"/>
    <w:rsid w:val="007D13E7"/>
    <w:rsid w:val="007D5A59"/>
    <w:rsid w:val="007E17BE"/>
    <w:rsid w:val="007E3B6D"/>
    <w:rsid w:val="007F0829"/>
    <w:rsid w:val="007F2158"/>
    <w:rsid w:val="007F62AB"/>
    <w:rsid w:val="00803A23"/>
    <w:rsid w:val="008061C2"/>
    <w:rsid w:val="00815BF2"/>
    <w:rsid w:val="00820C41"/>
    <w:rsid w:val="008235BE"/>
    <w:rsid w:val="00825070"/>
    <w:rsid w:val="008379CD"/>
    <w:rsid w:val="008404D3"/>
    <w:rsid w:val="00855CD6"/>
    <w:rsid w:val="0086515A"/>
    <w:rsid w:val="00865634"/>
    <w:rsid w:val="008701E6"/>
    <w:rsid w:val="00882DB2"/>
    <w:rsid w:val="00891384"/>
    <w:rsid w:val="008A02DE"/>
    <w:rsid w:val="008A154B"/>
    <w:rsid w:val="008A40E0"/>
    <w:rsid w:val="008B4451"/>
    <w:rsid w:val="008C18B2"/>
    <w:rsid w:val="008C331F"/>
    <w:rsid w:val="008C39D5"/>
    <w:rsid w:val="008C45A9"/>
    <w:rsid w:val="008D3E5F"/>
    <w:rsid w:val="008E051A"/>
    <w:rsid w:val="008E5266"/>
    <w:rsid w:val="008F717C"/>
    <w:rsid w:val="00904165"/>
    <w:rsid w:val="00905655"/>
    <w:rsid w:val="00907E93"/>
    <w:rsid w:val="00912AE7"/>
    <w:rsid w:val="009133CF"/>
    <w:rsid w:val="009154BD"/>
    <w:rsid w:val="0092080B"/>
    <w:rsid w:val="00922637"/>
    <w:rsid w:val="009313EE"/>
    <w:rsid w:val="009374E4"/>
    <w:rsid w:val="00940E84"/>
    <w:rsid w:val="00946BB4"/>
    <w:rsid w:val="00946E55"/>
    <w:rsid w:val="00946E90"/>
    <w:rsid w:val="0096171F"/>
    <w:rsid w:val="009645CD"/>
    <w:rsid w:val="00970DEB"/>
    <w:rsid w:val="00981A1F"/>
    <w:rsid w:val="00984F56"/>
    <w:rsid w:val="009A08E8"/>
    <w:rsid w:val="009A4A2C"/>
    <w:rsid w:val="009A4FB3"/>
    <w:rsid w:val="009B5669"/>
    <w:rsid w:val="009B619C"/>
    <w:rsid w:val="009C4211"/>
    <w:rsid w:val="009C455C"/>
    <w:rsid w:val="009E0BA6"/>
    <w:rsid w:val="009E20DD"/>
    <w:rsid w:val="009F427F"/>
    <w:rsid w:val="009F524F"/>
    <w:rsid w:val="009F68F4"/>
    <w:rsid w:val="00A049B0"/>
    <w:rsid w:val="00A059F6"/>
    <w:rsid w:val="00A05EDB"/>
    <w:rsid w:val="00A06A16"/>
    <w:rsid w:val="00A11BDC"/>
    <w:rsid w:val="00A11ED0"/>
    <w:rsid w:val="00A12823"/>
    <w:rsid w:val="00A13CBC"/>
    <w:rsid w:val="00A15144"/>
    <w:rsid w:val="00A24FF3"/>
    <w:rsid w:val="00A30115"/>
    <w:rsid w:val="00A303ED"/>
    <w:rsid w:val="00A30959"/>
    <w:rsid w:val="00A3182D"/>
    <w:rsid w:val="00A35101"/>
    <w:rsid w:val="00A4449C"/>
    <w:rsid w:val="00A52A66"/>
    <w:rsid w:val="00A52CD9"/>
    <w:rsid w:val="00A5725C"/>
    <w:rsid w:val="00A6445C"/>
    <w:rsid w:val="00A66468"/>
    <w:rsid w:val="00A808E6"/>
    <w:rsid w:val="00A82C32"/>
    <w:rsid w:val="00A83095"/>
    <w:rsid w:val="00A83C12"/>
    <w:rsid w:val="00A870EF"/>
    <w:rsid w:val="00A8770E"/>
    <w:rsid w:val="00A90DAD"/>
    <w:rsid w:val="00A90EAE"/>
    <w:rsid w:val="00A93C47"/>
    <w:rsid w:val="00AA0006"/>
    <w:rsid w:val="00AA7B4F"/>
    <w:rsid w:val="00AB2E69"/>
    <w:rsid w:val="00AC3813"/>
    <w:rsid w:val="00AD076F"/>
    <w:rsid w:val="00AD4B71"/>
    <w:rsid w:val="00AE1F08"/>
    <w:rsid w:val="00AE555C"/>
    <w:rsid w:val="00AF12FB"/>
    <w:rsid w:val="00AF3780"/>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6764B"/>
    <w:rsid w:val="00B702A0"/>
    <w:rsid w:val="00B70EB9"/>
    <w:rsid w:val="00B807DC"/>
    <w:rsid w:val="00B8514B"/>
    <w:rsid w:val="00B8540B"/>
    <w:rsid w:val="00B937A0"/>
    <w:rsid w:val="00BA0F95"/>
    <w:rsid w:val="00BA43F4"/>
    <w:rsid w:val="00BB20A7"/>
    <w:rsid w:val="00BB6946"/>
    <w:rsid w:val="00BB7826"/>
    <w:rsid w:val="00BC7625"/>
    <w:rsid w:val="00BD3BEF"/>
    <w:rsid w:val="00BE1535"/>
    <w:rsid w:val="00BE6740"/>
    <w:rsid w:val="00BF358A"/>
    <w:rsid w:val="00BF39E2"/>
    <w:rsid w:val="00C0210B"/>
    <w:rsid w:val="00C03E96"/>
    <w:rsid w:val="00C20997"/>
    <w:rsid w:val="00C21A5A"/>
    <w:rsid w:val="00C22AFC"/>
    <w:rsid w:val="00C24817"/>
    <w:rsid w:val="00C32ECE"/>
    <w:rsid w:val="00C41CC9"/>
    <w:rsid w:val="00C4275E"/>
    <w:rsid w:val="00C6071A"/>
    <w:rsid w:val="00C65A5F"/>
    <w:rsid w:val="00C7303D"/>
    <w:rsid w:val="00C760D6"/>
    <w:rsid w:val="00C86713"/>
    <w:rsid w:val="00C869B3"/>
    <w:rsid w:val="00C90F11"/>
    <w:rsid w:val="00C927AC"/>
    <w:rsid w:val="00C94BDA"/>
    <w:rsid w:val="00C9772C"/>
    <w:rsid w:val="00CA1098"/>
    <w:rsid w:val="00CA5E1E"/>
    <w:rsid w:val="00CA6DDD"/>
    <w:rsid w:val="00CB5806"/>
    <w:rsid w:val="00CC4859"/>
    <w:rsid w:val="00CC66A0"/>
    <w:rsid w:val="00CD33F9"/>
    <w:rsid w:val="00CE532D"/>
    <w:rsid w:val="00CE7DA0"/>
    <w:rsid w:val="00CF32AA"/>
    <w:rsid w:val="00CF4C00"/>
    <w:rsid w:val="00D0004D"/>
    <w:rsid w:val="00D01A55"/>
    <w:rsid w:val="00D11B5C"/>
    <w:rsid w:val="00D13D23"/>
    <w:rsid w:val="00D16947"/>
    <w:rsid w:val="00D365D1"/>
    <w:rsid w:val="00D453B5"/>
    <w:rsid w:val="00D5351E"/>
    <w:rsid w:val="00D56051"/>
    <w:rsid w:val="00D61B6F"/>
    <w:rsid w:val="00D759DB"/>
    <w:rsid w:val="00D8699D"/>
    <w:rsid w:val="00D9263A"/>
    <w:rsid w:val="00D93BA6"/>
    <w:rsid w:val="00D95836"/>
    <w:rsid w:val="00D95EAD"/>
    <w:rsid w:val="00D96D40"/>
    <w:rsid w:val="00DA0051"/>
    <w:rsid w:val="00DA1E64"/>
    <w:rsid w:val="00DB25BF"/>
    <w:rsid w:val="00DB3451"/>
    <w:rsid w:val="00DB4C88"/>
    <w:rsid w:val="00DC2909"/>
    <w:rsid w:val="00DC7D84"/>
    <w:rsid w:val="00DD122E"/>
    <w:rsid w:val="00DD48C9"/>
    <w:rsid w:val="00DD58BD"/>
    <w:rsid w:val="00DE0BB5"/>
    <w:rsid w:val="00DE189A"/>
    <w:rsid w:val="00DE6362"/>
    <w:rsid w:val="00DF0352"/>
    <w:rsid w:val="00DF45DC"/>
    <w:rsid w:val="00E14B9C"/>
    <w:rsid w:val="00E157D9"/>
    <w:rsid w:val="00E17E3B"/>
    <w:rsid w:val="00E251EA"/>
    <w:rsid w:val="00E35157"/>
    <w:rsid w:val="00E35171"/>
    <w:rsid w:val="00E36059"/>
    <w:rsid w:val="00E36FA6"/>
    <w:rsid w:val="00E45AE6"/>
    <w:rsid w:val="00E478B1"/>
    <w:rsid w:val="00E63FA4"/>
    <w:rsid w:val="00E66557"/>
    <w:rsid w:val="00E66A45"/>
    <w:rsid w:val="00E67121"/>
    <w:rsid w:val="00E722CA"/>
    <w:rsid w:val="00E73DB1"/>
    <w:rsid w:val="00E859EC"/>
    <w:rsid w:val="00E9016E"/>
    <w:rsid w:val="00E930DD"/>
    <w:rsid w:val="00E9570B"/>
    <w:rsid w:val="00EA477A"/>
    <w:rsid w:val="00EA5757"/>
    <w:rsid w:val="00EB0B16"/>
    <w:rsid w:val="00EB1664"/>
    <w:rsid w:val="00EC5454"/>
    <w:rsid w:val="00EC56E8"/>
    <w:rsid w:val="00EE2FB1"/>
    <w:rsid w:val="00EE4536"/>
    <w:rsid w:val="00EF237A"/>
    <w:rsid w:val="00EF62F7"/>
    <w:rsid w:val="00F0016E"/>
    <w:rsid w:val="00F02F4A"/>
    <w:rsid w:val="00F042CB"/>
    <w:rsid w:val="00F23128"/>
    <w:rsid w:val="00F3003D"/>
    <w:rsid w:val="00F44E24"/>
    <w:rsid w:val="00F4686E"/>
    <w:rsid w:val="00F566F4"/>
    <w:rsid w:val="00F60859"/>
    <w:rsid w:val="00F65FAA"/>
    <w:rsid w:val="00F667F0"/>
    <w:rsid w:val="00F816B8"/>
    <w:rsid w:val="00F85B37"/>
    <w:rsid w:val="00F86C0C"/>
    <w:rsid w:val="00F90AAD"/>
    <w:rsid w:val="00F928C3"/>
    <w:rsid w:val="00F93D2B"/>
    <w:rsid w:val="00F969D4"/>
    <w:rsid w:val="00FA0390"/>
    <w:rsid w:val="00FB10AE"/>
    <w:rsid w:val="00FB7AE2"/>
    <w:rsid w:val="00FC5FDD"/>
    <w:rsid w:val="00FC6E31"/>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A059F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paragraph" w:customStyle="1" w:styleId="paragraph">
    <w:name w:val="paragraph"/>
    <w:basedOn w:val="Normal"/>
    <w:rsid w:val="009E0BA6"/>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399780">
      <w:bodyDiv w:val="1"/>
      <w:marLeft w:val="0"/>
      <w:marRight w:val="0"/>
      <w:marTop w:val="0"/>
      <w:marBottom w:val="0"/>
      <w:divBdr>
        <w:top w:val="none" w:sz="0" w:space="0" w:color="auto"/>
        <w:left w:val="none" w:sz="0" w:space="0" w:color="auto"/>
        <w:bottom w:val="none" w:sz="0" w:space="0" w:color="auto"/>
        <w:right w:val="none" w:sz="0" w:space="0" w:color="auto"/>
      </w:divBdr>
      <w:divsChild>
        <w:div w:id="249317931">
          <w:marLeft w:val="0"/>
          <w:marRight w:val="0"/>
          <w:marTop w:val="0"/>
          <w:marBottom w:val="0"/>
          <w:divBdr>
            <w:top w:val="none" w:sz="0" w:space="0" w:color="auto"/>
            <w:left w:val="none" w:sz="0" w:space="0" w:color="auto"/>
            <w:bottom w:val="none" w:sz="0" w:space="0" w:color="auto"/>
            <w:right w:val="none" w:sz="0" w:space="0" w:color="auto"/>
          </w:divBdr>
          <w:divsChild>
            <w:div w:id="1302805118">
              <w:marLeft w:val="0"/>
              <w:marRight w:val="0"/>
              <w:marTop w:val="0"/>
              <w:marBottom w:val="0"/>
              <w:divBdr>
                <w:top w:val="none" w:sz="0" w:space="0" w:color="auto"/>
                <w:left w:val="none" w:sz="0" w:space="0" w:color="auto"/>
                <w:bottom w:val="none" w:sz="0" w:space="0" w:color="auto"/>
                <w:right w:val="none" w:sz="0" w:space="0" w:color="auto"/>
              </w:divBdr>
              <w:divsChild>
                <w:div w:id="15507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051094">
      <w:bodyDiv w:val="1"/>
      <w:marLeft w:val="0"/>
      <w:marRight w:val="0"/>
      <w:marTop w:val="0"/>
      <w:marBottom w:val="0"/>
      <w:divBdr>
        <w:top w:val="none" w:sz="0" w:space="0" w:color="auto"/>
        <w:left w:val="none" w:sz="0" w:space="0" w:color="auto"/>
        <w:bottom w:val="none" w:sz="0" w:space="0" w:color="auto"/>
        <w:right w:val="none" w:sz="0" w:space="0" w:color="auto"/>
      </w:divBdr>
      <w:divsChild>
        <w:div w:id="607464270">
          <w:marLeft w:val="0"/>
          <w:marRight w:val="0"/>
          <w:marTop w:val="0"/>
          <w:marBottom w:val="0"/>
          <w:divBdr>
            <w:top w:val="none" w:sz="0" w:space="0" w:color="auto"/>
            <w:left w:val="none" w:sz="0" w:space="0" w:color="auto"/>
            <w:bottom w:val="none" w:sz="0" w:space="0" w:color="auto"/>
            <w:right w:val="none" w:sz="0" w:space="0" w:color="auto"/>
          </w:divBdr>
          <w:divsChild>
            <w:div w:id="873270921">
              <w:marLeft w:val="0"/>
              <w:marRight w:val="0"/>
              <w:marTop w:val="0"/>
              <w:marBottom w:val="0"/>
              <w:divBdr>
                <w:top w:val="none" w:sz="0" w:space="0" w:color="auto"/>
                <w:left w:val="none" w:sz="0" w:space="0" w:color="auto"/>
                <w:bottom w:val="none" w:sz="0" w:space="0" w:color="auto"/>
                <w:right w:val="none" w:sz="0" w:space="0" w:color="auto"/>
              </w:divBdr>
              <w:divsChild>
                <w:div w:id="53939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4SQX5P7U7WPY-958212181-817514</_dlc_DocId>
    <_dlc_DocIdUrl xmlns="c890fddd-4e87-4e08-8b51-545f2a3f7b06">
      <Url>https://senpr.sharepoint.com/sites/obralegislativa/_layouts/15/DocIdRedir.aspx?ID=4SQX5P7U7WPY-958212181-817514</Url>
      <Description>4SQX5P7U7WPY-958212181-817514</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C5BDB0-6EA6-402E-BB31-979888731523}"/>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346046B5-8B43-4B3D-AEF5-4CE29181F025}"/>
</file>

<file path=docProps/app.xml><?xml version="1.0" encoding="utf-8"?>
<Properties xmlns="http://schemas.openxmlformats.org/officeDocument/2006/extended-properties" xmlns:vt="http://schemas.openxmlformats.org/officeDocument/2006/docPropsVTypes">
  <Template>Medida-V2009</Template>
  <TotalTime>1</TotalTime>
  <Pages>5</Pages>
  <Words>1725</Words>
  <Characters>9298</Characters>
  <Application>Microsoft Office Word</Application>
  <DocSecurity>0</DocSecurity>
  <Lines>77</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2025-08-19T19:50:00Z</dcterms:created>
  <dcterms:modified xsi:type="dcterms:W3CDTF">2025-08-19T19:50:00Z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e1e4bbfa-d30b-4bfb-966d-8e5a151cd758</vt:lpwstr>
  </property>
  <property fmtid="{D5CDD505-2E9C-101B-9397-08002B2CF9AE}" pid="4" name="MediaServiceImageTags">
    <vt:lpwstr/>
  </property>
</Properties>
</file>