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9906" w14:textId="4B2D7BFC" w:rsidR="00CC2F2D" w:rsidRDefault="00714C19" w:rsidP="008F1525">
      <w:pPr>
        <w:jc w:val="center"/>
        <w:rPr>
          <w:rFonts w:ascii="Book Antiqua" w:hAnsi="Book Antiqua"/>
          <w:sz w:val="28"/>
          <w:lang w:val="es-ES_tradnl"/>
        </w:rPr>
      </w:pPr>
      <w:r>
        <w:rPr>
          <w:rFonts w:ascii="Book Antiqua" w:hAnsi="Book Antiqua"/>
          <w:sz w:val="28"/>
          <w:lang w:val="es-ES_tradnl"/>
        </w:rPr>
        <w:t>GOBIERNO</w:t>
      </w:r>
      <w:r w:rsidR="00CC2F2D">
        <w:rPr>
          <w:rFonts w:ascii="Book Antiqua" w:hAnsi="Book Antiqua"/>
          <w:sz w:val="28"/>
          <w:lang w:val="es-ES_tradnl"/>
        </w:rPr>
        <w:t xml:space="preserve"> DE PUERTO RICO</w:t>
      </w:r>
    </w:p>
    <w:p w14:paraId="26EE8772" w14:textId="27CEE55A" w:rsidR="0020062C" w:rsidRPr="008F1525" w:rsidRDefault="0020062C" w:rsidP="008F1525">
      <w:pPr>
        <w:jc w:val="center"/>
        <w:rPr>
          <w:rFonts w:ascii="Book Antiqua" w:hAnsi="Book Antiqua"/>
          <w:szCs w:val="18"/>
          <w:lang w:val="es-ES_tradnl"/>
        </w:rPr>
      </w:pPr>
    </w:p>
    <w:p w14:paraId="4741655E" w14:textId="3E27D10B" w:rsidR="0020062C" w:rsidRDefault="005B52C9" w:rsidP="008F1525">
      <w:pPr>
        <w:pStyle w:val="Title2"/>
        <w:rPr>
          <w:rFonts w:ascii="Book Antiqua" w:hAnsi="Book Antiqua"/>
          <w:lang w:val="es-ES_tradnl"/>
        </w:rPr>
      </w:pPr>
      <w:r>
        <w:rPr>
          <w:rFonts w:ascii="Book Antiqua" w:hAnsi="Book Antiqua"/>
          <w:lang w:val="es-ES_tradnl"/>
        </w:rPr>
        <w:t>20m</w:t>
      </w:r>
      <w:r w:rsidR="0020062C">
        <w:rPr>
          <w:rFonts w:ascii="Book Antiqua" w:hAnsi="Book Antiqua"/>
          <w:lang w:val="es-ES_tradnl"/>
        </w:rPr>
        <w:t>a. Asamblea</w:t>
      </w:r>
      <w:r w:rsidR="0020062C">
        <w:rPr>
          <w:rFonts w:ascii="Book Antiqua" w:hAnsi="Book Antiqua"/>
          <w:lang w:val="es-ES_tradnl"/>
        </w:rPr>
        <w:tab/>
      </w:r>
      <w:r>
        <w:rPr>
          <w:rFonts w:ascii="Book Antiqua" w:hAnsi="Book Antiqua"/>
          <w:lang w:val="es-ES_tradnl"/>
        </w:rPr>
        <w:t>1r</w:t>
      </w:r>
      <w:r w:rsidR="0020062C">
        <w:rPr>
          <w:rFonts w:ascii="Book Antiqua" w:hAnsi="Book Antiqua"/>
          <w:lang w:val="es-ES_tradnl"/>
        </w:rPr>
        <w:t xml:space="preserve">a. </w:t>
      </w:r>
      <w:r w:rsidR="0020062C">
        <w:rPr>
          <w:rFonts w:ascii="Book Antiqua" w:hAnsi="Book Antiqua"/>
          <w:lang w:val="es-ES_tradnl"/>
        </w:rPr>
        <w:tab/>
        <w:t>Sesión</w:t>
      </w:r>
    </w:p>
    <w:p w14:paraId="388F4E31" w14:textId="58C445C6" w:rsidR="0020062C" w:rsidRDefault="0020062C" w:rsidP="008F1525">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CB5A1DB" w14:textId="5F0F4219" w:rsidR="0020062C" w:rsidRDefault="0020062C" w:rsidP="008F1525">
      <w:pPr>
        <w:rPr>
          <w:lang w:val="es-ES_tradnl"/>
        </w:rPr>
      </w:pPr>
    </w:p>
    <w:p w14:paraId="67679684" w14:textId="64E6FEEC" w:rsidR="0020062C" w:rsidRDefault="0020062C" w:rsidP="008F1525">
      <w:pPr>
        <w:jc w:val="center"/>
        <w:rPr>
          <w:rFonts w:ascii="Book Antiqua" w:hAnsi="Book Antiqua"/>
          <w:b/>
          <w:sz w:val="36"/>
          <w:lang w:val="es-ES_tradnl"/>
        </w:rPr>
      </w:pPr>
      <w:r>
        <w:rPr>
          <w:rFonts w:ascii="Book Antiqua" w:hAnsi="Book Antiqua"/>
          <w:b/>
          <w:sz w:val="36"/>
          <w:lang w:val="es-ES_tradnl"/>
        </w:rPr>
        <w:t>CÁMARA DE REPRESENTANTES</w:t>
      </w:r>
    </w:p>
    <w:p w14:paraId="0B783F34" w14:textId="77777777" w:rsidR="008F1525" w:rsidRPr="008F1525" w:rsidRDefault="008F1525" w:rsidP="008F1525">
      <w:pPr>
        <w:jc w:val="center"/>
        <w:rPr>
          <w:rFonts w:ascii="Book Antiqua" w:hAnsi="Book Antiqua"/>
          <w:b/>
          <w:szCs w:val="24"/>
          <w:lang w:val="es-ES_tradnl"/>
        </w:rPr>
      </w:pPr>
    </w:p>
    <w:p w14:paraId="03B8D501" w14:textId="78131C19" w:rsidR="0020062C" w:rsidRDefault="0020062C" w:rsidP="008F1525">
      <w:pPr>
        <w:jc w:val="center"/>
        <w:rPr>
          <w:rFonts w:ascii="Book Antiqua" w:hAnsi="Book Antiqua"/>
          <w:b/>
          <w:sz w:val="52"/>
          <w:lang w:val="es-ES_tradnl"/>
        </w:rPr>
      </w:pPr>
      <w:r>
        <w:rPr>
          <w:rFonts w:ascii="Book Antiqua" w:hAnsi="Book Antiqua"/>
          <w:b/>
          <w:sz w:val="52"/>
          <w:lang w:val="es-ES_tradnl"/>
        </w:rPr>
        <w:t xml:space="preserve">P. de la C. </w:t>
      </w:r>
      <w:r w:rsidR="00CA7BE0">
        <w:rPr>
          <w:rFonts w:ascii="Book Antiqua" w:hAnsi="Book Antiqua"/>
          <w:b/>
          <w:sz w:val="52"/>
          <w:lang w:val="es-ES_tradnl"/>
        </w:rPr>
        <w:t>310</w:t>
      </w:r>
    </w:p>
    <w:p w14:paraId="437DF838" w14:textId="77777777" w:rsidR="008F1525" w:rsidRPr="008F1525" w:rsidRDefault="008F1525" w:rsidP="008F1525">
      <w:pPr>
        <w:jc w:val="center"/>
        <w:rPr>
          <w:rFonts w:ascii="Book Antiqua" w:hAnsi="Book Antiqua"/>
          <w:b/>
          <w:szCs w:val="24"/>
          <w:lang w:val="es-ES_tradnl"/>
        </w:rPr>
      </w:pPr>
    </w:p>
    <w:p w14:paraId="139C6125" w14:textId="3F4CB3D8" w:rsidR="0020062C" w:rsidRDefault="00CA7BE0" w:rsidP="008F1525">
      <w:pPr>
        <w:jc w:val="center"/>
        <w:rPr>
          <w:rFonts w:ascii="Book Antiqua" w:hAnsi="Book Antiqua"/>
          <w:lang w:val="es-ES_tradnl"/>
        </w:rPr>
      </w:pPr>
      <w:r>
        <w:rPr>
          <w:rFonts w:ascii="Book Antiqua" w:hAnsi="Book Antiqua"/>
          <w:lang w:val="es-ES_tradnl"/>
        </w:rPr>
        <w:t>6</w:t>
      </w:r>
      <w:r w:rsidR="0020062C">
        <w:rPr>
          <w:rFonts w:ascii="Book Antiqua" w:hAnsi="Book Antiqua"/>
          <w:lang w:val="es-ES_tradnl"/>
        </w:rPr>
        <w:t xml:space="preserve"> DE </w:t>
      </w:r>
      <w:r w:rsidR="00ED5C71">
        <w:rPr>
          <w:rFonts w:ascii="Book Antiqua" w:hAnsi="Book Antiqua"/>
          <w:lang w:val="es-ES_tradnl"/>
        </w:rPr>
        <w:t>FEBRERO</w:t>
      </w:r>
      <w:r w:rsidR="0020062C">
        <w:rPr>
          <w:rFonts w:ascii="Book Antiqua" w:hAnsi="Book Antiqua"/>
          <w:lang w:val="es-ES_tradnl"/>
        </w:rPr>
        <w:t xml:space="preserve"> DE 202</w:t>
      </w:r>
      <w:r w:rsidR="00F567E7">
        <w:rPr>
          <w:rFonts w:ascii="Book Antiqua" w:hAnsi="Book Antiqua"/>
          <w:lang w:val="es-ES_tradnl"/>
        </w:rPr>
        <w:t>5</w:t>
      </w:r>
    </w:p>
    <w:p w14:paraId="1F949406" w14:textId="77777777" w:rsidR="008F1525" w:rsidRDefault="008F1525" w:rsidP="008F1525">
      <w:pPr>
        <w:jc w:val="center"/>
        <w:rPr>
          <w:rFonts w:ascii="Book Antiqua" w:hAnsi="Book Antiqua"/>
          <w:lang w:val="es-ES_tradnl"/>
        </w:rPr>
      </w:pPr>
    </w:p>
    <w:p w14:paraId="41CF12C4" w14:textId="031046F5" w:rsidR="0020062C" w:rsidRDefault="0020062C" w:rsidP="008F1525">
      <w:pPr>
        <w:jc w:val="center"/>
        <w:rPr>
          <w:rFonts w:ascii="Book Antiqua" w:hAnsi="Book Antiqua"/>
          <w:i/>
          <w:lang w:val="es-ES_tradnl"/>
        </w:rPr>
      </w:pPr>
      <w:r>
        <w:rPr>
          <w:rFonts w:ascii="Book Antiqua" w:hAnsi="Book Antiqua"/>
          <w:lang w:val="es-ES_tradnl"/>
        </w:rPr>
        <w:t>Presentado por l</w:t>
      </w:r>
      <w:r w:rsidR="008F1525">
        <w:rPr>
          <w:rFonts w:ascii="Book Antiqua" w:hAnsi="Book Antiqua"/>
          <w:lang w:val="es-ES_tradnl"/>
        </w:rPr>
        <w:t>os</w:t>
      </w:r>
      <w:r>
        <w:rPr>
          <w:rFonts w:ascii="Book Antiqua" w:hAnsi="Book Antiqua"/>
          <w:lang w:val="es-ES_tradnl"/>
        </w:rPr>
        <w:t xml:space="preserve"> representante</w:t>
      </w:r>
      <w:r w:rsidR="008F1525">
        <w:rPr>
          <w:rFonts w:ascii="Book Antiqua" w:hAnsi="Book Antiqua"/>
          <w:lang w:val="es-ES_tradnl"/>
        </w:rPr>
        <w:t>s</w:t>
      </w:r>
      <w:r>
        <w:rPr>
          <w:rFonts w:ascii="Book Antiqua" w:hAnsi="Book Antiqua"/>
          <w:lang w:val="es-ES_tradnl"/>
        </w:rPr>
        <w:t xml:space="preserve"> </w:t>
      </w:r>
      <w:r w:rsidR="000D05A0">
        <w:rPr>
          <w:rFonts w:ascii="Book Antiqua" w:hAnsi="Book Antiqua"/>
          <w:i/>
          <w:lang w:val="es-ES_tradnl"/>
        </w:rPr>
        <w:t>Navarro Su</w:t>
      </w:r>
      <w:r w:rsidR="00DC7E41">
        <w:rPr>
          <w:rFonts w:ascii="Book Antiqua" w:hAnsi="Book Antiqua"/>
          <w:i/>
          <w:lang w:val="es-ES_tradnl"/>
        </w:rPr>
        <w:t>á</w:t>
      </w:r>
      <w:r w:rsidR="000D05A0">
        <w:rPr>
          <w:rFonts w:ascii="Book Antiqua" w:hAnsi="Book Antiqua"/>
          <w:i/>
          <w:lang w:val="es-ES_tradnl"/>
        </w:rPr>
        <w:t>rez</w:t>
      </w:r>
      <w:r w:rsidR="00DC7E41">
        <w:rPr>
          <w:rFonts w:ascii="Book Antiqua" w:hAnsi="Book Antiqua"/>
          <w:i/>
          <w:lang w:val="es-ES_tradnl"/>
        </w:rPr>
        <w:t xml:space="preserve"> y Jiménez Torres</w:t>
      </w:r>
    </w:p>
    <w:p w14:paraId="5F08ED0F" w14:textId="77777777" w:rsidR="008F1525" w:rsidRDefault="008F1525" w:rsidP="008F1525">
      <w:pPr>
        <w:jc w:val="center"/>
        <w:rPr>
          <w:rFonts w:ascii="Book Antiqua" w:hAnsi="Book Antiqua"/>
          <w:lang w:val="es-ES_tradnl"/>
        </w:rPr>
      </w:pPr>
    </w:p>
    <w:p w14:paraId="331143FA" w14:textId="0B8E82C7" w:rsidR="0020062C" w:rsidRDefault="0020062C" w:rsidP="008F1525">
      <w:pPr>
        <w:jc w:val="center"/>
        <w:rPr>
          <w:rFonts w:ascii="Book Antiqua" w:hAnsi="Book Antiqua"/>
          <w:lang w:val="es-ES_tradnl"/>
        </w:rPr>
      </w:pPr>
      <w:r>
        <w:rPr>
          <w:rFonts w:ascii="Book Antiqua" w:hAnsi="Book Antiqua"/>
          <w:lang w:val="es-ES_tradnl"/>
        </w:rPr>
        <w:t xml:space="preserve">Referido a </w:t>
      </w:r>
      <w:r w:rsidR="001E7EBB">
        <w:rPr>
          <w:rFonts w:ascii="Book Antiqua" w:hAnsi="Book Antiqua"/>
          <w:lang w:val="es-ES_tradnl"/>
        </w:rPr>
        <w:t xml:space="preserve">la Comisión de </w:t>
      </w:r>
      <w:r w:rsidR="004B040B">
        <w:rPr>
          <w:rFonts w:ascii="Book Antiqua" w:hAnsi="Book Antiqua"/>
          <w:lang w:val="es-ES_tradnl"/>
        </w:rPr>
        <w:t>Desarrollo Económico</w:t>
      </w:r>
    </w:p>
    <w:p w14:paraId="331A0A88" w14:textId="0912D947" w:rsidR="0020062C" w:rsidRDefault="0020062C" w:rsidP="008F1525">
      <w:pPr>
        <w:jc w:val="both"/>
        <w:rPr>
          <w:rFonts w:ascii="Book Antiqua" w:hAnsi="Book Antiqua"/>
          <w:lang w:val="es-ES_tradnl"/>
        </w:rPr>
      </w:pPr>
    </w:p>
    <w:p w14:paraId="3326326A" w14:textId="60852B15" w:rsidR="0020062C" w:rsidRDefault="0020062C" w:rsidP="008F1525">
      <w:pPr>
        <w:jc w:val="center"/>
        <w:rPr>
          <w:rFonts w:ascii="Book Antiqua" w:hAnsi="Book Antiqua"/>
          <w:b/>
          <w:sz w:val="28"/>
          <w:lang w:val="es-ES_tradnl"/>
        </w:rPr>
      </w:pPr>
      <w:r>
        <w:rPr>
          <w:rFonts w:ascii="Book Antiqua" w:hAnsi="Book Antiqua"/>
          <w:b/>
          <w:sz w:val="28"/>
          <w:lang w:val="es-ES_tradnl"/>
        </w:rPr>
        <w:t>LEY</w:t>
      </w:r>
    </w:p>
    <w:p w14:paraId="6FD2B192" w14:textId="00F3324B" w:rsidR="0020062C" w:rsidRDefault="0020062C" w:rsidP="008F1525">
      <w:pPr>
        <w:jc w:val="both"/>
        <w:rPr>
          <w:rFonts w:ascii="Book Antiqua" w:hAnsi="Book Antiqua"/>
          <w:lang w:val="es-ES_tradnl"/>
        </w:rPr>
      </w:pPr>
    </w:p>
    <w:p w14:paraId="0CDD0B4A" w14:textId="610B199A" w:rsidR="0020062C" w:rsidRPr="00163196" w:rsidRDefault="0020062C" w:rsidP="004B040B">
      <w:pPr>
        <w:ind w:left="567" w:hanging="567"/>
        <w:jc w:val="both"/>
        <w:rPr>
          <w:rFonts w:ascii="Book Antiqua" w:hAnsi="Book Antiqua"/>
          <w:lang w:val="es-ES"/>
        </w:rPr>
      </w:pPr>
      <w:r w:rsidRPr="00163196">
        <w:rPr>
          <w:rFonts w:ascii="Book Antiqua" w:hAnsi="Book Antiqua"/>
          <w:lang w:val="es-ES"/>
        </w:rPr>
        <w:t>Para</w:t>
      </w:r>
      <w:r w:rsidR="002D027B" w:rsidRPr="00163196">
        <w:rPr>
          <w:rFonts w:ascii="Book Antiqua" w:hAnsi="Book Antiqua"/>
          <w:lang w:val="es-ES"/>
        </w:rPr>
        <w:t xml:space="preserve"> </w:t>
      </w:r>
      <w:r w:rsidR="00266F60">
        <w:rPr>
          <w:rFonts w:ascii="Book Antiqua" w:hAnsi="Book Antiqua"/>
          <w:lang w:val="es-ES"/>
        </w:rPr>
        <w:t xml:space="preserve">enmendar </w:t>
      </w:r>
      <w:r w:rsidR="00ED5C71">
        <w:rPr>
          <w:rFonts w:ascii="Book Antiqua" w:hAnsi="Book Antiqua"/>
          <w:lang w:val="es-ES"/>
        </w:rPr>
        <w:t xml:space="preserve">el Artículo 14.1 </w:t>
      </w:r>
      <w:r w:rsidR="00ED5C71" w:rsidRPr="00ED5C71">
        <w:rPr>
          <w:rFonts w:ascii="Book Antiqua" w:hAnsi="Book Antiqua"/>
          <w:lang w:val="es-ES"/>
        </w:rPr>
        <w:t>de la Ley 161-2009, según enmendada, conocida como “Ley para la Reforma del Proceso de Permisos de Puerto Rico”,</w:t>
      </w:r>
      <w:r w:rsidR="00193A82">
        <w:rPr>
          <w:rFonts w:ascii="Book Antiqua" w:hAnsi="Book Antiqua"/>
          <w:lang w:val="es-ES"/>
        </w:rPr>
        <w:t xml:space="preserve"> a</w:t>
      </w:r>
      <w:r w:rsidR="00193A82" w:rsidRPr="00193A82">
        <w:rPr>
          <w:rFonts w:ascii="Book Antiqua" w:hAnsi="Book Antiqua"/>
          <w:lang w:val="es-ES"/>
        </w:rPr>
        <w:t xml:space="preserve"> los fines de establecer que cualquier persona privada, ya sea natural o jurídica, </w:t>
      </w:r>
      <w:r w:rsidR="00CE3FC6">
        <w:rPr>
          <w:rFonts w:ascii="Book Antiqua" w:hAnsi="Book Antiqua"/>
          <w:lang w:val="es-ES"/>
        </w:rPr>
        <w:t xml:space="preserve">para </w:t>
      </w:r>
      <w:r w:rsidR="00CE3FC6" w:rsidRPr="00CE3FC6">
        <w:rPr>
          <w:rFonts w:ascii="Book Antiqua" w:hAnsi="Book Antiqua"/>
          <w:lang w:val="es-ES"/>
        </w:rPr>
        <w:t xml:space="preserve">presentar una acción de </w:t>
      </w:r>
      <w:proofErr w:type="spellStart"/>
      <w:r w:rsidR="00CE3FC6" w:rsidRPr="00CE3FC6">
        <w:rPr>
          <w:rFonts w:ascii="Book Antiqua" w:hAnsi="Book Antiqua"/>
          <w:lang w:val="es-ES"/>
        </w:rPr>
        <w:t>injunction</w:t>
      </w:r>
      <w:proofErr w:type="spellEnd"/>
      <w:r w:rsidR="00CE3FC6" w:rsidRPr="00CE3FC6">
        <w:rPr>
          <w:rFonts w:ascii="Book Antiqua" w:hAnsi="Book Antiqua"/>
          <w:lang w:val="es-ES"/>
        </w:rPr>
        <w:t xml:space="preserve">, </w:t>
      </w:r>
      <w:proofErr w:type="spellStart"/>
      <w:r w:rsidR="00CE3FC6" w:rsidRPr="00CE3FC6">
        <w:rPr>
          <w:rFonts w:ascii="Book Antiqua" w:hAnsi="Book Antiqua"/>
          <w:lang w:val="es-ES"/>
        </w:rPr>
        <w:t>mandamus</w:t>
      </w:r>
      <w:proofErr w:type="spellEnd"/>
      <w:r w:rsidR="00CE3FC6" w:rsidRPr="00CE3FC6">
        <w:rPr>
          <w:rFonts w:ascii="Book Antiqua" w:hAnsi="Book Antiqua"/>
          <w:lang w:val="es-ES"/>
        </w:rPr>
        <w:t xml:space="preserve">, sentencia declaratoria u otro recurso adecuado, </w:t>
      </w:r>
      <w:r w:rsidR="00B62696" w:rsidRPr="00B62696">
        <w:rPr>
          <w:rFonts w:ascii="Book Antiqua" w:hAnsi="Book Antiqua"/>
          <w:lang w:val="es-ES"/>
        </w:rPr>
        <w:t>debe</w:t>
      </w:r>
      <w:r w:rsidR="00A418B0">
        <w:rPr>
          <w:rFonts w:ascii="Book Antiqua" w:hAnsi="Book Antiqua"/>
          <w:lang w:val="es-ES"/>
        </w:rPr>
        <w:t>rá</w:t>
      </w:r>
      <w:r w:rsidR="00B62696" w:rsidRPr="00B62696">
        <w:rPr>
          <w:rFonts w:ascii="Book Antiqua" w:hAnsi="Book Antiqua"/>
          <w:lang w:val="es-ES"/>
        </w:rPr>
        <w:t xml:space="preserve"> alegar de manera específica que posee un interés propietario o personal sujeto a un daño inminente, que dicho daño puede vincularse razonablemente a la conducta de la parte promovida y que el daño sufrido en el interés propietario o personal es susceptible de reparación mediante el remedio solicitado</w:t>
      </w:r>
      <w:r w:rsidR="00016080">
        <w:rPr>
          <w:rFonts w:ascii="Book Antiqua" w:hAnsi="Book Antiqua"/>
          <w:lang w:val="es-ES"/>
        </w:rPr>
        <w:t>;</w:t>
      </w:r>
      <w:r w:rsidR="00245322">
        <w:rPr>
          <w:rFonts w:ascii="Book Antiqua" w:hAnsi="Book Antiqua"/>
          <w:lang w:val="es-ES"/>
        </w:rPr>
        <w:t xml:space="preserve"> </w:t>
      </w:r>
      <w:r w:rsidRPr="00163196">
        <w:rPr>
          <w:rFonts w:ascii="Book Antiqua" w:hAnsi="Book Antiqua"/>
          <w:lang w:val="es-ES"/>
        </w:rPr>
        <w:t>y para otros fines relacionados.</w:t>
      </w:r>
    </w:p>
    <w:p w14:paraId="4D106A3D" w14:textId="77777777" w:rsidR="00CC2F2D" w:rsidRPr="0020062C" w:rsidRDefault="00CC2F2D" w:rsidP="008F1525">
      <w:pPr>
        <w:ind w:left="720" w:hanging="720"/>
        <w:jc w:val="both"/>
        <w:rPr>
          <w:rFonts w:ascii="Book Antiqua" w:hAnsi="Book Antiqua"/>
          <w:lang w:val="es-PR"/>
        </w:rPr>
      </w:pPr>
    </w:p>
    <w:p w14:paraId="602AFB97" w14:textId="11D7BF09" w:rsidR="0020062C" w:rsidRDefault="0020062C" w:rsidP="008F1525">
      <w:pPr>
        <w:jc w:val="center"/>
        <w:rPr>
          <w:rFonts w:ascii="Book Antiqua" w:hAnsi="Book Antiqua"/>
          <w:lang w:val="es-ES_tradnl"/>
        </w:rPr>
      </w:pPr>
      <w:r>
        <w:rPr>
          <w:rFonts w:ascii="Book Antiqua" w:hAnsi="Book Antiqua"/>
          <w:lang w:val="es-ES_tradnl"/>
        </w:rPr>
        <w:t>EXPOSICIÓN DE MOTIVOS</w:t>
      </w:r>
    </w:p>
    <w:p w14:paraId="0267BD7A" w14:textId="77777777" w:rsidR="00075C88" w:rsidRDefault="00075C88" w:rsidP="008F1525">
      <w:pPr>
        <w:jc w:val="both"/>
        <w:rPr>
          <w:rFonts w:ascii="Book Antiqua" w:hAnsi="Book Antiqua"/>
          <w:lang w:val="es-ES_tradnl"/>
        </w:rPr>
      </w:pPr>
    </w:p>
    <w:p w14:paraId="4F733451" w14:textId="77777777" w:rsidR="00BA1D35" w:rsidRDefault="007B2302" w:rsidP="004B040B">
      <w:pPr>
        <w:ind w:firstLine="567"/>
        <w:jc w:val="both"/>
        <w:rPr>
          <w:rFonts w:ascii="Book Antiqua" w:hAnsi="Book Antiqua"/>
          <w:lang w:val="es-ES_tradnl"/>
        </w:rPr>
      </w:pPr>
      <w:r w:rsidRPr="007B2302">
        <w:rPr>
          <w:rFonts w:ascii="Book Antiqua" w:hAnsi="Book Antiqua"/>
          <w:lang w:val="es-ES_tradnl"/>
        </w:rPr>
        <w:t xml:space="preserve">La Ley para la reforma del proceso de permisos de Puerto Rico, Ley Núm. 161- 2009, 23 LPRA sec. 9011 et </w:t>
      </w:r>
      <w:proofErr w:type="spellStart"/>
      <w:r w:rsidRPr="007B2302">
        <w:rPr>
          <w:rFonts w:ascii="Book Antiqua" w:hAnsi="Book Antiqua"/>
          <w:lang w:val="es-ES_tradnl"/>
        </w:rPr>
        <w:t>seq</w:t>
      </w:r>
      <w:proofErr w:type="spellEnd"/>
      <w:r w:rsidRPr="007B2302">
        <w:rPr>
          <w:rFonts w:ascii="Book Antiqua" w:hAnsi="Book Antiqua"/>
          <w:lang w:val="es-ES_tradnl"/>
        </w:rPr>
        <w:t>, se aprobó con el propósito de reformar y transformar el sistema de obtención de permisos. A causa de ello, se estableció como política pública el mejorar la calidad y eficiencia de la administración de los procesos de evaluación de solicitudes para el otorgamiento, autorización o denegación de licencias, inspecciones, querellas, certificaciones, consultas, autorizaciones y cualquier trámite necesario o que incida de forma alguna en la operación de un negocio en Puerto Rico, así como determinaciones finales y permisos para desarrollos de proyectos de construcción. Art. 1.2 de la Ley Núm. 161-2009, 23 LPRA sec. 9011</w:t>
      </w:r>
      <w:r>
        <w:rPr>
          <w:rFonts w:ascii="Book Antiqua" w:hAnsi="Book Antiqua"/>
          <w:lang w:val="es-ES_tradnl"/>
        </w:rPr>
        <w:t>.  L</w:t>
      </w:r>
      <w:r w:rsidRPr="007B2302">
        <w:rPr>
          <w:rFonts w:ascii="Book Antiqua" w:hAnsi="Book Antiqua"/>
          <w:lang w:val="es-ES_tradnl"/>
        </w:rPr>
        <w:t>a Ley Núm. 161-2009 es la disposición legal que establece el marco jurídico y administrativo que rige la solicitud, evaluación, concesión y denegación de permisos por el Estado Libre Asociado de Puerto Rico</w:t>
      </w:r>
      <w:r w:rsidR="004F00F7">
        <w:rPr>
          <w:rFonts w:ascii="Book Antiqua" w:hAnsi="Book Antiqua"/>
          <w:lang w:val="es-ES_tradnl"/>
        </w:rPr>
        <w:t>.</w:t>
      </w:r>
      <w:r w:rsidR="00020A9C">
        <w:rPr>
          <w:rFonts w:ascii="Book Antiqua" w:hAnsi="Book Antiqua"/>
          <w:lang w:val="es-ES_tradnl"/>
        </w:rPr>
        <w:t xml:space="preserve"> </w:t>
      </w:r>
    </w:p>
    <w:p w14:paraId="1E970DF5" w14:textId="5AB71BC7" w:rsidR="007B2302" w:rsidRDefault="00020A9C" w:rsidP="004B040B">
      <w:pPr>
        <w:ind w:firstLine="567"/>
        <w:jc w:val="both"/>
        <w:rPr>
          <w:rFonts w:ascii="Book Antiqua" w:hAnsi="Book Antiqua"/>
          <w:lang w:val="es-ES_tradnl"/>
        </w:rPr>
      </w:pPr>
      <w:r w:rsidRPr="00020A9C">
        <w:rPr>
          <w:rFonts w:ascii="Book Antiqua" w:hAnsi="Book Antiqua"/>
          <w:lang w:val="es-ES_tradnl"/>
        </w:rPr>
        <w:lastRenderedPageBreak/>
        <w:t>Para cumplir con esto, cre</w:t>
      </w:r>
      <w:r>
        <w:rPr>
          <w:rFonts w:ascii="Book Antiqua" w:hAnsi="Book Antiqua"/>
          <w:lang w:val="es-ES_tradnl"/>
        </w:rPr>
        <w:t>amos</w:t>
      </w:r>
      <w:r w:rsidRPr="00020A9C">
        <w:rPr>
          <w:rFonts w:ascii="Book Antiqua" w:hAnsi="Book Antiqua"/>
          <w:lang w:val="es-ES_tradnl"/>
        </w:rPr>
        <w:t xml:space="preserve"> la Oficina de Gerencia de Permisos (“</w:t>
      </w:r>
      <w:proofErr w:type="spellStart"/>
      <w:r w:rsidRPr="00020A9C">
        <w:rPr>
          <w:rFonts w:ascii="Book Antiqua" w:hAnsi="Book Antiqua"/>
          <w:lang w:val="es-ES_tradnl"/>
        </w:rPr>
        <w:t>OGPe</w:t>
      </w:r>
      <w:proofErr w:type="spellEnd"/>
      <w:r w:rsidRPr="00020A9C">
        <w:rPr>
          <w:rFonts w:ascii="Book Antiqua" w:hAnsi="Book Antiqua"/>
          <w:lang w:val="es-ES_tradnl"/>
        </w:rPr>
        <w:t>”) como una Secretaría Auxiliar del Departamento de Desarrollo Económico y Comercio. Art. 2.1 de la Ley Núm. 161-2009, 23 LPRA sec. 9012.</w:t>
      </w:r>
      <w:r w:rsidR="00122AF2">
        <w:rPr>
          <w:rFonts w:ascii="Book Antiqua" w:hAnsi="Book Antiqua"/>
          <w:lang w:val="es-ES_tradnl"/>
        </w:rPr>
        <w:t xml:space="preserve"> </w:t>
      </w:r>
      <w:r w:rsidR="00BA1D35">
        <w:rPr>
          <w:rFonts w:ascii="Book Antiqua" w:hAnsi="Book Antiqua"/>
          <w:lang w:val="es-ES_tradnl"/>
        </w:rPr>
        <w:t>Le</w:t>
      </w:r>
      <w:r w:rsidR="00122AF2" w:rsidRPr="00122AF2">
        <w:rPr>
          <w:rFonts w:ascii="Book Antiqua" w:hAnsi="Book Antiqua"/>
          <w:lang w:val="es-ES_tradnl"/>
        </w:rPr>
        <w:t xml:space="preserve"> transfer</w:t>
      </w:r>
      <w:r w:rsidR="00122AF2">
        <w:rPr>
          <w:rFonts w:ascii="Book Antiqua" w:hAnsi="Book Antiqua"/>
          <w:lang w:val="es-ES_tradnl"/>
        </w:rPr>
        <w:t>imos</w:t>
      </w:r>
      <w:r w:rsidR="00122AF2" w:rsidRPr="00122AF2">
        <w:rPr>
          <w:rFonts w:ascii="Book Antiqua" w:hAnsi="Book Antiqua"/>
          <w:lang w:val="es-ES_tradnl"/>
        </w:rPr>
        <w:t xml:space="preserve"> a la </w:t>
      </w:r>
      <w:proofErr w:type="spellStart"/>
      <w:r w:rsidR="00122AF2" w:rsidRPr="00122AF2">
        <w:rPr>
          <w:rFonts w:ascii="Book Antiqua" w:hAnsi="Book Antiqua"/>
          <w:lang w:val="es-ES_tradnl"/>
        </w:rPr>
        <w:t>OGPe</w:t>
      </w:r>
      <w:proofErr w:type="spellEnd"/>
      <w:r w:rsidR="00122AF2" w:rsidRPr="00122AF2">
        <w:rPr>
          <w:rFonts w:ascii="Book Antiqua" w:hAnsi="Book Antiqua"/>
          <w:lang w:val="es-ES_tradnl"/>
        </w:rPr>
        <w:t xml:space="preserve"> la jurisdicción para evaluar, conceder y/o denegar permisos relacionados con el desarrollo de obras de construcción y el uso de terrenos. </w:t>
      </w:r>
      <w:r w:rsidR="00122AF2">
        <w:rPr>
          <w:rFonts w:ascii="Book Antiqua" w:hAnsi="Book Antiqua"/>
          <w:lang w:val="es-ES_tradnl"/>
        </w:rPr>
        <w:t>También se le</w:t>
      </w:r>
      <w:r w:rsidR="00122AF2" w:rsidRPr="00122AF2">
        <w:rPr>
          <w:rFonts w:ascii="Book Antiqua" w:hAnsi="Book Antiqua"/>
          <w:lang w:val="es-ES_tradnl"/>
        </w:rPr>
        <w:t xml:space="preserve"> confirió dicha autoridad a ciertos Municipios Autónomos (con jerarquía I a la V a los cuales la Junta de Planificación les hubiese transferido mediante convenio de delegación parcial o total determinadas competencias sobre la ordenación territorial). Véase la Exposición de Motivos, Art. 8.1 de la Ley Núm. 161- 2009, 23 LPRA sec. 9018.</w:t>
      </w:r>
    </w:p>
    <w:p w14:paraId="652435C2" w14:textId="77777777" w:rsidR="008F1525" w:rsidRDefault="008F1525" w:rsidP="004B040B">
      <w:pPr>
        <w:ind w:firstLine="567"/>
        <w:jc w:val="both"/>
        <w:rPr>
          <w:rFonts w:ascii="Book Antiqua" w:hAnsi="Book Antiqua"/>
          <w:lang w:val="es-ES_tradnl"/>
        </w:rPr>
      </w:pPr>
    </w:p>
    <w:p w14:paraId="26702470" w14:textId="6547DBE7" w:rsidR="00122AF2" w:rsidRDefault="00122AF2" w:rsidP="004B040B">
      <w:pPr>
        <w:ind w:firstLine="567"/>
        <w:jc w:val="both"/>
        <w:rPr>
          <w:rFonts w:ascii="Book Antiqua" w:hAnsi="Book Antiqua"/>
          <w:lang w:val="es-ES_tradnl"/>
        </w:rPr>
      </w:pPr>
      <w:r>
        <w:rPr>
          <w:rFonts w:ascii="Book Antiqua" w:hAnsi="Book Antiqua"/>
          <w:lang w:val="es-ES_tradnl"/>
        </w:rPr>
        <w:t>L</w:t>
      </w:r>
      <w:r w:rsidRPr="00122AF2">
        <w:rPr>
          <w:rFonts w:ascii="Book Antiqua" w:hAnsi="Book Antiqua"/>
          <w:lang w:val="es-ES_tradnl"/>
        </w:rPr>
        <w:t>a Ley Núm. 161-2009 permite que una parte que tenga un interés propietario o personal que pudiese verse afectado, pueda presentar una solicitud de recursos extraordinarios ante el Tribunal de Primera Instancia con el fin de solicitar la revocación de un permiso, la paralización de una obra, la demolición de obras, entre otros remedios. Art. 14.1 de la Ley Núm. 161-2009, LPRA sec. 9024.</w:t>
      </w:r>
      <w:r w:rsidR="0056686A">
        <w:rPr>
          <w:rFonts w:ascii="Book Antiqua" w:hAnsi="Book Antiqua"/>
          <w:lang w:val="es-ES_tradnl"/>
        </w:rPr>
        <w:t xml:space="preserve"> E</w:t>
      </w:r>
      <w:r w:rsidR="0056686A" w:rsidRPr="0056686A">
        <w:rPr>
          <w:rFonts w:ascii="Book Antiqua" w:hAnsi="Book Antiqua"/>
          <w:lang w:val="es-ES_tradnl"/>
        </w:rPr>
        <w:t xml:space="preserve">l Art. 14.1 de la Ley Núm. 161-2009 instituyó un procedimiento especial reconocido en nuestro ordenamiento jurídico bajo el concepto de </w:t>
      </w:r>
      <w:proofErr w:type="spellStart"/>
      <w:r w:rsidR="0056686A" w:rsidRPr="0056686A">
        <w:rPr>
          <w:rFonts w:ascii="Book Antiqua" w:hAnsi="Book Antiqua"/>
          <w:lang w:val="es-ES_tradnl"/>
        </w:rPr>
        <w:t>injunction</w:t>
      </w:r>
      <w:proofErr w:type="spellEnd"/>
      <w:r w:rsidR="0056686A" w:rsidRPr="0056686A">
        <w:rPr>
          <w:rFonts w:ascii="Book Antiqua" w:hAnsi="Book Antiqua"/>
          <w:lang w:val="es-ES_tradnl"/>
        </w:rPr>
        <w:t xml:space="preserve"> estatutario</w:t>
      </w:r>
      <w:r w:rsidR="0056686A">
        <w:rPr>
          <w:rFonts w:ascii="Book Antiqua" w:hAnsi="Book Antiqua"/>
          <w:lang w:val="es-ES_tradnl"/>
        </w:rPr>
        <w:t xml:space="preserve">. </w:t>
      </w:r>
    </w:p>
    <w:p w14:paraId="647F705A" w14:textId="77777777" w:rsidR="008F1525" w:rsidRDefault="008F1525" w:rsidP="004B040B">
      <w:pPr>
        <w:ind w:firstLine="567"/>
        <w:jc w:val="both"/>
        <w:rPr>
          <w:rFonts w:ascii="Book Antiqua" w:hAnsi="Book Antiqua"/>
          <w:lang w:val="es-ES_tradnl"/>
        </w:rPr>
      </w:pPr>
    </w:p>
    <w:p w14:paraId="3C3DFA6A" w14:textId="5F736B7D" w:rsidR="0010137D" w:rsidRDefault="004950A5" w:rsidP="004B040B">
      <w:pPr>
        <w:ind w:firstLine="567"/>
        <w:jc w:val="both"/>
        <w:rPr>
          <w:rFonts w:ascii="Book Antiqua" w:hAnsi="Book Antiqua"/>
          <w:lang w:val="pt-PT"/>
        </w:rPr>
      </w:pPr>
      <w:r w:rsidRPr="004950A5">
        <w:rPr>
          <w:rFonts w:ascii="Book Antiqua" w:hAnsi="Book Antiqua"/>
          <w:lang w:val="es-ES_tradnl"/>
        </w:rPr>
        <w:t>De ordinario, para poder presentar o intervenir en una acción civil o administrativa en Puerto Rico, una persona debe poseer tener legitimación activa. Esto conlleva demostrar que se ha sufrido un daño individual y palpable, que dicho daño pueda ser vinculado razonablemente a la conducta de la parte demandada, y que el daño sufrido sea susceptible de un remedio</w:t>
      </w:r>
      <w:r>
        <w:rPr>
          <w:rFonts w:ascii="Book Antiqua" w:hAnsi="Book Antiqua"/>
          <w:lang w:val="es-ES_tradnl"/>
        </w:rPr>
        <w:t xml:space="preserve">. No obstante, </w:t>
      </w:r>
      <w:r w:rsidRPr="004950A5">
        <w:rPr>
          <w:rFonts w:ascii="Book Antiqua" w:hAnsi="Book Antiqua"/>
          <w:lang w:val="es-ES_tradnl"/>
        </w:rPr>
        <w:t xml:space="preserve">la Asamblea Legislativa tiene la facultad plenaria de otorgar legitimación activa, por la vía estatutaria, a cualquier persona en Puerto Rico, de forma universal. Cuando esto ocurre, la persona que insta una acción no tiene que demostrar legitimación activa ordinaria, pues será suficiente que se le haya reconocido dicha legitimación mediante estatuto. </w:t>
      </w:r>
      <w:r w:rsidRPr="008F1525">
        <w:rPr>
          <w:rFonts w:ascii="Book Antiqua" w:hAnsi="Book Antiqua"/>
          <w:u w:val="single"/>
          <w:lang w:val="pt-PT"/>
        </w:rPr>
        <w:t>Centro Unido de Detallistas v. Com. de Serv. Púb</w:t>
      </w:r>
      <w:r w:rsidRPr="008F1525">
        <w:rPr>
          <w:rFonts w:ascii="Book Antiqua" w:hAnsi="Book Antiqua"/>
          <w:lang w:val="pt-PT"/>
        </w:rPr>
        <w:t>., 174 D.P.R. 174 (2008).</w:t>
      </w:r>
    </w:p>
    <w:p w14:paraId="536519F0" w14:textId="77777777" w:rsidR="008F1525" w:rsidRPr="008F1525" w:rsidRDefault="008F1525" w:rsidP="004B040B">
      <w:pPr>
        <w:ind w:firstLine="567"/>
        <w:jc w:val="both"/>
        <w:rPr>
          <w:rFonts w:ascii="Book Antiqua" w:hAnsi="Book Antiqua"/>
          <w:lang w:val="pt-PT"/>
        </w:rPr>
      </w:pPr>
    </w:p>
    <w:p w14:paraId="1D6A3C8E" w14:textId="73FBF073" w:rsidR="004950A5" w:rsidRDefault="00E22722" w:rsidP="004B040B">
      <w:pPr>
        <w:ind w:firstLine="567"/>
        <w:jc w:val="both"/>
        <w:rPr>
          <w:rFonts w:ascii="Book Antiqua" w:hAnsi="Book Antiqua"/>
          <w:lang w:val="es-ES_tradnl"/>
        </w:rPr>
      </w:pPr>
      <w:r>
        <w:rPr>
          <w:rFonts w:ascii="Book Antiqua" w:hAnsi="Book Antiqua"/>
          <w:lang w:val="es-ES_tradnl"/>
        </w:rPr>
        <w:t>Conforme a lo anterior, en el</w:t>
      </w:r>
      <w:r w:rsidR="004950A5" w:rsidRPr="004950A5">
        <w:rPr>
          <w:rFonts w:ascii="Book Antiqua" w:hAnsi="Book Antiqua"/>
          <w:lang w:val="es-ES_tradnl"/>
        </w:rPr>
        <w:t xml:space="preserve"> </w:t>
      </w:r>
      <w:r w:rsidRPr="00E22722">
        <w:rPr>
          <w:rFonts w:ascii="Book Antiqua" w:hAnsi="Book Antiqua"/>
          <w:lang w:val="es-ES_tradnl"/>
        </w:rPr>
        <w:t>Art. 14.1 de la Ley Núm. 161-2009</w:t>
      </w:r>
      <w:r>
        <w:rPr>
          <w:rFonts w:ascii="Book Antiqua" w:hAnsi="Book Antiqua"/>
          <w:lang w:val="es-ES_tradnl"/>
        </w:rPr>
        <w:t xml:space="preserve"> establecimos un</w:t>
      </w:r>
      <w:r w:rsidR="004950A5" w:rsidRPr="004950A5">
        <w:rPr>
          <w:rFonts w:ascii="Book Antiqua" w:hAnsi="Book Antiqua"/>
          <w:lang w:val="es-ES_tradnl"/>
        </w:rPr>
        <w:t xml:space="preserve"> mecanismo interdictal extraordinario de carácter estatutario y sumario “limitado a la obtención de órdenes para la paralización inmediata, provisional o permanente de usos contrarios a la ley”. </w:t>
      </w:r>
      <w:proofErr w:type="spellStart"/>
      <w:r w:rsidR="004950A5" w:rsidRPr="00E22722">
        <w:rPr>
          <w:rFonts w:ascii="Book Antiqua" w:hAnsi="Book Antiqua"/>
          <w:u w:val="single"/>
          <w:lang w:val="es-ES_tradnl"/>
        </w:rPr>
        <w:t>A.R.Pe</w:t>
      </w:r>
      <w:proofErr w:type="spellEnd"/>
      <w:r w:rsidR="004950A5" w:rsidRPr="00E22722">
        <w:rPr>
          <w:rFonts w:ascii="Book Antiqua" w:hAnsi="Book Antiqua"/>
          <w:u w:val="single"/>
          <w:lang w:val="es-ES_tradnl"/>
        </w:rPr>
        <w:t>. v. Rivera</w:t>
      </w:r>
      <w:r w:rsidR="004950A5" w:rsidRPr="004950A5">
        <w:rPr>
          <w:rFonts w:ascii="Book Antiqua" w:hAnsi="Book Antiqua"/>
          <w:lang w:val="es-ES_tradnl"/>
        </w:rPr>
        <w:t xml:space="preserve">, 159 DPR 429, 443-44 (2003). Dada su naturaleza, el </w:t>
      </w:r>
      <w:proofErr w:type="spellStart"/>
      <w:r w:rsidR="004950A5" w:rsidRPr="004950A5">
        <w:rPr>
          <w:rFonts w:ascii="Book Antiqua" w:hAnsi="Book Antiqua"/>
          <w:lang w:val="es-ES_tradnl"/>
        </w:rPr>
        <w:t>injunction</w:t>
      </w:r>
      <w:proofErr w:type="spellEnd"/>
      <w:r w:rsidR="004950A5" w:rsidRPr="004950A5">
        <w:rPr>
          <w:rFonts w:ascii="Book Antiqua" w:hAnsi="Book Antiqua"/>
          <w:lang w:val="es-ES_tradnl"/>
        </w:rPr>
        <w:t xml:space="preserve"> estatutario es independiente del </w:t>
      </w:r>
      <w:proofErr w:type="spellStart"/>
      <w:r w:rsidR="004950A5" w:rsidRPr="004950A5">
        <w:rPr>
          <w:rFonts w:ascii="Book Antiqua" w:hAnsi="Book Antiqua"/>
          <w:lang w:val="es-ES_tradnl"/>
        </w:rPr>
        <w:t>injunction</w:t>
      </w:r>
      <w:proofErr w:type="spellEnd"/>
      <w:r w:rsidR="004950A5" w:rsidRPr="004950A5">
        <w:rPr>
          <w:rFonts w:ascii="Book Antiqua" w:hAnsi="Book Antiqua"/>
          <w:lang w:val="es-ES_tradnl"/>
        </w:rPr>
        <w:t xml:space="preserve"> tradicional y, en consecuencia, generalmente exento de las exigencias legales que rigen a este. </w:t>
      </w:r>
      <w:r w:rsidR="004950A5" w:rsidRPr="00E22722">
        <w:rPr>
          <w:rFonts w:ascii="Book Antiqua" w:hAnsi="Book Antiqua"/>
          <w:u w:val="single"/>
          <w:lang w:val="es-ES_tradnl"/>
        </w:rPr>
        <w:t xml:space="preserve">Next Step Medical v. </w:t>
      </w:r>
      <w:proofErr w:type="spellStart"/>
      <w:r w:rsidR="004950A5" w:rsidRPr="00E22722">
        <w:rPr>
          <w:rFonts w:ascii="Book Antiqua" w:hAnsi="Book Antiqua"/>
          <w:u w:val="single"/>
          <w:lang w:val="es-ES_tradnl"/>
        </w:rPr>
        <w:t>Bromedicon</w:t>
      </w:r>
      <w:proofErr w:type="spellEnd"/>
      <w:r w:rsidR="004950A5" w:rsidRPr="00E22722">
        <w:rPr>
          <w:rFonts w:ascii="Book Antiqua" w:hAnsi="Book Antiqua"/>
          <w:u w:val="single"/>
          <w:lang w:val="es-ES_tradnl"/>
        </w:rPr>
        <w:t xml:space="preserve"> et al</w:t>
      </w:r>
      <w:r w:rsidR="004950A5" w:rsidRPr="004950A5">
        <w:rPr>
          <w:rFonts w:ascii="Book Antiqua" w:hAnsi="Book Antiqua"/>
          <w:lang w:val="es-ES_tradnl"/>
        </w:rPr>
        <w:t xml:space="preserve">., 190 DPR 474 (2014). La doctrina interpretativa reconoce que los requisitos para la ejecución del </w:t>
      </w:r>
      <w:proofErr w:type="spellStart"/>
      <w:r w:rsidR="004950A5" w:rsidRPr="004950A5">
        <w:rPr>
          <w:rFonts w:ascii="Book Antiqua" w:hAnsi="Book Antiqua"/>
          <w:lang w:val="es-ES_tradnl"/>
        </w:rPr>
        <w:t>injunction</w:t>
      </w:r>
      <w:proofErr w:type="spellEnd"/>
      <w:r w:rsidR="004950A5" w:rsidRPr="004950A5">
        <w:rPr>
          <w:rFonts w:ascii="Book Antiqua" w:hAnsi="Book Antiqua"/>
          <w:lang w:val="es-ES_tradnl"/>
        </w:rPr>
        <w:t xml:space="preserve"> tradicional son más rigurosos que los aplicables a aquel de índole estatutario. Íd. Ello obedece a que, en esencia, el interdicto tradicional se adoptó del sistema de equidad inglés para disponer de situaciones para cuya atención no existe remedio adecuado en ley. Íd.; </w:t>
      </w:r>
      <w:proofErr w:type="spellStart"/>
      <w:r w:rsidR="004950A5" w:rsidRPr="00E22722">
        <w:rPr>
          <w:rFonts w:ascii="Book Antiqua" w:hAnsi="Book Antiqua"/>
          <w:u w:val="single"/>
          <w:lang w:val="es-ES_tradnl"/>
        </w:rPr>
        <w:t>A.R.Pe</w:t>
      </w:r>
      <w:proofErr w:type="spellEnd"/>
      <w:r w:rsidR="004950A5" w:rsidRPr="00E22722">
        <w:rPr>
          <w:rFonts w:ascii="Book Antiqua" w:hAnsi="Book Antiqua"/>
          <w:u w:val="single"/>
          <w:lang w:val="es-ES_tradnl"/>
        </w:rPr>
        <w:t>. v. Rivera</w:t>
      </w:r>
      <w:r w:rsidR="004950A5" w:rsidRPr="004950A5">
        <w:rPr>
          <w:rFonts w:ascii="Book Antiqua" w:hAnsi="Book Antiqua"/>
          <w:lang w:val="es-ES_tradnl"/>
        </w:rPr>
        <w:t>, supra.</w:t>
      </w:r>
    </w:p>
    <w:p w14:paraId="034BA230" w14:textId="77777777" w:rsidR="008F1525" w:rsidRDefault="008F1525" w:rsidP="004B040B">
      <w:pPr>
        <w:ind w:firstLine="567"/>
        <w:jc w:val="both"/>
        <w:rPr>
          <w:rFonts w:ascii="Book Antiqua" w:hAnsi="Book Antiqua"/>
          <w:lang w:val="es-ES_tradnl"/>
        </w:rPr>
      </w:pPr>
    </w:p>
    <w:p w14:paraId="11D2BAA9" w14:textId="61D5F74F" w:rsidR="00E22722" w:rsidRDefault="00805128" w:rsidP="004B040B">
      <w:pPr>
        <w:ind w:firstLine="567"/>
        <w:jc w:val="both"/>
        <w:rPr>
          <w:rFonts w:ascii="Book Antiqua" w:hAnsi="Book Antiqua"/>
          <w:lang w:val="es-ES_tradnl"/>
        </w:rPr>
      </w:pPr>
      <w:r>
        <w:rPr>
          <w:rFonts w:ascii="Book Antiqua" w:hAnsi="Book Antiqua"/>
          <w:lang w:val="es-ES_tradnl"/>
        </w:rPr>
        <w:t>E</w:t>
      </w:r>
      <w:r w:rsidRPr="00805128">
        <w:rPr>
          <w:rFonts w:ascii="Book Antiqua" w:hAnsi="Book Antiqua"/>
          <w:lang w:val="es-ES_tradnl"/>
        </w:rPr>
        <w:t xml:space="preserve">n el contexto específico del empleo del mecanismo interdictal establecido en el Artículo 14.1 de la Ley Núm. 161-2009, supra, </w:t>
      </w:r>
      <w:r w:rsidR="00781DBB">
        <w:rPr>
          <w:rFonts w:ascii="Book Antiqua" w:hAnsi="Book Antiqua"/>
          <w:lang w:val="es-ES_tradnl"/>
        </w:rPr>
        <w:t xml:space="preserve">ciertamente </w:t>
      </w:r>
      <w:r w:rsidRPr="00805128">
        <w:rPr>
          <w:rFonts w:ascii="Book Antiqua" w:hAnsi="Book Antiqua"/>
          <w:lang w:val="es-ES_tradnl"/>
        </w:rPr>
        <w:t xml:space="preserve">toda persona legitimada para </w:t>
      </w:r>
      <w:r w:rsidRPr="00805128">
        <w:rPr>
          <w:rFonts w:ascii="Book Antiqua" w:hAnsi="Book Antiqua"/>
          <w:lang w:val="es-ES_tradnl"/>
        </w:rPr>
        <w:lastRenderedPageBreak/>
        <w:t xml:space="preserve">valerse del mismo deberá establecer ante el tribunal competente lo siguiente: (1) que existe una ley o reglamento que regula el uso o actividad denunciada; y (2) que la persona o personas señaladas se encuentran realizando un uso o actividad en violación a esa ley o reglamento. </w:t>
      </w:r>
      <w:proofErr w:type="spellStart"/>
      <w:r w:rsidRPr="00805128">
        <w:rPr>
          <w:rFonts w:ascii="Book Antiqua" w:hAnsi="Book Antiqua"/>
          <w:u w:val="single"/>
          <w:lang w:val="es-ES_tradnl"/>
        </w:rPr>
        <w:t>A.R.Pe</w:t>
      </w:r>
      <w:proofErr w:type="spellEnd"/>
      <w:r w:rsidRPr="00805128">
        <w:rPr>
          <w:rFonts w:ascii="Book Antiqua" w:hAnsi="Book Antiqua"/>
          <w:u w:val="single"/>
          <w:lang w:val="es-ES_tradnl"/>
        </w:rPr>
        <w:t>. v. Rivera</w:t>
      </w:r>
      <w:r w:rsidRPr="00805128">
        <w:rPr>
          <w:rFonts w:ascii="Book Antiqua" w:hAnsi="Book Antiqua"/>
          <w:lang w:val="es-ES_tradnl"/>
        </w:rPr>
        <w:t>, supra, pág. 445.</w:t>
      </w:r>
      <w:r w:rsidR="00781DBB">
        <w:rPr>
          <w:rFonts w:ascii="Book Antiqua" w:hAnsi="Book Antiqua"/>
          <w:lang w:val="es-ES_tradnl"/>
        </w:rPr>
        <w:t xml:space="preserve"> Pero, esto </w:t>
      </w:r>
      <w:r w:rsidR="00781DBB" w:rsidRPr="00E3642D">
        <w:rPr>
          <w:rFonts w:ascii="Book Antiqua" w:hAnsi="Book Antiqua"/>
          <w:b/>
          <w:bCs/>
          <w:lang w:val="es-ES_tradnl"/>
        </w:rPr>
        <w:t>no</w:t>
      </w:r>
      <w:r w:rsidR="00781DBB">
        <w:rPr>
          <w:rFonts w:ascii="Book Antiqua" w:hAnsi="Book Antiqua"/>
          <w:lang w:val="es-ES_tradnl"/>
        </w:rPr>
        <w:t xml:space="preserve"> debe ser suficiente. </w:t>
      </w:r>
      <w:r w:rsidR="00757B43" w:rsidRPr="00757B43">
        <w:rPr>
          <w:rFonts w:ascii="Book Antiqua" w:hAnsi="Book Antiqua"/>
          <w:lang w:val="es-ES_tradnl"/>
        </w:rPr>
        <w:t xml:space="preserve">El Art. 14.1 de la Ley Núm. 161-2009, expone que, en cuanto a la legitimación activa, cualquier persona o entidad que “tenga un interés propietario o personal que podría verse adversamente afectado, podrá presentar una acción de </w:t>
      </w:r>
      <w:proofErr w:type="spellStart"/>
      <w:r w:rsidR="00757B43" w:rsidRPr="00757B43">
        <w:rPr>
          <w:rFonts w:ascii="Book Antiqua" w:hAnsi="Book Antiqua"/>
          <w:lang w:val="es-ES_tradnl"/>
        </w:rPr>
        <w:t>injunction</w:t>
      </w:r>
      <w:proofErr w:type="spellEnd"/>
      <w:r w:rsidR="00757B43" w:rsidRPr="00757B43">
        <w:rPr>
          <w:rFonts w:ascii="Book Antiqua" w:hAnsi="Book Antiqua"/>
          <w:lang w:val="es-ES_tradnl"/>
        </w:rPr>
        <w:t>” para vindicar su reclamo. 23 LPRA sec. 9024. Por consiguiente, toda persona o entidad está legitimada estatutariamente para presentar su reclamo, siempre y cuando la acción cuestionada pueda afectar adversamente un interés propietario o personal del promovente.</w:t>
      </w:r>
      <w:r w:rsidR="00757B43">
        <w:rPr>
          <w:rFonts w:ascii="Book Antiqua" w:hAnsi="Book Antiqua"/>
          <w:lang w:val="es-ES_tradnl"/>
        </w:rPr>
        <w:t xml:space="preserve"> No obstante, algunos tribunales han interpretado que </w:t>
      </w:r>
      <w:r w:rsidR="00757B43" w:rsidRPr="00757B43">
        <w:rPr>
          <w:rFonts w:ascii="Book Antiqua" w:hAnsi="Book Antiqua"/>
          <w:lang w:val="es-ES_tradnl"/>
        </w:rPr>
        <w:t xml:space="preserve">únicamente resulta relevante establecer que se han transgredido los límites de ley para los cuales dicho mecanismo se impone como remedio, sin que sea necesario alegar ni demostrar la ocurrencia de daños. </w:t>
      </w:r>
      <w:r w:rsidR="00757B43">
        <w:rPr>
          <w:rFonts w:ascii="Book Antiqua" w:hAnsi="Book Antiqua"/>
          <w:lang w:val="es-ES_tradnl"/>
        </w:rPr>
        <w:t xml:space="preserve">Particularmente, </w:t>
      </w:r>
      <w:r w:rsidR="00E3642D">
        <w:rPr>
          <w:rFonts w:ascii="Book Antiqua" w:hAnsi="Book Antiqua"/>
          <w:lang w:val="es-ES_tradnl"/>
        </w:rPr>
        <w:t>se ha interpretado que</w:t>
      </w:r>
      <w:r w:rsidR="006C72F8">
        <w:rPr>
          <w:rFonts w:ascii="Book Antiqua" w:hAnsi="Book Antiqua"/>
          <w:lang w:val="es-ES_tradnl"/>
        </w:rPr>
        <w:t xml:space="preserve"> en los caos al amparo d</w:t>
      </w:r>
      <w:r w:rsidR="00757B43" w:rsidRPr="00757B43">
        <w:rPr>
          <w:rFonts w:ascii="Book Antiqua" w:hAnsi="Book Antiqua"/>
          <w:lang w:val="es-ES_tradnl"/>
        </w:rPr>
        <w:t>el Artículo 14.1 de la Ley Núm. 161-2009, supra, solo debe demostrarse, por parte de una persona con interés propietario o personal, que una ley o reglamento que regula determinada actividad o uso ha sido transgredida, y que tal conducta es atribuible a la persona compelida a la acción.</w:t>
      </w:r>
      <w:r w:rsidR="00757B43">
        <w:rPr>
          <w:rFonts w:ascii="Book Antiqua" w:hAnsi="Book Antiqua"/>
          <w:lang w:val="es-ES_tradnl"/>
        </w:rPr>
        <w:t xml:space="preserve"> Ver, por ejemplo, </w:t>
      </w:r>
      <w:r w:rsidR="00757B43" w:rsidRPr="00757B43">
        <w:rPr>
          <w:rFonts w:ascii="Book Antiqua" w:hAnsi="Book Antiqua"/>
          <w:u w:val="single"/>
          <w:lang w:val="es-ES_tradnl"/>
        </w:rPr>
        <w:t>Santiago De Alba v Hernández Rivera</w:t>
      </w:r>
      <w:r w:rsidR="00757B43">
        <w:rPr>
          <w:rFonts w:ascii="Book Antiqua" w:hAnsi="Book Antiqua"/>
          <w:lang w:val="es-ES_tradnl"/>
        </w:rPr>
        <w:t xml:space="preserve">, </w:t>
      </w:r>
      <w:r w:rsidR="00757B43" w:rsidRPr="00757B43">
        <w:rPr>
          <w:rFonts w:ascii="Book Antiqua" w:hAnsi="Book Antiqua"/>
          <w:lang w:val="es-ES_tradnl"/>
        </w:rPr>
        <w:t>KLAN202300716</w:t>
      </w:r>
      <w:r w:rsidR="00757B43">
        <w:rPr>
          <w:rFonts w:ascii="Book Antiqua" w:hAnsi="Book Antiqua"/>
          <w:lang w:val="es-ES_tradnl"/>
        </w:rPr>
        <w:t xml:space="preserve">. </w:t>
      </w:r>
    </w:p>
    <w:p w14:paraId="1C69E8FB" w14:textId="77777777" w:rsidR="008F1525" w:rsidRDefault="008F1525" w:rsidP="004B040B">
      <w:pPr>
        <w:ind w:firstLine="567"/>
        <w:jc w:val="both"/>
        <w:rPr>
          <w:rFonts w:ascii="Book Antiqua" w:hAnsi="Book Antiqua"/>
          <w:lang w:val="es-ES_tradnl"/>
        </w:rPr>
      </w:pPr>
    </w:p>
    <w:p w14:paraId="580AA181" w14:textId="17D6112A" w:rsidR="00757B43" w:rsidRDefault="00757B43" w:rsidP="004B040B">
      <w:pPr>
        <w:ind w:firstLine="567"/>
        <w:jc w:val="both"/>
        <w:rPr>
          <w:rFonts w:ascii="Book Antiqua" w:hAnsi="Book Antiqua"/>
          <w:lang w:val="es-ES_tradnl"/>
        </w:rPr>
      </w:pPr>
      <w:r w:rsidRPr="00757B43">
        <w:rPr>
          <w:rFonts w:ascii="Book Antiqua" w:hAnsi="Book Antiqua"/>
          <w:lang w:val="es-ES_tradnl"/>
        </w:rPr>
        <w:t xml:space="preserve">El propósito de esta medida legislativa es enmendar el Artículo 14.1 de la Ley Núm. 161-2009 para disponer que, al presentar una acción de </w:t>
      </w:r>
      <w:proofErr w:type="spellStart"/>
      <w:r w:rsidRPr="00757B43">
        <w:rPr>
          <w:rFonts w:ascii="Book Antiqua" w:hAnsi="Book Antiqua"/>
          <w:lang w:val="es-ES_tradnl"/>
        </w:rPr>
        <w:t>injunction</w:t>
      </w:r>
      <w:proofErr w:type="spellEnd"/>
      <w:r w:rsidRPr="00757B43">
        <w:rPr>
          <w:rFonts w:ascii="Book Antiqua" w:hAnsi="Book Antiqua"/>
          <w:lang w:val="es-ES_tradnl"/>
        </w:rPr>
        <w:t xml:space="preserve">, </w:t>
      </w:r>
      <w:proofErr w:type="spellStart"/>
      <w:r w:rsidRPr="00757B43">
        <w:rPr>
          <w:rFonts w:ascii="Book Antiqua" w:hAnsi="Book Antiqua"/>
          <w:lang w:val="es-ES_tradnl"/>
        </w:rPr>
        <w:t>mandamus</w:t>
      </w:r>
      <w:proofErr w:type="spellEnd"/>
      <w:r w:rsidRPr="00757B43">
        <w:rPr>
          <w:rFonts w:ascii="Book Antiqua" w:hAnsi="Book Antiqua"/>
          <w:lang w:val="es-ES_tradnl"/>
        </w:rPr>
        <w:t>, sentencia declaratoria u otro recurso adecuado, la parte promovente deberá alegar de manera específica que posee un interés propietario o personal sujeto a un daño inminente, que dicho daño puede vincularse razonablemente a la conducta de la parte demandada y que el perjuicio sufrido es susceptible de reparación mediante el remedio solicitado.</w:t>
      </w:r>
      <w:r>
        <w:rPr>
          <w:rFonts w:ascii="Book Antiqua" w:hAnsi="Book Antiqua"/>
          <w:lang w:val="es-ES_tradnl"/>
        </w:rPr>
        <w:t xml:space="preserve"> De esta forma, se aclara que la parte promovente debe alegar de</w:t>
      </w:r>
      <w:r w:rsidRPr="00757B43">
        <w:rPr>
          <w:rFonts w:ascii="Book Antiqua" w:hAnsi="Book Antiqua"/>
          <w:lang w:val="es-ES_tradnl"/>
        </w:rPr>
        <w:t xml:space="preserve"> forma específica y clara que sufre una lesión o daño particular por la obra</w:t>
      </w:r>
      <w:r w:rsidR="00594AAE">
        <w:rPr>
          <w:rFonts w:ascii="Book Antiqua" w:hAnsi="Book Antiqua"/>
          <w:lang w:val="es-ES_tradnl"/>
        </w:rPr>
        <w:t xml:space="preserve">. </w:t>
      </w:r>
      <w:r w:rsidRPr="00757B43">
        <w:rPr>
          <w:rFonts w:ascii="Book Antiqua" w:hAnsi="Book Antiqua"/>
          <w:lang w:val="es-ES_tradnl"/>
        </w:rPr>
        <w:t xml:space="preserve"> </w:t>
      </w:r>
      <w:r w:rsidR="00594AAE">
        <w:rPr>
          <w:rFonts w:ascii="Book Antiqua" w:hAnsi="Book Antiqua"/>
          <w:lang w:val="es-ES_tradnl"/>
        </w:rPr>
        <w:t xml:space="preserve">Este recurso extraordinario no se puede solicitar </w:t>
      </w:r>
      <w:r w:rsidRPr="00757B43">
        <w:rPr>
          <w:rFonts w:ascii="Book Antiqua" w:hAnsi="Book Antiqua"/>
          <w:lang w:val="es-ES_tradnl"/>
        </w:rPr>
        <w:t>formula</w:t>
      </w:r>
      <w:r w:rsidR="00594AAE">
        <w:rPr>
          <w:rFonts w:ascii="Book Antiqua" w:hAnsi="Book Antiqua"/>
          <w:lang w:val="es-ES_tradnl"/>
        </w:rPr>
        <w:t>ndo</w:t>
      </w:r>
      <w:r w:rsidRPr="00757B43">
        <w:rPr>
          <w:rFonts w:ascii="Book Antiqua" w:hAnsi="Book Antiqua"/>
          <w:lang w:val="es-ES_tradnl"/>
        </w:rPr>
        <w:t xml:space="preserve"> alegaciones especulativas e hipotéticas. </w:t>
      </w:r>
    </w:p>
    <w:p w14:paraId="2F34C1CD" w14:textId="77777777" w:rsidR="008F1525" w:rsidRDefault="008F1525" w:rsidP="004B040B">
      <w:pPr>
        <w:ind w:firstLine="567"/>
        <w:jc w:val="both"/>
        <w:rPr>
          <w:rFonts w:ascii="Book Antiqua" w:hAnsi="Book Antiqua"/>
          <w:lang w:val="es-ES_tradnl"/>
        </w:rPr>
      </w:pPr>
    </w:p>
    <w:p w14:paraId="58ABF77B" w14:textId="69C46A74" w:rsidR="00781DBB" w:rsidRDefault="00781DBB" w:rsidP="004B040B">
      <w:pPr>
        <w:ind w:firstLine="567"/>
        <w:jc w:val="both"/>
        <w:rPr>
          <w:rFonts w:ascii="Book Antiqua" w:hAnsi="Book Antiqua"/>
          <w:lang w:val="es-ES_tradnl"/>
        </w:rPr>
      </w:pPr>
      <w:r>
        <w:rPr>
          <w:rFonts w:ascii="Book Antiqua" w:hAnsi="Book Antiqua"/>
          <w:lang w:val="es-ES_tradnl"/>
        </w:rPr>
        <w:t xml:space="preserve">Es importante destacar que esta enmienda </w:t>
      </w:r>
      <w:r w:rsidRPr="00714C19">
        <w:rPr>
          <w:rFonts w:ascii="Book Antiqua" w:hAnsi="Book Antiqua"/>
          <w:b/>
          <w:bCs/>
          <w:lang w:val="es-ES_tradnl"/>
        </w:rPr>
        <w:t>no</w:t>
      </w:r>
      <w:r>
        <w:rPr>
          <w:rFonts w:ascii="Book Antiqua" w:hAnsi="Book Antiqua"/>
          <w:lang w:val="es-ES_tradnl"/>
        </w:rPr>
        <w:t xml:space="preserve"> tiene la intención de socavar la capacidad </w:t>
      </w:r>
      <w:r w:rsidR="003203F6">
        <w:rPr>
          <w:rFonts w:ascii="Book Antiqua" w:hAnsi="Book Antiqua"/>
          <w:lang w:val="es-ES_tradnl"/>
        </w:rPr>
        <w:t>que actualmente posee</w:t>
      </w:r>
      <w:r>
        <w:rPr>
          <w:rFonts w:ascii="Book Antiqua" w:hAnsi="Book Antiqua"/>
          <w:lang w:val="es-ES_tradnl"/>
        </w:rPr>
        <w:t xml:space="preserve"> l</w:t>
      </w:r>
      <w:r w:rsidRPr="00781DBB">
        <w:rPr>
          <w:rFonts w:ascii="Book Antiqua" w:hAnsi="Book Antiqua"/>
          <w:lang w:val="es-ES_tradnl"/>
        </w:rPr>
        <w:t>a Junta de Planificación, un Municipio Autónomo con Jerarquía de la I a la III</w:t>
      </w:r>
      <w:r>
        <w:rPr>
          <w:rFonts w:ascii="Book Antiqua" w:hAnsi="Book Antiqua"/>
          <w:lang w:val="es-ES_tradnl"/>
        </w:rPr>
        <w:t xml:space="preserve"> o alguna</w:t>
      </w:r>
      <w:r w:rsidRPr="00781DBB">
        <w:rPr>
          <w:rFonts w:ascii="Book Antiqua" w:hAnsi="Book Antiqua"/>
          <w:lang w:val="es-ES_tradnl"/>
        </w:rPr>
        <w:t xml:space="preserve"> </w:t>
      </w:r>
      <w:r>
        <w:rPr>
          <w:rFonts w:ascii="Book Antiqua" w:hAnsi="Book Antiqua"/>
          <w:lang w:val="es-ES_tradnl"/>
        </w:rPr>
        <w:t xml:space="preserve">entidad gubernamental concernida </w:t>
      </w:r>
      <w:r w:rsidR="003203F6">
        <w:rPr>
          <w:rFonts w:ascii="Book Antiqua" w:hAnsi="Book Antiqua"/>
          <w:lang w:val="es-ES_tradnl"/>
        </w:rPr>
        <w:t xml:space="preserve">para </w:t>
      </w:r>
      <w:r>
        <w:rPr>
          <w:rFonts w:ascii="Book Antiqua" w:hAnsi="Book Antiqua"/>
          <w:lang w:val="es-ES_tradnl"/>
        </w:rPr>
        <w:t xml:space="preserve">presentar el recurso extraordinario cuando </w:t>
      </w:r>
      <w:r w:rsidRPr="00781DBB">
        <w:rPr>
          <w:rFonts w:ascii="Book Antiqua" w:hAnsi="Book Antiqua"/>
          <w:lang w:val="es-ES_tradnl"/>
        </w:rPr>
        <w:t>haya determinado que sus leyes y reglamentos han sido violados</w:t>
      </w:r>
      <w:r>
        <w:rPr>
          <w:rFonts w:ascii="Book Antiqua" w:hAnsi="Book Antiqua"/>
          <w:lang w:val="es-ES_tradnl"/>
        </w:rPr>
        <w:t xml:space="preserve">. Esta enmienda aplica </w:t>
      </w:r>
      <w:r w:rsidR="003203F6">
        <w:rPr>
          <w:rFonts w:ascii="Book Antiqua" w:hAnsi="Book Antiqua"/>
          <w:lang w:val="es-ES_tradnl"/>
        </w:rPr>
        <w:t>únicamente cuando</w:t>
      </w:r>
      <w:r>
        <w:rPr>
          <w:rFonts w:ascii="Book Antiqua" w:hAnsi="Book Antiqua"/>
          <w:lang w:val="es-ES_tradnl"/>
        </w:rPr>
        <w:t xml:space="preserve"> la parte promovente sea una persona natural o privada. </w:t>
      </w:r>
    </w:p>
    <w:p w14:paraId="11229220" w14:textId="77777777" w:rsidR="008F1525" w:rsidRPr="00781DBB" w:rsidRDefault="008F1525" w:rsidP="008F1525">
      <w:pPr>
        <w:ind w:firstLine="720"/>
        <w:jc w:val="both"/>
        <w:rPr>
          <w:rFonts w:ascii="Book Antiqua" w:hAnsi="Book Antiqua"/>
          <w:lang w:val="es-ES_tradnl"/>
        </w:rPr>
      </w:pPr>
    </w:p>
    <w:p w14:paraId="0A7FBF1D" w14:textId="764C9337" w:rsidR="0020062C" w:rsidRDefault="0020062C" w:rsidP="008F1525">
      <w:pPr>
        <w:spacing w:line="480" w:lineRule="auto"/>
        <w:rPr>
          <w:rFonts w:ascii="Book Antiqua" w:hAnsi="Book Antiqua"/>
          <w:lang w:val="es-ES_tradnl"/>
        </w:rPr>
      </w:pPr>
      <w:r>
        <w:rPr>
          <w:rFonts w:ascii="Book Antiqua" w:hAnsi="Book Antiqua"/>
          <w:i/>
          <w:lang w:val="es-ES_tradnl"/>
        </w:rPr>
        <w:t>DECRÉTASE POR LA ASAMBLEA LEGISLATIVA DE PUERTO RICO:</w:t>
      </w:r>
    </w:p>
    <w:p w14:paraId="104ED132" w14:textId="231C29E3" w:rsidR="00CC2F2D" w:rsidRDefault="00CC2F2D" w:rsidP="00CC2F2D">
      <w:pPr>
        <w:jc w:val="both"/>
        <w:rPr>
          <w:rFonts w:ascii="Book Antiqua" w:hAnsi="Book Antiqua"/>
          <w:lang w:val="es-ES_tradnl"/>
        </w:rPr>
        <w:sectPr w:rsidR="00CC2F2D" w:rsidSect="006E4DD9">
          <w:headerReference w:type="default" r:id="rId11"/>
          <w:type w:val="continuous"/>
          <w:pgSz w:w="12240" w:h="15840" w:code="1"/>
          <w:pgMar w:top="1440" w:right="1440" w:bottom="1440" w:left="1440" w:header="720" w:footer="720" w:gutter="0"/>
          <w:cols w:space="720"/>
          <w:titlePg/>
        </w:sectPr>
      </w:pPr>
    </w:p>
    <w:p w14:paraId="18818665" w14:textId="4C13E19C" w:rsidR="0020062C" w:rsidRDefault="00D00CA3" w:rsidP="004B040B">
      <w:pPr>
        <w:spacing w:line="480" w:lineRule="auto"/>
        <w:ind w:firstLine="567"/>
        <w:jc w:val="both"/>
        <w:rPr>
          <w:rFonts w:ascii="Book Antiqua" w:hAnsi="Book Antiqua"/>
          <w:lang w:val="es-ES_tradnl"/>
        </w:rPr>
      </w:pPr>
      <w:r>
        <w:rPr>
          <w:rFonts w:ascii="Book Antiqua" w:hAnsi="Book Antiqua"/>
          <w:lang w:val="es-ES_tradnl"/>
        </w:rPr>
        <w:t>Sección</w:t>
      </w:r>
      <w:r w:rsidR="0020062C" w:rsidRPr="0020062C">
        <w:rPr>
          <w:rFonts w:ascii="Book Antiqua" w:hAnsi="Book Antiqua"/>
          <w:lang w:val="es-ES_tradnl"/>
        </w:rPr>
        <w:t xml:space="preserve"> 1.-Se </w:t>
      </w:r>
      <w:r w:rsidR="00545A95">
        <w:rPr>
          <w:rFonts w:ascii="Book Antiqua" w:hAnsi="Book Antiqua"/>
          <w:lang w:val="es-ES_tradnl"/>
        </w:rPr>
        <w:t>enmienda</w:t>
      </w:r>
      <w:r w:rsidR="00266F60">
        <w:rPr>
          <w:rFonts w:ascii="Book Antiqua" w:hAnsi="Book Antiqua"/>
          <w:lang w:val="es-ES_tradnl"/>
        </w:rPr>
        <w:t xml:space="preserve"> </w:t>
      </w:r>
      <w:r w:rsidR="00781DBB" w:rsidRPr="00781DBB">
        <w:rPr>
          <w:rFonts w:ascii="Book Antiqua" w:hAnsi="Book Antiqua"/>
          <w:lang w:val="es-ES_tradnl"/>
        </w:rPr>
        <w:t>el Artículo 14.1 de la Ley 161-2009, según enmendada, conocida como “Ley para la Reforma del Proceso de Permisos de Puerto Rico”</w:t>
      </w:r>
      <w:r w:rsidR="005C57CA">
        <w:rPr>
          <w:rFonts w:ascii="Book Antiqua" w:hAnsi="Book Antiqua"/>
          <w:lang w:val="es-ES"/>
        </w:rPr>
        <w:t>”</w:t>
      </w:r>
      <w:r w:rsidR="00463898">
        <w:rPr>
          <w:rFonts w:ascii="Book Antiqua" w:hAnsi="Book Antiqua"/>
          <w:lang w:val="es-ES_tradnl"/>
        </w:rPr>
        <w:t>, para que se lea como sigue:</w:t>
      </w:r>
    </w:p>
    <w:p w14:paraId="03112160" w14:textId="77777777" w:rsidR="00781DBB" w:rsidRPr="00781DBB" w:rsidRDefault="00463898" w:rsidP="004B040B">
      <w:pPr>
        <w:spacing w:line="480" w:lineRule="auto"/>
        <w:ind w:firstLine="567"/>
        <w:jc w:val="both"/>
        <w:rPr>
          <w:rFonts w:ascii="Book Antiqua" w:hAnsi="Book Antiqua"/>
          <w:lang w:val="es-PR"/>
        </w:rPr>
      </w:pPr>
      <w:r>
        <w:rPr>
          <w:rFonts w:ascii="Book Antiqua" w:hAnsi="Book Antiqua"/>
          <w:lang w:val="es-PR"/>
        </w:rPr>
        <w:lastRenderedPageBreak/>
        <w:t>“</w:t>
      </w:r>
      <w:r w:rsidR="00781DBB" w:rsidRPr="00781DBB">
        <w:rPr>
          <w:rFonts w:ascii="Book Antiqua" w:hAnsi="Book Antiqua"/>
          <w:lang w:val="es-PR"/>
        </w:rPr>
        <w:t>Artículo 14.1. — Recursos Extraordinarios para Solicitar Revocación de Permisos,</w:t>
      </w:r>
    </w:p>
    <w:p w14:paraId="09D12480" w14:textId="77777777" w:rsidR="00781DBB" w:rsidRDefault="00781DBB" w:rsidP="004B040B">
      <w:pPr>
        <w:spacing w:line="480" w:lineRule="auto"/>
        <w:ind w:firstLine="567"/>
        <w:jc w:val="both"/>
        <w:rPr>
          <w:rFonts w:ascii="Book Antiqua" w:hAnsi="Book Antiqua"/>
          <w:lang w:val="es-PR"/>
        </w:rPr>
      </w:pPr>
      <w:r w:rsidRPr="00781DBB">
        <w:rPr>
          <w:rFonts w:ascii="Book Antiqua" w:hAnsi="Book Antiqua"/>
          <w:lang w:val="es-PR"/>
        </w:rPr>
        <w:t>Paralización de Obras o Usos No Autorizados, Demolición de Obras.</w:t>
      </w:r>
    </w:p>
    <w:p w14:paraId="367654A9" w14:textId="244B4AFC" w:rsidR="00B62696" w:rsidRDefault="00781DBB" w:rsidP="004B040B">
      <w:pPr>
        <w:spacing w:line="480" w:lineRule="auto"/>
        <w:ind w:firstLine="567"/>
        <w:jc w:val="both"/>
        <w:rPr>
          <w:rFonts w:ascii="Book Antiqua" w:hAnsi="Book Antiqua"/>
          <w:i/>
          <w:iCs/>
          <w:lang w:val="es-PR"/>
        </w:rPr>
      </w:pPr>
      <w:r w:rsidRPr="00781DBB">
        <w:rPr>
          <w:rFonts w:ascii="Book Antiqua" w:hAnsi="Book Antiqua"/>
          <w:lang w:val="es-PR"/>
        </w:rPr>
        <w:t>La Junta de Planificación, un Municipio Autónomo con Jerarquía de la I a la III, una Entidad</w:t>
      </w:r>
      <w:r>
        <w:rPr>
          <w:rFonts w:ascii="Book Antiqua" w:hAnsi="Book Antiqua"/>
          <w:lang w:val="es-PR"/>
        </w:rPr>
        <w:t xml:space="preserve"> </w:t>
      </w:r>
      <w:r w:rsidRPr="00781DBB">
        <w:rPr>
          <w:rFonts w:ascii="Book Antiqua" w:hAnsi="Book Antiqua"/>
          <w:lang w:val="es-PR"/>
        </w:rPr>
        <w:t>Gubernamental Concernida que haya determinado que sus leyes y reglamentos han sido violados</w:t>
      </w:r>
      <w:r w:rsidR="006C0409">
        <w:rPr>
          <w:rFonts w:ascii="Book Antiqua" w:hAnsi="Book Antiqua"/>
          <w:lang w:val="es-PR"/>
        </w:rPr>
        <w:t xml:space="preserve"> [</w:t>
      </w:r>
      <w:r w:rsidRPr="006C0409">
        <w:rPr>
          <w:rFonts w:ascii="Book Antiqua" w:hAnsi="Book Antiqua"/>
          <w:b/>
          <w:bCs/>
          <w:lang w:val="es-PR"/>
        </w:rPr>
        <w:t xml:space="preserve">, o cualquier persona privada, natural o jurídica, </w:t>
      </w:r>
      <w:r w:rsidR="006C0409" w:rsidRPr="006C0409">
        <w:rPr>
          <w:rFonts w:ascii="Book Antiqua" w:hAnsi="Book Antiqua"/>
          <w:b/>
          <w:bCs/>
          <w:lang w:val="es-PR"/>
        </w:rPr>
        <w:t xml:space="preserve"> </w:t>
      </w:r>
      <w:r w:rsidRPr="006C0409">
        <w:rPr>
          <w:rFonts w:ascii="Book Antiqua" w:hAnsi="Book Antiqua"/>
          <w:b/>
          <w:bCs/>
          <w:lang w:val="es-PR"/>
        </w:rPr>
        <w:t>que tenga un interés propietario o personal que podría verse adversamente afectado,</w:t>
      </w:r>
      <w:r w:rsidR="006C0409">
        <w:rPr>
          <w:rFonts w:ascii="Book Antiqua" w:hAnsi="Book Antiqua"/>
          <w:b/>
          <w:bCs/>
          <w:lang w:val="es-PR"/>
        </w:rPr>
        <w:t>]</w:t>
      </w:r>
      <w:r w:rsidRPr="00781DBB">
        <w:rPr>
          <w:rFonts w:ascii="Book Antiqua" w:hAnsi="Book Antiqua"/>
          <w:lang w:val="es-PR"/>
        </w:rPr>
        <w:t xml:space="preserve"> podrá presentar una acción de injunction, mandamus,</w:t>
      </w:r>
      <w:r>
        <w:rPr>
          <w:rFonts w:ascii="Book Antiqua" w:hAnsi="Book Antiqua"/>
          <w:lang w:val="es-PR"/>
        </w:rPr>
        <w:t xml:space="preserve"> </w:t>
      </w:r>
      <w:r w:rsidRPr="00781DBB">
        <w:rPr>
          <w:rFonts w:ascii="Book Antiqua" w:hAnsi="Book Antiqua"/>
          <w:lang w:val="es-PR"/>
        </w:rPr>
        <w:t>sentencia declaratoria, o cualquier otra acción adecuada para solicitar: 1) la revocación de una</w:t>
      </w:r>
      <w:r>
        <w:rPr>
          <w:rFonts w:ascii="Book Antiqua" w:hAnsi="Book Antiqua"/>
          <w:lang w:val="es-PR"/>
        </w:rPr>
        <w:t xml:space="preserve"> </w:t>
      </w:r>
      <w:r w:rsidRPr="00781DBB">
        <w:rPr>
          <w:rFonts w:ascii="Book Antiqua" w:hAnsi="Book Antiqua"/>
          <w:lang w:val="es-PR"/>
        </w:rPr>
        <w:t>determinación final otorgada, cuya solicitud se haya hecho utilizando información incorrecta o</w:t>
      </w:r>
      <w:r>
        <w:rPr>
          <w:rFonts w:ascii="Book Antiqua" w:hAnsi="Book Antiqua"/>
          <w:lang w:val="es-PR"/>
        </w:rPr>
        <w:t xml:space="preserve"> </w:t>
      </w:r>
      <w:r w:rsidRPr="00781DBB">
        <w:rPr>
          <w:rFonts w:ascii="Book Antiqua" w:hAnsi="Book Antiqua"/>
          <w:lang w:val="es-PR"/>
        </w:rPr>
        <w:t>falsa; 2) la paralización de una obra iniciada sin contar con las autorizaciones y permisos</w:t>
      </w:r>
      <w:r>
        <w:rPr>
          <w:rFonts w:ascii="Book Antiqua" w:hAnsi="Book Antiqua"/>
          <w:lang w:val="es-PR"/>
        </w:rPr>
        <w:t xml:space="preserve"> </w:t>
      </w:r>
      <w:r w:rsidRPr="00781DBB">
        <w:rPr>
          <w:rFonts w:ascii="Book Antiqua" w:hAnsi="Book Antiqua"/>
          <w:lang w:val="es-PR"/>
        </w:rPr>
        <w:t>correspondientes, o incumpliendo con las disposiciones y condiciones del permiso otorgado; 3) la</w:t>
      </w:r>
      <w:r>
        <w:rPr>
          <w:rFonts w:ascii="Book Antiqua" w:hAnsi="Book Antiqua"/>
          <w:lang w:val="es-PR"/>
        </w:rPr>
        <w:t xml:space="preserve"> </w:t>
      </w:r>
      <w:r w:rsidRPr="00781DBB">
        <w:rPr>
          <w:rFonts w:ascii="Book Antiqua" w:hAnsi="Book Antiqua"/>
          <w:lang w:val="es-PR"/>
        </w:rPr>
        <w:t xml:space="preserve">paralización de un uso no autorizado </w:t>
      </w:r>
      <w:r w:rsidR="006C0409">
        <w:rPr>
          <w:rFonts w:ascii="Book Antiqua" w:hAnsi="Book Antiqua"/>
          <w:lang w:val="es-PR"/>
        </w:rPr>
        <w:t>o</w:t>
      </w:r>
      <w:r w:rsidRPr="00781DBB">
        <w:rPr>
          <w:rFonts w:ascii="Book Antiqua" w:hAnsi="Book Antiqua"/>
          <w:lang w:val="es-PR"/>
        </w:rPr>
        <w:t xml:space="preserve"> de una construcción autorizada mediante permiso, para la</w:t>
      </w:r>
      <w:r>
        <w:rPr>
          <w:rFonts w:ascii="Book Antiqua" w:hAnsi="Book Antiqua"/>
          <w:lang w:val="es-PR"/>
        </w:rPr>
        <w:t xml:space="preserve"> </w:t>
      </w:r>
      <w:r w:rsidRPr="00781DBB">
        <w:rPr>
          <w:rFonts w:ascii="Book Antiqua" w:hAnsi="Book Antiqua"/>
          <w:lang w:val="es-PR"/>
        </w:rPr>
        <w:t>cual no se hayan realizado los pagos correspondientes a aranceles, pólizas, arbitrios y sellos; 4) la</w:t>
      </w:r>
      <w:r>
        <w:rPr>
          <w:rFonts w:ascii="Book Antiqua" w:hAnsi="Book Antiqua"/>
          <w:lang w:val="es-PR"/>
        </w:rPr>
        <w:t xml:space="preserve"> </w:t>
      </w:r>
      <w:r w:rsidRPr="00781DBB">
        <w:rPr>
          <w:rFonts w:ascii="Book Antiqua" w:hAnsi="Book Antiqua"/>
          <w:lang w:val="es-PR"/>
        </w:rPr>
        <w:t>demolición de obras construidas, que al momento de la presentación del recurso y al momento de</w:t>
      </w:r>
      <w:r>
        <w:rPr>
          <w:rFonts w:ascii="Book Antiqua" w:hAnsi="Book Antiqua"/>
          <w:lang w:val="es-PR"/>
        </w:rPr>
        <w:t xml:space="preserve"> </w:t>
      </w:r>
      <w:r w:rsidRPr="00781DBB">
        <w:rPr>
          <w:rFonts w:ascii="Book Antiqua" w:hAnsi="Book Antiqua"/>
          <w:lang w:val="es-PR"/>
        </w:rPr>
        <w:t>adjudicar el mismo no cuenten con permiso de construcción, ya sea porque nunca se obtuvo o</w:t>
      </w:r>
      <w:r>
        <w:rPr>
          <w:rFonts w:ascii="Book Antiqua" w:hAnsi="Book Antiqua"/>
          <w:lang w:val="es-PR"/>
        </w:rPr>
        <w:t xml:space="preserve"> </w:t>
      </w:r>
      <w:r w:rsidRPr="00781DBB">
        <w:rPr>
          <w:rFonts w:ascii="Book Antiqua" w:hAnsi="Book Antiqua"/>
          <w:lang w:val="es-PR"/>
        </w:rPr>
        <w:t>porque el mismo ha sido revocado.</w:t>
      </w:r>
      <w:r w:rsidR="006C0409">
        <w:rPr>
          <w:rFonts w:ascii="Book Antiqua" w:hAnsi="Book Antiqua"/>
          <w:lang w:val="es-PR"/>
        </w:rPr>
        <w:t xml:space="preserve"> </w:t>
      </w:r>
      <w:r w:rsidR="006C0409" w:rsidRPr="006C0409">
        <w:rPr>
          <w:rFonts w:ascii="Book Antiqua" w:hAnsi="Book Antiqua"/>
          <w:i/>
          <w:iCs/>
          <w:lang w:val="es-PR"/>
        </w:rPr>
        <w:t>Cualquier persona privada, natural o jurídica, podrá presentar una acción de injunction, mandamus, sentencia declaratoria, o cualquier otra acción adecuada</w:t>
      </w:r>
      <w:r w:rsidR="001A249C">
        <w:rPr>
          <w:rFonts w:ascii="Book Antiqua" w:hAnsi="Book Antiqua"/>
          <w:i/>
          <w:iCs/>
          <w:lang w:val="es-PR"/>
        </w:rPr>
        <w:t xml:space="preserve"> para solicitar los remedios aquí dispuestos, </w:t>
      </w:r>
      <w:r w:rsidR="00B20F4F">
        <w:rPr>
          <w:rFonts w:ascii="Book Antiqua" w:hAnsi="Book Antiqua"/>
          <w:i/>
          <w:iCs/>
          <w:lang w:val="es-PR"/>
        </w:rPr>
        <w:t xml:space="preserve">siempre </w:t>
      </w:r>
      <w:r w:rsidR="001A249C">
        <w:rPr>
          <w:rFonts w:ascii="Book Antiqua" w:hAnsi="Book Antiqua"/>
          <w:i/>
          <w:iCs/>
          <w:lang w:val="es-PR"/>
        </w:rPr>
        <w:t>que</w:t>
      </w:r>
      <w:r w:rsidR="006C0409">
        <w:rPr>
          <w:rFonts w:ascii="Book Antiqua" w:hAnsi="Book Antiqua"/>
          <w:i/>
          <w:iCs/>
          <w:lang w:val="es-PR"/>
        </w:rPr>
        <w:t xml:space="preserve"> </w:t>
      </w:r>
      <w:r w:rsidR="006C0409" w:rsidRPr="006C0409">
        <w:rPr>
          <w:rFonts w:ascii="Book Antiqua" w:hAnsi="Book Antiqua"/>
          <w:i/>
          <w:iCs/>
          <w:lang w:val="es-PR"/>
        </w:rPr>
        <w:t>aleg</w:t>
      </w:r>
      <w:r w:rsidR="00B20F4F">
        <w:rPr>
          <w:rFonts w:ascii="Book Antiqua" w:hAnsi="Book Antiqua"/>
          <w:i/>
          <w:iCs/>
          <w:lang w:val="es-PR"/>
        </w:rPr>
        <w:t>ue</w:t>
      </w:r>
      <w:r w:rsidR="006C0409" w:rsidRPr="006C0409">
        <w:rPr>
          <w:rFonts w:ascii="Book Antiqua" w:hAnsi="Book Antiqua"/>
          <w:i/>
          <w:iCs/>
          <w:lang w:val="es-PR"/>
        </w:rPr>
        <w:t xml:space="preserve"> de manera específica que posee un interés propietario o personal sujeto a un daño inminente, que dicho daño puede vincularse razonablemente a la conducta de la parte promovida y que el </w:t>
      </w:r>
      <w:r w:rsidR="006C0409">
        <w:rPr>
          <w:rFonts w:ascii="Book Antiqua" w:hAnsi="Book Antiqua"/>
          <w:i/>
          <w:iCs/>
          <w:lang w:val="es-PR"/>
        </w:rPr>
        <w:t>daño</w:t>
      </w:r>
      <w:r w:rsidR="006C0409" w:rsidRPr="006C0409">
        <w:rPr>
          <w:rFonts w:ascii="Book Antiqua" w:hAnsi="Book Antiqua"/>
          <w:i/>
          <w:iCs/>
          <w:lang w:val="es-PR"/>
        </w:rPr>
        <w:t xml:space="preserve"> sufrido </w:t>
      </w:r>
      <w:r w:rsidR="006C0409">
        <w:rPr>
          <w:rFonts w:ascii="Book Antiqua" w:hAnsi="Book Antiqua"/>
          <w:i/>
          <w:iCs/>
          <w:lang w:val="es-PR"/>
        </w:rPr>
        <w:t xml:space="preserve">en el </w:t>
      </w:r>
      <w:r w:rsidR="006C0409" w:rsidRPr="006C0409">
        <w:rPr>
          <w:rFonts w:ascii="Book Antiqua" w:hAnsi="Book Antiqua"/>
          <w:i/>
          <w:iCs/>
          <w:lang w:val="es-PR"/>
        </w:rPr>
        <w:t>interés propietario o personal es susceptible de reparación mediante el remedio solicitado</w:t>
      </w:r>
      <w:r w:rsidR="001A249C">
        <w:rPr>
          <w:rFonts w:ascii="Book Antiqua" w:hAnsi="Book Antiqua"/>
          <w:i/>
          <w:iCs/>
          <w:lang w:val="es-PR"/>
        </w:rPr>
        <w:t>.</w:t>
      </w:r>
    </w:p>
    <w:p w14:paraId="50F629BD" w14:textId="3ADC4FF3" w:rsidR="00781DBB" w:rsidRPr="00B62696" w:rsidRDefault="00B62696" w:rsidP="004B040B">
      <w:pPr>
        <w:spacing w:line="480" w:lineRule="auto"/>
        <w:ind w:firstLine="567"/>
        <w:jc w:val="both"/>
        <w:rPr>
          <w:rFonts w:ascii="Book Antiqua" w:hAnsi="Book Antiqua"/>
          <w:lang w:val="es-PR"/>
        </w:rPr>
      </w:pPr>
      <w:r w:rsidRPr="00B62696">
        <w:rPr>
          <w:rFonts w:ascii="Book Antiqua" w:hAnsi="Book Antiqua"/>
          <w:lang w:val="es-PR"/>
        </w:rPr>
        <w:lastRenderedPageBreak/>
        <w:t>En los casos en los que se solicite la revocación de una determinación final, será parteindispensable de en el pleito la entidad o profesional autorizado que haya emitido la determinación final y el dueño del proyecto. Además, en los casos en los que se solicite la revocación de un permiso otorgado por haberse utilizado información incorrecta o falsa y que dicho permiso se haya expedido bajo las disposiciones de la Ley Núm. 135 de 15 de junio de 1967, según enmendada, dicho ingeniero o arquitecto también será parte indispensable ponle en el pleito.</w:t>
      </w:r>
    </w:p>
    <w:p w14:paraId="1B77F364" w14:textId="57ECC705" w:rsidR="006C0409" w:rsidRDefault="006C0409" w:rsidP="004B040B">
      <w:pPr>
        <w:spacing w:line="480" w:lineRule="auto"/>
        <w:ind w:firstLine="567"/>
        <w:jc w:val="both"/>
        <w:rPr>
          <w:rFonts w:ascii="Book Antiqua" w:hAnsi="Book Antiqua"/>
          <w:lang w:val="es-PR"/>
        </w:rPr>
      </w:pPr>
      <w:r>
        <w:rPr>
          <w:rFonts w:ascii="Book Antiqua" w:hAnsi="Book Antiqua"/>
          <w:lang w:val="es-PR"/>
        </w:rPr>
        <w:t>…</w:t>
      </w:r>
    </w:p>
    <w:p w14:paraId="113BE8E1" w14:textId="38B8A9C9" w:rsidR="0020062C" w:rsidRPr="0020062C" w:rsidRDefault="00016080" w:rsidP="004B040B">
      <w:pPr>
        <w:spacing w:line="480" w:lineRule="auto"/>
        <w:ind w:firstLine="567"/>
        <w:jc w:val="both"/>
        <w:rPr>
          <w:rFonts w:ascii="Book Antiqua" w:hAnsi="Book Antiqua"/>
          <w:lang w:val="es-ES_tradnl"/>
        </w:rPr>
      </w:pPr>
      <w:r>
        <w:rPr>
          <w:rFonts w:ascii="Book Antiqua" w:hAnsi="Book Antiqua"/>
          <w:lang w:val="es-ES_tradnl"/>
        </w:rPr>
        <w:t>Sección 3.</w:t>
      </w:r>
      <w:r w:rsidR="004B040B">
        <w:rPr>
          <w:rFonts w:ascii="Book Antiqua" w:hAnsi="Book Antiqua"/>
          <w:lang w:val="es-ES_tradnl"/>
        </w:rPr>
        <w:t>-</w:t>
      </w:r>
      <w:r w:rsidR="0020062C" w:rsidRPr="0020062C">
        <w:rPr>
          <w:rFonts w:ascii="Book Antiqua" w:hAnsi="Book Antiqua"/>
          <w:lang w:val="es-ES_tradnl"/>
        </w:rPr>
        <w:t>Si cualquier artículo, disposición, párrafo, inciso o parte de esta Ley, fuese declarada nula o inconstitucional por cualquier Tribunal competente, se entenderá que el resto de sus disposiciones mantendrán su validez y vigencia.</w:t>
      </w:r>
    </w:p>
    <w:p w14:paraId="39B662FB" w14:textId="6159E4AA" w:rsidR="0020062C" w:rsidRPr="0020062C" w:rsidRDefault="00D2641D" w:rsidP="004B040B">
      <w:pPr>
        <w:spacing w:line="480" w:lineRule="auto"/>
        <w:ind w:firstLine="567"/>
        <w:jc w:val="both"/>
        <w:rPr>
          <w:rFonts w:ascii="Book Antiqua" w:hAnsi="Book Antiqua"/>
          <w:lang w:val="es-ES_tradnl"/>
        </w:rPr>
      </w:pPr>
      <w:r>
        <w:rPr>
          <w:rFonts w:ascii="Book Antiqua" w:hAnsi="Book Antiqua"/>
          <w:lang w:val="es-ES_tradnl"/>
        </w:rPr>
        <w:t>Sección</w:t>
      </w:r>
      <w:r w:rsidR="0020062C" w:rsidRPr="0020062C">
        <w:rPr>
          <w:rFonts w:ascii="Book Antiqua" w:hAnsi="Book Antiqua"/>
          <w:lang w:val="es-ES_tradnl"/>
        </w:rPr>
        <w:t xml:space="preserve"> </w:t>
      </w:r>
      <w:r w:rsidR="00016080">
        <w:rPr>
          <w:rFonts w:ascii="Book Antiqua" w:hAnsi="Book Antiqua"/>
          <w:lang w:val="es-ES_tradnl"/>
        </w:rPr>
        <w:t>4</w:t>
      </w:r>
      <w:r w:rsidR="0020062C" w:rsidRPr="0020062C">
        <w:rPr>
          <w:rFonts w:ascii="Book Antiqua" w:hAnsi="Book Antiqua"/>
          <w:lang w:val="es-ES_tradnl"/>
        </w:rPr>
        <w:t xml:space="preserve">.-Esta Ley entrará en vigor inmediatamente después de su aprobación. </w:t>
      </w:r>
    </w:p>
    <w:sectPr w:rsidR="0020062C" w:rsidRPr="0020062C" w:rsidSect="006E4DD9">
      <w:headerReference w:type="default" r:id="rId12"/>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9D15E" w14:textId="77777777" w:rsidR="00693D34" w:rsidRDefault="00693D34">
      <w:r>
        <w:separator/>
      </w:r>
    </w:p>
  </w:endnote>
  <w:endnote w:type="continuationSeparator" w:id="0">
    <w:p w14:paraId="7ED93185" w14:textId="77777777" w:rsidR="00693D34" w:rsidRDefault="00693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885DA" w14:textId="77777777" w:rsidR="00693D34" w:rsidRDefault="00693D34">
      <w:r>
        <w:separator/>
      </w:r>
    </w:p>
  </w:footnote>
  <w:footnote w:type="continuationSeparator" w:id="0">
    <w:p w14:paraId="2DA12934" w14:textId="77777777" w:rsidR="00693D34" w:rsidRDefault="00693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E7EBB">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E7EBB">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20A9C"/>
    <w:rsid w:val="00020BBB"/>
    <w:rsid w:val="00056024"/>
    <w:rsid w:val="00075C88"/>
    <w:rsid w:val="00095AE1"/>
    <w:rsid w:val="000A6B6C"/>
    <w:rsid w:val="000B0DBB"/>
    <w:rsid w:val="000D05A0"/>
    <w:rsid w:val="000E6B29"/>
    <w:rsid w:val="0010137D"/>
    <w:rsid w:val="00103D91"/>
    <w:rsid w:val="00111E71"/>
    <w:rsid w:val="00122AF2"/>
    <w:rsid w:val="00127C6A"/>
    <w:rsid w:val="001363FE"/>
    <w:rsid w:val="001469D4"/>
    <w:rsid w:val="00163196"/>
    <w:rsid w:val="0017132B"/>
    <w:rsid w:val="00193A82"/>
    <w:rsid w:val="001A249C"/>
    <w:rsid w:val="001D27D2"/>
    <w:rsid w:val="001E522D"/>
    <w:rsid w:val="001E7EBB"/>
    <w:rsid w:val="001F4CA3"/>
    <w:rsid w:val="001F4FEB"/>
    <w:rsid w:val="001F612A"/>
    <w:rsid w:val="0020062C"/>
    <w:rsid w:val="00211396"/>
    <w:rsid w:val="00226AE6"/>
    <w:rsid w:val="00245322"/>
    <w:rsid w:val="00245B34"/>
    <w:rsid w:val="00263355"/>
    <w:rsid w:val="00266F60"/>
    <w:rsid w:val="00273792"/>
    <w:rsid w:val="002D027B"/>
    <w:rsid w:val="002D05EA"/>
    <w:rsid w:val="002D4AC8"/>
    <w:rsid w:val="002F56D1"/>
    <w:rsid w:val="003203F6"/>
    <w:rsid w:val="00320D78"/>
    <w:rsid w:val="00332E5E"/>
    <w:rsid w:val="003400E2"/>
    <w:rsid w:val="003566F2"/>
    <w:rsid w:val="00380FE5"/>
    <w:rsid w:val="003924DD"/>
    <w:rsid w:val="00394FCB"/>
    <w:rsid w:val="003963F4"/>
    <w:rsid w:val="003B23BD"/>
    <w:rsid w:val="003B5254"/>
    <w:rsid w:val="003B75A6"/>
    <w:rsid w:val="003C6EF0"/>
    <w:rsid w:val="003F101C"/>
    <w:rsid w:val="004061CA"/>
    <w:rsid w:val="00415689"/>
    <w:rsid w:val="004440CB"/>
    <w:rsid w:val="00460CE8"/>
    <w:rsid w:val="00463898"/>
    <w:rsid w:val="00466B32"/>
    <w:rsid w:val="004713D2"/>
    <w:rsid w:val="004950A5"/>
    <w:rsid w:val="004B040B"/>
    <w:rsid w:val="004F00F7"/>
    <w:rsid w:val="00521639"/>
    <w:rsid w:val="00532BB7"/>
    <w:rsid w:val="005332E4"/>
    <w:rsid w:val="0053550C"/>
    <w:rsid w:val="00545A95"/>
    <w:rsid w:val="00555018"/>
    <w:rsid w:val="0056686A"/>
    <w:rsid w:val="005723DC"/>
    <w:rsid w:val="0059073E"/>
    <w:rsid w:val="00594AAE"/>
    <w:rsid w:val="005B52C9"/>
    <w:rsid w:val="005C4EE4"/>
    <w:rsid w:val="005C57CA"/>
    <w:rsid w:val="005D27A3"/>
    <w:rsid w:val="006166A6"/>
    <w:rsid w:val="006210DC"/>
    <w:rsid w:val="006260FD"/>
    <w:rsid w:val="0064349D"/>
    <w:rsid w:val="0064671C"/>
    <w:rsid w:val="00651DCE"/>
    <w:rsid w:val="00653EED"/>
    <w:rsid w:val="00685549"/>
    <w:rsid w:val="00690517"/>
    <w:rsid w:val="00693D34"/>
    <w:rsid w:val="006B6B0A"/>
    <w:rsid w:val="006B7365"/>
    <w:rsid w:val="006C0409"/>
    <w:rsid w:val="006C2D81"/>
    <w:rsid w:val="006C72F8"/>
    <w:rsid w:val="006C7DF8"/>
    <w:rsid w:val="006E4DD9"/>
    <w:rsid w:val="00714C19"/>
    <w:rsid w:val="00750FC8"/>
    <w:rsid w:val="00752381"/>
    <w:rsid w:val="007533D0"/>
    <w:rsid w:val="00755069"/>
    <w:rsid w:val="00757B43"/>
    <w:rsid w:val="00781DBB"/>
    <w:rsid w:val="007B0660"/>
    <w:rsid w:val="007B144E"/>
    <w:rsid w:val="007B2302"/>
    <w:rsid w:val="007E3868"/>
    <w:rsid w:val="00805128"/>
    <w:rsid w:val="00820C41"/>
    <w:rsid w:val="00850256"/>
    <w:rsid w:val="008B2D1F"/>
    <w:rsid w:val="008E20A1"/>
    <w:rsid w:val="008F1525"/>
    <w:rsid w:val="008F66C2"/>
    <w:rsid w:val="00907829"/>
    <w:rsid w:val="00920B1C"/>
    <w:rsid w:val="0093686F"/>
    <w:rsid w:val="00942FD4"/>
    <w:rsid w:val="00951997"/>
    <w:rsid w:val="00990352"/>
    <w:rsid w:val="00A03405"/>
    <w:rsid w:val="00A1528A"/>
    <w:rsid w:val="00A27A6C"/>
    <w:rsid w:val="00A32B27"/>
    <w:rsid w:val="00A33918"/>
    <w:rsid w:val="00A35965"/>
    <w:rsid w:val="00A418B0"/>
    <w:rsid w:val="00A53E74"/>
    <w:rsid w:val="00A66377"/>
    <w:rsid w:val="00A7629F"/>
    <w:rsid w:val="00A91486"/>
    <w:rsid w:val="00AC6BB7"/>
    <w:rsid w:val="00AD186A"/>
    <w:rsid w:val="00AF0CEE"/>
    <w:rsid w:val="00B20F4F"/>
    <w:rsid w:val="00B45BD4"/>
    <w:rsid w:val="00B62696"/>
    <w:rsid w:val="00B667AD"/>
    <w:rsid w:val="00B84C38"/>
    <w:rsid w:val="00B86C00"/>
    <w:rsid w:val="00B93169"/>
    <w:rsid w:val="00B947F6"/>
    <w:rsid w:val="00B97CE7"/>
    <w:rsid w:val="00BA1D35"/>
    <w:rsid w:val="00BF16AA"/>
    <w:rsid w:val="00BF20AE"/>
    <w:rsid w:val="00C343B6"/>
    <w:rsid w:val="00C354B8"/>
    <w:rsid w:val="00C52517"/>
    <w:rsid w:val="00C60921"/>
    <w:rsid w:val="00C62936"/>
    <w:rsid w:val="00C653F2"/>
    <w:rsid w:val="00C679E6"/>
    <w:rsid w:val="00C908F9"/>
    <w:rsid w:val="00CA0917"/>
    <w:rsid w:val="00CA1099"/>
    <w:rsid w:val="00CA7BE0"/>
    <w:rsid w:val="00CC1F37"/>
    <w:rsid w:val="00CC2F2D"/>
    <w:rsid w:val="00CD7DD8"/>
    <w:rsid w:val="00CE1153"/>
    <w:rsid w:val="00CE3FC6"/>
    <w:rsid w:val="00D00CA3"/>
    <w:rsid w:val="00D2641D"/>
    <w:rsid w:val="00D417C2"/>
    <w:rsid w:val="00D47D11"/>
    <w:rsid w:val="00D5753C"/>
    <w:rsid w:val="00D60936"/>
    <w:rsid w:val="00D709EB"/>
    <w:rsid w:val="00D74714"/>
    <w:rsid w:val="00D82F3F"/>
    <w:rsid w:val="00D85FF6"/>
    <w:rsid w:val="00D921C6"/>
    <w:rsid w:val="00D958C2"/>
    <w:rsid w:val="00DC7E41"/>
    <w:rsid w:val="00E04AB5"/>
    <w:rsid w:val="00E22722"/>
    <w:rsid w:val="00E3642D"/>
    <w:rsid w:val="00E50EEA"/>
    <w:rsid w:val="00E52348"/>
    <w:rsid w:val="00E52F58"/>
    <w:rsid w:val="00E61593"/>
    <w:rsid w:val="00E623E2"/>
    <w:rsid w:val="00EB1D40"/>
    <w:rsid w:val="00EB7761"/>
    <w:rsid w:val="00EC26AA"/>
    <w:rsid w:val="00ED5C71"/>
    <w:rsid w:val="00ED7A53"/>
    <w:rsid w:val="00EE4273"/>
    <w:rsid w:val="00EF6D61"/>
    <w:rsid w:val="00F02004"/>
    <w:rsid w:val="00F042CB"/>
    <w:rsid w:val="00F567E7"/>
    <w:rsid w:val="00F60A20"/>
    <w:rsid w:val="00F63CB3"/>
    <w:rsid w:val="00FA5C1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notapie">
    <w:name w:val="footnote text"/>
    <w:basedOn w:val="Normal"/>
    <w:link w:val="TextonotapieCar"/>
    <w:uiPriority w:val="99"/>
    <w:semiHidden/>
    <w:unhideWhenUsed/>
    <w:rsid w:val="001E522D"/>
    <w:rPr>
      <w:sz w:val="20"/>
    </w:rPr>
  </w:style>
  <w:style w:type="character" w:customStyle="1" w:styleId="TextonotapieCar">
    <w:name w:val="Texto nota pie Car"/>
    <w:basedOn w:val="Fuentedeprrafopredeter"/>
    <w:link w:val="Textonotapie"/>
    <w:uiPriority w:val="99"/>
    <w:semiHidden/>
    <w:rsid w:val="001E522D"/>
  </w:style>
  <w:style w:type="character" w:styleId="Refdenotaalpie">
    <w:name w:val="footnote reference"/>
    <w:basedOn w:val="Fuentedeprrafopredeter"/>
    <w:uiPriority w:val="99"/>
    <w:semiHidden/>
    <w:unhideWhenUsed/>
    <w:rsid w:val="001E522D"/>
    <w:rPr>
      <w:vertAlign w:val="superscript"/>
    </w:rPr>
  </w:style>
  <w:style w:type="paragraph" w:styleId="Prrafodelista">
    <w:name w:val="List Paragraph"/>
    <w:basedOn w:val="Normal"/>
    <w:uiPriority w:val="34"/>
    <w:qFormat/>
    <w:rsid w:val="00AD1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d63ab824837002cb72f66b1043b67138">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d7c3be2d9a44e078e1de4d3a4d1d12ca"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5153D7-50EF-4A9B-A931-81725641F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FE118EE7-056C-4C94-8D3C-34A1FF8B6C60}">
  <ds:schemaRefs>
    <ds:schemaRef ds:uri="http://schemas.microsoft.com/office/infopath/2007/PartnerControls"/>
    <ds:schemaRef ds:uri="http://purl.org/dc/terms/"/>
    <ds:schemaRef ds:uri="http://schemas.microsoft.com/office/2006/documentManagement/types"/>
    <ds:schemaRef ds:uri="http://purl.org/dc/dcmitype/"/>
    <ds:schemaRef ds:uri="http://schemas.microsoft.com/office/2006/metadata/properties"/>
    <ds:schemaRef ds:uri="http://purl.org/dc/elements/1.1/"/>
    <ds:schemaRef ds:uri="http://www.w3.org/XML/1998/namespace"/>
    <ds:schemaRef ds:uri="http://schemas.openxmlformats.org/package/2006/metadata/core-properties"/>
    <ds:schemaRef ds:uri="f98376c4-2382-4917-8550-2b1a451c8c43"/>
    <ds:schemaRef ds:uri="92f57704-3039-4ebf-ac81-f8b12810bd0e"/>
  </ds:schemaRefs>
</ds:datastoreItem>
</file>

<file path=customXml/itemProps4.xml><?xml version="1.0" encoding="utf-8"?>
<ds:datastoreItem xmlns:ds="http://schemas.openxmlformats.org/officeDocument/2006/customXml" ds:itemID="{EF84F66E-9519-4291-8DE8-5CDB3E0EC1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1674</Words>
  <Characters>9097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Rocío Alayón Morell</cp:lastModifiedBy>
  <cp:revision>4</cp:revision>
  <cp:lastPrinted>2025-02-10T13:43:00Z</cp:lastPrinted>
  <dcterms:created xsi:type="dcterms:W3CDTF">2025-02-06T17:45:00Z</dcterms:created>
  <dcterms:modified xsi:type="dcterms:W3CDTF">2025-02-10T13:44:00Z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