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031D2" w14:textId="77777777" w:rsidR="00F3602A" w:rsidRDefault="00A46E93">
      <w:pPr>
        <w:suppressLineNumbers/>
        <w:spacing w:after="0"/>
        <w:jc w:val="center"/>
        <w:rPr>
          <w:rFonts w:ascii="Book Antiqua" w:hAnsi="Book Antiqua" w:cs="Book Antiqua"/>
          <w:b/>
          <w:bCs/>
          <w:sz w:val="36"/>
          <w:szCs w:val="36"/>
          <w:lang w:val="es-ES_tradnl"/>
        </w:rPr>
      </w:pPr>
      <w:r>
        <w:rPr>
          <w:rFonts w:ascii="Book Antiqua" w:hAnsi="Book Antiqua" w:cs="Book Antiqua"/>
          <w:sz w:val="36"/>
          <w:szCs w:val="36"/>
          <w:lang w:val="es-ES_tradnl"/>
        </w:rPr>
        <w:t>(</w:t>
      </w:r>
      <w:r>
        <w:rPr>
          <w:rFonts w:ascii="Book Antiqua" w:hAnsi="Book Antiqua" w:cs="Book Antiqua"/>
          <w:b/>
          <w:bCs/>
          <w:sz w:val="36"/>
          <w:szCs w:val="36"/>
          <w:lang w:val="es-ES_tradnl"/>
        </w:rPr>
        <w:t>ENTIRILLADO ELECTRÓNICO)</w:t>
      </w:r>
    </w:p>
    <w:p w14:paraId="28B031D3" w14:textId="77777777" w:rsidR="00F3602A" w:rsidRDefault="00A46E93">
      <w:pPr>
        <w:suppressLineNumbers/>
        <w:spacing w:before="60" w:after="0"/>
        <w:ind w:left="630" w:right="893"/>
        <w:jc w:val="center"/>
      </w:pPr>
      <w:r>
        <w:rPr>
          <w:rFonts w:ascii="Book Antiqua" w:hAnsi="Book Antiqua" w:cs="Book Antiqua"/>
          <w:sz w:val="36"/>
          <w:lang w:val="es-PR"/>
        </w:rPr>
        <w:t>GOBIERNO DE</w:t>
      </w:r>
      <w:r>
        <w:rPr>
          <w:rFonts w:ascii="Book Antiqua" w:hAnsi="Book Antiqua" w:cs="Book Antiqua"/>
          <w:spacing w:val="1"/>
          <w:sz w:val="36"/>
          <w:lang w:val="es-PR"/>
        </w:rPr>
        <w:t xml:space="preserve"> </w:t>
      </w:r>
      <w:r>
        <w:rPr>
          <w:rFonts w:ascii="Book Antiqua" w:hAnsi="Book Antiqua" w:cs="Book Antiqua"/>
          <w:sz w:val="36"/>
          <w:lang w:val="es-PR"/>
        </w:rPr>
        <w:t>PUERTO RICO</w:t>
      </w:r>
    </w:p>
    <w:p w14:paraId="28B031D4" w14:textId="77777777" w:rsidR="00F3602A" w:rsidRDefault="00F3602A">
      <w:pPr>
        <w:suppressLineNumbers/>
        <w:tabs>
          <w:tab w:val="left" w:pos="648"/>
        </w:tabs>
        <w:spacing w:after="0"/>
        <w:rPr>
          <w:rFonts w:ascii="Book Antiqua" w:hAnsi="Book Antiqua" w:cs="Book Antiqua"/>
          <w:sz w:val="36"/>
          <w:lang w:val="es-ES_tradnl"/>
        </w:rPr>
      </w:pPr>
    </w:p>
    <w:p w14:paraId="28B031D5" w14:textId="77777777" w:rsidR="00F3602A" w:rsidRDefault="00A46E93">
      <w:pPr>
        <w:suppressLineNumbers/>
        <w:tabs>
          <w:tab w:val="left" w:pos="648"/>
        </w:tabs>
        <w:spacing w:after="0"/>
      </w:pPr>
      <w:r>
        <w:rPr>
          <w:rFonts w:ascii="Book Antiqua" w:hAnsi="Book Antiqua" w:cs="Book Antiqua"/>
          <w:lang w:val="es-ES_tradnl"/>
        </w:rPr>
        <w:t>20</w:t>
      </w:r>
      <w:r>
        <w:rPr>
          <w:rFonts w:ascii="Book Antiqua" w:hAnsi="Book Antiqua" w:cs="Book Antiqua"/>
          <w:vertAlign w:val="superscript"/>
          <w:lang w:val="es-ES_tradnl"/>
        </w:rPr>
        <w:t xml:space="preserve">ma. </w:t>
      </w:r>
      <w:r>
        <w:rPr>
          <w:rFonts w:ascii="Book Antiqua" w:hAnsi="Book Antiqua" w:cs="Book Antiqua"/>
          <w:lang w:val="es-ES_tradnl"/>
        </w:rPr>
        <w:t>Asamblea</w:t>
      </w:r>
      <w:r>
        <w:rPr>
          <w:rFonts w:ascii="Book Antiqua" w:hAnsi="Book Antiqua" w:cs="Book Antiqua"/>
          <w:lang w:val="es-ES_tradnl"/>
        </w:rPr>
        <w:tab/>
        <w:t xml:space="preserve">     </w:t>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t xml:space="preserve">           1</w:t>
      </w:r>
      <w:r>
        <w:rPr>
          <w:rFonts w:ascii="Book Antiqua" w:hAnsi="Book Antiqua" w:cs="Book Antiqua"/>
          <w:vertAlign w:val="superscript"/>
          <w:lang w:val="es-ES_tradnl"/>
        </w:rPr>
        <w:t xml:space="preserve">ra. </w:t>
      </w:r>
      <w:r>
        <w:rPr>
          <w:rFonts w:ascii="Book Antiqua" w:hAnsi="Book Antiqua" w:cs="Book Antiqua"/>
          <w:lang w:val="es-ES_tradnl"/>
        </w:rPr>
        <w:t xml:space="preserve">  Sesión</w:t>
      </w:r>
    </w:p>
    <w:p w14:paraId="28B031D6" w14:textId="77777777" w:rsidR="00F3602A" w:rsidRDefault="00A46E93">
      <w:pPr>
        <w:suppressLineNumbers/>
        <w:spacing w:after="0"/>
        <w:rPr>
          <w:rFonts w:ascii="Book Antiqua" w:hAnsi="Book Antiqua" w:cs="Book Antiqua"/>
          <w:lang w:val="es-ES_tradnl"/>
        </w:rPr>
      </w:pPr>
      <w:r>
        <w:rPr>
          <w:rFonts w:ascii="Book Antiqua" w:hAnsi="Book Antiqua" w:cs="Book Antiqua"/>
          <w:lang w:val="es-ES_tradnl"/>
        </w:rPr>
        <w:t xml:space="preserve">         Legislativa</w:t>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t xml:space="preserve">      </w:t>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t xml:space="preserve">      Ordinaria</w:t>
      </w:r>
    </w:p>
    <w:p w14:paraId="28B031D7" w14:textId="77777777" w:rsidR="00F3602A" w:rsidRDefault="00F3602A">
      <w:pPr>
        <w:suppressLineNumbers/>
        <w:spacing w:after="0"/>
        <w:rPr>
          <w:rFonts w:ascii="Book Antiqua" w:hAnsi="Book Antiqua" w:cs="Book Antiqua"/>
          <w:lang w:val="es-ES_tradnl"/>
        </w:rPr>
      </w:pPr>
    </w:p>
    <w:p w14:paraId="28B031D8" w14:textId="77777777" w:rsidR="00F3602A" w:rsidRDefault="00A46E93">
      <w:pPr>
        <w:suppressLineNumbers/>
        <w:spacing w:after="0" w:line="360" w:lineRule="auto"/>
        <w:jc w:val="center"/>
        <w:rPr>
          <w:rFonts w:ascii="Book Antiqua" w:hAnsi="Book Antiqua" w:cs="Book Antiqua"/>
          <w:b/>
          <w:sz w:val="36"/>
          <w:lang w:val="es-ES_tradnl"/>
        </w:rPr>
      </w:pPr>
      <w:r>
        <w:rPr>
          <w:rFonts w:ascii="Book Antiqua" w:hAnsi="Book Antiqua" w:cs="Book Antiqua"/>
          <w:b/>
          <w:sz w:val="36"/>
          <w:lang w:val="es-ES_tradnl"/>
        </w:rPr>
        <w:t>SENADO DE PUERTO RICO</w:t>
      </w:r>
    </w:p>
    <w:p w14:paraId="28B031D9" w14:textId="77777777" w:rsidR="00F3602A" w:rsidRDefault="00A46E93">
      <w:pPr>
        <w:suppressLineNumbers/>
        <w:spacing w:after="0" w:line="360" w:lineRule="auto"/>
        <w:jc w:val="center"/>
        <w:rPr>
          <w:rFonts w:ascii="Book Antiqua" w:hAnsi="Book Antiqua" w:cs="Book Antiqua"/>
          <w:b/>
          <w:sz w:val="52"/>
          <w:lang w:val="es-ES_tradnl"/>
        </w:rPr>
      </w:pPr>
      <w:r>
        <w:rPr>
          <w:rFonts w:ascii="Book Antiqua" w:hAnsi="Book Antiqua" w:cs="Book Antiqua"/>
          <w:b/>
          <w:sz w:val="52"/>
          <w:lang w:val="es-ES_tradnl"/>
        </w:rPr>
        <w:t>P. del S. 318</w:t>
      </w:r>
    </w:p>
    <w:p w14:paraId="28B031DA" w14:textId="77777777" w:rsidR="00F3602A" w:rsidRDefault="00A46E93">
      <w:pPr>
        <w:suppressLineNumbers/>
        <w:spacing w:after="0" w:line="360" w:lineRule="auto"/>
        <w:jc w:val="center"/>
        <w:rPr>
          <w:rFonts w:ascii="Book Antiqua" w:hAnsi="Book Antiqua" w:cs="Book Antiqua"/>
          <w:szCs w:val="24"/>
          <w:lang w:val="es-ES_tradnl"/>
        </w:rPr>
      </w:pPr>
      <w:r>
        <w:rPr>
          <w:rFonts w:ascii="Book Antiqua" w:hAnsi="Book Antiqua" w:cs="Book Antiqua"/>
          <w:lang w:val="es-ES_tradnl"/>
        </w:rPr>
        <w:t>10 de febrero de 2025</w:t>
      </w:r>
    </w:p>
    <w:p w14:paraId="28B031DB" w14:textId="77777777" w:rsidR="00F3602A" w:rsidRDefault="00A46E93">
      <w:pPr>
        <w:suppressLineNumbers/>
        <w:spacing w:after="0" w:line="360" w:lineRule="auto"/>
        <w:jc w:val="center"/>
      </w:pPr>
      <w:r>
        <w:rPr>
          <w:rFonts w:ascii="Book Antiqua" w:hAnsi="Book Antiqua" w:cs="Book Antiqua"/>
          <w:lang w:val="es-ES_tradnl"/>
        </w:rPr>
        <w:t xml:space="preserve"> Presentado por el señor </w:t>
      </w:r>
      <w:r>
        <w:rPr>
          <w:rFonts w:ascii="Book Antiqua" w:hAnsi="Book Antiqua" w:cs="Book Antiqua"/>
          <w:i/>
          <w:iCs/>
          <w:lang w:val="es-ES_tradnl"/>
        </w:rPr>
        <w:t>Morales Rodríguez</w:t>
      </w:r>
    </w:p>
    <w:p w14:paraId="28B031DC" w14:textId="77777777" w:rsidR="00F3602A" w:rsidRDefault="00A46E93">
      <w:pPr>
        <w:suppressLineNumbers/>
        <w:spacing w:after="0" w:line="360" w:lineRule="auto"/>
        <w:jc w:val="center"/>
        <w:rPr>
          <w:rFonts w:ascii="Book Antiqua" w:hAnsi="Book Antiqua" w:cs="Book Antiqua"/>
          <w:i/>
          <w:iCs/>
          <w:lang w:val="es-ES_tradnl"/>
        </w:rPr>
      </w:pPr>
      <w:r>
        <w:rPr>
          <w:rFonts w:ascii="Book Antiqua" w:hAnsi="Book Antiqua" w:cs="Book Antiqua"/>
          <w:i/>
          <w:iCs/>
          <w:lang w:val="es-ES_tradnl"/>
        </w:rPr>
        <w:t>Coautor el señor Santos Ortiz</w:t>
      </w:r>
    </w:p>
    <w:p w14:paraId="28B031DD" w14:textId="77777777" w:rsidR="00F3602A" w:rsidRDefault="00A46E93">
      <w:pPr>
        <w:suppressLineNumbers/>
        <w:spacing w:after="0" w:line="360" w:lineRule="auto"/>
        <w:jc w:val="center"/>
        <w:rPr>
          <w:rFonts w:ascii="Book Antiqua" w:hAnsi="Book Antiqua" w:cs="Book Antiqua"/>
          <w:color w:val="1F497D"/>
          <w:sz w:val="22"/>
          <w:lang w:val="es-PR"/>
        </w:rPr>
      </w:pPr>
      <w:r>
        <w:rPr>
          <w:rFonts w:ascii="Book Antiqua" w:hAnsi="Book Antiqua" w:cs="Book Antiqua"/>
          <w:i/>
          <w:lang w:val="es-ES_tradnl"/>
        </w:rPr>
        <w:t>Referido a la Comisión de Salud</w:t>
      </w:r>
    </w:p>
    <w:p w14:paraId="28B031DE" w14:textId="77777777" w:rsidR="00F3602A" w:rsidRDefault="00A46E93">
      <w:pPr>
        <w:suppressLineNumbers/>
        <w:spacing w:before="240" w:after="120"/>
        <w:jc w:val="center"/>
        <w:rPr>
          <w:rFonts w:ascii="Book Antiqua" w:hAnsi="Book Antiqua" w:cs="Book Antiqua"/>
          <w:b/>
          <w:bCs/>
          <w:szCs w:val="24"/>
          <w:lang w:val="es-PR"/>
        </w:rPr>
      </w:pPr>
      <w:r>
        <w:rPr>
          <w:rFonts w:ascii="Book Antiqua" w:hAnsi="Book Antiqua" w:cs="Book Antiqua"/>
          <w:b/>
          <w:bCs/>
          <w:szCs w:val="24"/>
          <w:lang w:val="es-PR"/>
        </w:rPr>
        <w:t>LEY</w:t>
      </w:r>
    </w:p>
    <w:p w14:paraId="28B031DF" w14:textId="77777777" w:rsidR="00F3602A" w:rsidRDefault="00A46E93">
      <w:pPr>
        <w:suppressLineNumbers/>
        <w:spacing w:after="0"/>
        <w:ind w:left="360" w:hanging="360"/>
        <w:jc w:val="both"/>
        <w:rPr>
          <w:rFonts w:ascii="Book Antiqua" w:hAnsi="Book Antiqua" w:cs="Book Antiqua"/>
          <w:szCs w:val="24"/>
          <w:lang w:val="es-ES_tradnl"/>
        </w:rPr>
      </w:pPr>
      <w:r>
        <w:rPr>
          <w:rFonts w:ascii="Book Antiqua" w:hAnsi="Book Antiqua" w:cs="Book Antiqua"/>
          <w:szCs w:val="24"/>
          <w:lang w:val="es-ES_tradnl"/>
        </w:rPr>
        <w:t xml:space="preserve">Para enmendar el Artículo 5 de la Ley Núm. 81 de 14 de marzo de 1912, según enmendada, conocida como “Ley del Departamento de Salud”, para facultar al </w:t>
      </w:r>
      <w:proofErr w:type="gramStart"/>
      <w:r>
        <w:rPr>
          <w:rFonts w:ascii="Book Antiqua" w:hAnsi="Book Antiqua" w:cs="Book Antiqua"/>
          <w:szCs w:val="24"/>
          <w:lang w:val="es-ES_tradnl"/>
        </w:rPr>
        <w:t>Secretario</w:t>
      </w:r>
      <w:proofErr w:type="gramEnd"/>
      <w:r>
        <w:rPr>
          <w:rFonts w:ascii="Book Antiqua" w:hAnsi="Book Antiqua" w:cs="Book Antiqua"/>
          <w:szCs w:val="24"/>
          <w:lang w:val="es-ES_tradnl"/>
        </w:rPr>
        <w:t xml:space="preserve"> de Salud a emitir licencias provisionales a los profesionales de la salud </w:t>
      </w:r>
      <w:r>
        <w:rPr>
          <w:rFonts w:ascii="Book Antiqua" w:hAnsi="Book Antiqua" w:cs="Book Antiqua"/>
          <w:szCs w:val="24"/>
          <w:lang w:val="es-PR"/>
        </w:rPr>
        <w:t>y médicos,</w:t>
      </w:r>
      <w:r>
        <w:rPr>
          <w:rFonts w:ascii="Book Antiqua" w:hAnsi="Book Antiqua" w:cs="Book Antiqua"/>
          <w:i/>
          <w:iCs/>
          <w:szCs w:val="24"/>
          <w:lang w:val="es-PR"/>
        </w:rPr>
        <w:t xml:space="preserve"> </w:t>
      </w:r>
      <w:r>
        <w:rPr>
          <w:rFonts w:ascii="Book Antiqua" w:hAnsi="Book Antiqua" w:cs="Book Antiqua"/>
          <w:szCs w:val="24"/>
          <w:lang w:val="es-ES_tradnl"/>
        </w:rPr>
        <w:t xml:space="preserve">siempre que exista una declaración de emergencia emitida por el </w:t>
      </w:r>
      <w:proofErr w:type="gramStart"/>
      <w:r>
        <w:rPr>
          <w:rFonts w:ascii="Book Antiqua" w:hAnsi="Book Antiqua" w:cs="Book Antiqua"/>
          <w:szCs w:val="24"/>
          <w:lang w:val="es-ES_tradnl"/>
        </w:rPr>
        <w:t>Presidente</w:t>
      </w:r>
      <w:proofErr w:type="gramEnd"/>
      <w:r>
        <w:rPr>
          <w:rFonts w:ascii="Book Antiqua" w:hAnsi="Book Antiqua" w:cs="Book Antiqua"/>
          <w:szCs w:val="24"/>
          <w:lang w:val="es-ES_tradnl"/>
        </w:rPr>
        <w:t xml:space="preserve"> de los Estados Unidos, por el Gobernador de Puerto Rico o por el </w:t>
      </w:r>
      <w:proofErr w:type="gramStart"/>
      <w:r>
        <w:rPr>
          <w:rFonts w:ascii="Book Antiqua" w:hAnsi="Book Antiqua" w:cs="Book Antiqua"/>
          <w:szCs w:val="24"/>
          <w:lang w:val="es-ES_tradnl"/>
        </w:rPr>
        <w:t>Secretario</w:t>
      </w:r>
      <w:proofErr w:type="gramEnd"/>
      <w:r>
        <w:rPr>
          <w:rFonts w:ascii="Book Antiqua" w:hAnsi="Book Antiqua" w:cs="Book Antiqua"/>
          <w:szCs w:val="24"/>
          <w:lang w:val="es-ES_tradnl"/>
        </w:rPr>
        <w:t xml:space="preserve"> de Salud</w:t>
      </w:r>
      <w:bookmarkStart w:id="0" w:name="_Hlk189733064"/>
      <w:r>
        <w:rPr>
          <w:rFonts w:ascii="Book Antiqua" w:hAnsi="Book Antiqua" w:cs="Book Antiqua"/>
          <w:szCs w:val="24"/>
          <w:lang w:val="es-ES_tradnl"/>
        </w:rPr>
        <w:t>, mientras dure la emergencia</w:t>
      </w:r>
      <w:bookmarkEnd w:id="0"/>
      <w:r>
        <w:rPr>
          <w:rFonts w:ascii="Book Antiqua" w:hAnsi="Book Antiqua" w:cs="Book Antiqua"/>
          <w:szCs w:val="24"/>
          <w:lang w:val="es-ES_tradnl"/>
        </w:rPr>
        <w:t xml:space="preserve">; y para otros fines. </w:t>
      </w:r>
    </w:p>
    <w:p w14:paraId="28B031E0" w14:textId="77777777" w:rsidR="00F3602A" w:rsidRDefault="00F3602A">
      <w:pPr>
        <w:suppressLineNumbers/>
        <w:ind w:left="360" w:hanging="360"/>
        <w:jc w:val="both"/>
        <w:rPr>
          <w:rFonts w:ascii="Book Antiqua" w:hAnsi="Book Antiqua" w:cs="Book Antiqua"/>
          <w:szCs w:val="24"/>
          <w:lang w:val="es-ES_tradnl"/>
        </w:rPr>
      </w:pPr>
    </w:p>
    <w:p w14:paraId="28B031E1" w14:textId="77777777" w:rsidR="00F3602A" w:rsidRDefault="00A46E93">
      <w:pPr>
        <w:suppressLineNumbers/>
        <w:spacing w:line="360" w:lineRule="auto"/>
        <w:jc w:val="center"/>
        <w:rPr>
          <w:rFonts w:ascii="Book Antiqua" w:hAnsi="Book Antiqua" w:cs="Book Antiqua"/>
          <w:b/>
          <w:szCs w:val="24"/>
          <w:lang w:val="es-ES_tradnl"/>
        </w:rPr>
      </w:pPr>
      <w:r>
        <w:rPr>
          <w:rFonts w:ascii="Book Antiqua" w:hAnsi="Book Antiqua" w:cs="Book Antiqua"/>
          <w:b/>
          <w:szCs w:val="24"/>
          <w:lang w:val="es-ES_tradnl"/>
        </w:rPr>
        <w:t>EXPOSICIÓN DE MOTIVOS</w:t>
      </w:r>
    </w:p>
    <w:p w14:paraId="28B031E2" w14:textId="77777777" w:rsidR="00F3602A" w:rsidRDefault="00A46E93">
      <w:pPr>
        <w:suppressLineNumbers/>
        <w:spacing w:line="360" w:lineRule="auto"/>
        <w:ind w:firstLine="720"/>
        <w:jc w:val="both"/>
      </w:pPr>
      <w:r>
        <w:rPr>
          <w:rFonts w:ascii="Book Antiqua" w:hAnsi="Book Antiqua" w:cs="Book Antiqua"/>
          <w:szCs w:val="24"/>
          <w:lang w:val="es-ES"/>
        </w:rPr>
        <w:t>El Departamento de Salud fue creado por virtud de la Ley Núm. 81 de 14 de marzo de 1912, según enmendada, conocida como la “Ley del Departamento de Salud</w:t>
      </w:r>
      <w:r>
        <w:rPr>
          <w:rFonts w:ascii="Book Antiqua" w:hAnsi="Book Antiqua" w:cs="Book Antiqua"/>
          <w:i/>
          <w:iCs/>
          <w:szCs w:val="24"/>
          <w:lang w:val="es-ES"/>
        </w:rPr>
        <w:t>”</w:t>
      </w:r>
      <w:r>
        <w:rPr>
          <w:rFonts w:ascii="Book Antiqua" w:hAnsi="Book Antiqua" w:cs="Book Antiqua"/>
          <w:szCs w:val="24"/>
          <w:lang w:val="es-ES"/>
        </w:rPr>
        <w:t xml:space="preserve"> y elevado a rango constitucional el 25 de julio de 1952, en virtud de lo dispuesto en el Artículo IV, Sección 6 de la Constitución del Estado Libre Asociado de Puerto Rico.</w:t>
      </w:r>
    </w:p>
    <w:p w14:paraId="28B031E3" w14:textId="77777777" w:rsidR="00F3602A" w:rsidRDefault="00A46E93">
      <w:pPr>
        <w:suppressLineNumbers/>
        <w:spacing w:line="360" w:lineRule="auto"/>
        <w:ind w:firstLine="720"/>
        <w:jc w:val="both"/>
      </w:pPr>
      <w:r>
        <w:rPr>
          <w:rFonts w:ascii="Book Antiqua" w:hAnsi="Book Antiqua" w:cs="Book Antiqua"/>
          <w:szCs w:val="24"/>
          <w:lang w:val="es-ES"/>
        </w:rPr>
        <w:t xml:space="preserve">A nivel constitucional, es la única agencia cuyo deber ineludible es velar por la salud de toda la ciudadanía, </w:t>
      </w:r>
      <w:bookmarkStart w:id="1" w:name="_Hlk189734702"/>
      <w:r>
        <w:rPr>
          <w:rFonts w:ascii="Book Antiqua" w:hAnsi="Book Antiqua" w:cs="Book Antiqua"/>
          <w:szCs w:val="24"/>
          <w:lang w:val="es-ES"/>
        </w:rPr>
        <w:t xml:space="preserve">al conferírsele </w:t>
      </w:r>
      <w:bookmarkEnd w:id="1"/>
      <w:r>
        <w:rPr>
          <w:rFonts w:ascii="Book Antiqua" w:hAnsi="Book Antiqua" w:cs="Book Antiqua"/>
          <w:szCs w:val="24"/>
          <w:lang w:val="es-ES"/>
        </w:rPr>
        <w:t>la responsabilidad de fijar los objetivos y desarrollar estrategias para proteger la salud del pueblo de Puerto Rico.</w:t>
      </w:r>
    </w:p>
    <w:p w14:paraId="28B031E4" w14:textId="77777777" w:rsidR="00F3602A" w:rsidRPr="00EF3E3E" w:rsidRDefault="00A46E93">
      <w:pPr>
        <w:suppressLineNumbers/>
        <w:spacing w:line="360" w:lineRule="auto"/>
        <w:ind w:firstLine="720"/>
        <w:jc w:val="both"/>
        <w:rPr>
          <w:lang w:val="es-ES"/>
        </w:rPr>
      </w:pPr>
      <w:r>
        <w:rPr>
          <w:rFonts w:ascii="Book Antiqua" w:hAnsi="Book Antiqua" w:cs="Book Antiqua"/>
          <w:szCs w:val="24"/>
          <w:lang w:val="es-ES"/>
        </w:rPr>
        <w:lastRenderedPageBreak/>
        <w:t>La Ley Núm. 81</w:t>
      </w:r>
      <w:r>
        <w:rPr>
          <w:rFonts w:ascii="Book Antiqua" w:hAnsi="Book Antiqua" w:cs="Book Antiqua"/>
          <w:i/>
          <w:iCs/>
          <w:szCs w:val="24"/>
          <w:lang w:val="es-ES"/>
        </w:rPr>
        <w:t>, supra,</w:t>
      </w:r>
      <w:r>
        <w:rPr>
          <w:rFonts w:ascii="Book Antiqua" w:hAnsi="Book Antiqua" w:cs="Book Antiqua"/>
          <w:szCs w:val="24"/>
          <w:lang w:val="es-ES"/>
        </w:rPr>
        <w:t xml:space="preserve"> establece que en caso de que alguna epidemia amenazare la salud del pueblo de Puerto Rico, el </w:t>
      </w:r>
      <w:proofErr w:type="gramStart"/>
      <w:r>
        <w:rPr>
          <w:rFonts w:ascii="Book Antiqua" w:hAnsi="Book Antiqua" w:cs="Book Antiqua"/>
          <w:szCs w:val="24"/>
          <w:lang w:val="es-ES"/>
        </w:rPr>
        <w:t>Secretario</w:t>
      </w:r>
      <w:proofErr w:type="gramEnd"/>
      <w:r>
        <w:rPr>
          <w:rFonts w:ascii="Book Antiqua" w:hAnsi="Book Antiqua" w:cs="Book Antiqua"/>
          <w:szCs w:val="24"/>
          <w:lang w:val="es-ES"/>
        </w:rPr>
        <w:t xml:space="preserve"> de Salud tomará las medidas que juzgue necesarias para combatirla y, con la aprobación del Gobernador, incurrirá en los gastos que sean necesarios, con cargo al Fondo de Emergencia, creado por virtud de la Ley Núm. 91 de 21 de junio de 1966, según enmendada. </w:t>
      </w:r>
    </w:p>
    <w:p w14:paraId="28B031E5" w14:textId="77777777" w:rsidR="00F3602A" w:rsidRDefault="00A46E93">
      <w:pPr>
        <w:suppressLineNumbers/>
        <w:spacing w:line="360" w:lineRule="auto"/>
        <w:ind w:firstLine="720"/>
        <w:jc w:val="both"/>
      </w:pPr>
      <w:r>
        <w:rPr>
          <w:rFonts w:ascii="Book Antiqua" w:hAnsi="Book Antiqua" w:cs="Book Antiqua"/>
          <w:szCs w:val="24"/>
          <w:lang w:val="es-ES"/>
        </w:rPr>
        <w:t xml:space="preserve">Los poderes del Departamento de Salud se ejercen por el </w:t>
      </w:r>
      <w:proofErr w:type="gramStart"/>
      <w:r>
        <w:rPr>
          <w:rFonts w:ascii="Book Antiqua" w:hAnsi="Book Antiqua" w:cs="Book Antiqua"/>
          <w:szCs w:val="24"/>
          <w:lang w:val="es-ES"/>
        </w:rPr>
        <w:t>Secretario</w:t>
      </w:r>
      <w:proofErr w:type="gramEnd"/>
      <w:r>
        <w:rPr>
          <w:rFonts w:ascii="Book Antiqua" w:hAnsi="Book Antiqua" w:cs="Book Antiqua"/>
          <w:szCs w:val="24"/>
          <w:lang w:val="es-ES"/>
        </w:rPr>
        <w:t xml:space="preserve"> de Salud y éste queda autorizado a su vez para adoptar las normas, reglas y procedimientos necesarios para la preservación de la vida y salud de los puertorriqueños, así como para adoptar las medidas necesarias para evitar la propagación de enfermedades. Ante una emergencia que amenace la salud pública, se hace necesario contar con la asistencia del mayor número posible de nuestros profesionales de la salud en las diferentes áreas de la medicina, de manera que se pueda ofrecer una respuesta inmediata y adecuada a la emergencia.</w:t>
      </w:r>
    </w:p>
    <w:p w14:paraId="28B031E6" w14:textId="77777777" w:rsidR="00F3602A" w:rsidRDefault="00A46E93">
      <w:pPr>
        <w:suppressLineNumbers/>
        <w:spacing w:before="120" w:after="120" w:line="360" w:lineRule="auto"/>
        <w:ind w:firstLine="360"/>
        <w:jc w:val="both"/>
        <w:rPr>
          <w:rFonts w:ascii="Book Antiqua" w:hAnsi="Book Antiqua" w:cs="Book Antiqua"/>
          <w:szCs w:val="24"/>
          <w:lang w:val="es-ES"/>
        </w:rPr>
      </w:pPr>
      <w:r>
        <w:rPr>
          <w:rFonts w:ascii="Book Antiqua" w:hAnsi="Book Antiqua" w:cs="Book Antiqua"/>
          <w:szCs w:val="24"/>
          <w:lang w:val="es-ES"/>
        </w:rPr>
        <w:t xml:space="preserve">La Asamblea Legislativa tiene el deber ineludible de atender efectivamente las situaciones de emergencia proveyendo herramientas adecuadas al </w:t>
      </w:r>
      <w:proofErr w:type="gramStart"/>
      <w:r>
        <w:rPr>
          <w:rFonts w:ascii="Book Antiqua" w:hAnsi="Book Antiqua" w:cs="Book Antiqua"/>
          <w:szCs w:val="24"/>
          <w:lang w:val="es-ES"/>
        </w:rPr>
        <w:t>Secretario</w:t>
      </w:r>
      <w:proofErr w:type="gramEnd"/>
      <w:r>
        <w:rPr>
          <w:rFonts w:ascii="Book Antiqua" w:hAnsi="Book Antiqua" w:cs="Book Antiqua"/>
          <w:szCs w:val="24"/>
          <w:lang w:val="es-ES"/>
        </w:rPr>
        <w:t xml:space="preserve"> de Salud, para garantizar el cumplimiento de cualesquiera</w:t>
      </w:r>
      <w:r>
        <w:rPr>
          <w:rFonts w:ascii="Book Antiqua" w:hAnsi="Book Antiqua" w:cs="Book Antiqua"/>
          <w:i/>
          <w:iCs/>
          <w:szCs w:val="24"/>
          <w:lang w:val="es-ES"/>
        </w:rPr>
        <w:t xml:space="preserve"> </w:t>
      </w:r>
      <w:r>
        <w:rPr>
          <w:rFonts w:ascii="Book Antiqua" w:hAnsi="Book Antiqua" w:cs="Book Antiqua"/>
          <w:szCs w:val="24"/>
          <w:lang w:val="es-ES"/>
        </w:rPr>
        <w:t xml:space="preserve">medidas administrativas que, dentro del marco de la ley, sirvan el propósito de mejorar, preservar y garantizar la salud del pueblo de Puerto Rico.  Con la aprobación de esta medida se faculta al </w:t>
      </w:r>
      <w:proofErr w:type="gramStart"/>
      <w:r>
        <w:rPr>
          <w:rFonts w:ascii="Book Antiqua" w:hAnsi="Book Antiqua" w:cs="Book Antiqua"/>
          <w:szCs w:val="24"/>
          <w:lang w:val="es-ES"/>
        </w:rPr>
        <w:t>Secretario</w:t>
      </w:r>
      <w:proofErr w:type="gramEnd"/>
      <w:r>
        <w:rPr>
          <w:rFonts w:ascii="Book Antiqua" w:hAnsi="Book Antiqua" w:cs="Book Antiqua"/>
          <w:szCs w:val="24"/>
          <w:lang w:val="es-ES"/>
        </w:rPr>
        <w:t xml:space="preserve"> de Salud a </w:t>
      </w:r>
      <w:r>
        <w:rPr>
          <w:rFonts w:ascii="Book Antiqua" w:hAnsi="Book Antiqua" w:cs="Book Antiqua"/>
          <w:szCs w:val="24"/>
          <w:lang w:val="es-PR"/>
        </w:rPr>
        <w:t xml:space="preserve">ordenar a las </w:t>
      </w:r>
      <w:r>
        <w:rPr>
          <w:rFonts w:ascii="Book Antiqua" w:hAnsi="Book Antiqua" w:cs="Book Antiqua"/>
          <w:iCs/>
          <w:szCs w:val="24"/>
          <w:lang w:val="es-PR"/>
        </w:rPr>
        <w:t>juntas de profesionales de la salud adscritas al Departamento de Salud,</w:t>
      </w:r>
      <w:r>
        <w:rPr>
          <w:rFonts w:ascii="Book Antiqua" w:hAnsi="Book Antiqua" w:cs="Book Antiqua"/>
          <w:szCs w:val="24"/>
          <w:lang w:val="es-PR"/>
        </w:rPr>
        <w:t xml:space="preserve"> a emitir aquellas licencias provisionales necesarias para que los profesionales de la salud y médicos puedan continuar brindando servicios a la ciudadanía</w:t>
      </w:r>
      <w:r>
        <w:rPr>
          <w:rFonts w:ascii="Book Antiqua" w:hAnsi="Book Antiqua" w:cs="Book Antiqua"/>
          <w:iCs/>
          <w:szCs w:val="24"/>
          <w:lang w:val="es-PR"/>
        </w:rPr>
        <w:t>, eximiéndoles temporeramente del requisito de tomar el examen correspondiente a su especialidad.</w:t>
      </w:r>
    </w:p>
    <w:p w14:paraId="28B031E7" w14:textId="77777777" w:rsidR="00F3602A" w:rsidRDefault="00A46E93">
      <w:pPr>
        <w:suppressLineNumbers/>
        <w:spacing w:after="0" w:line="480" w:lineRule="auto"/>
        <w:rPr>
          <w:rFonts w:ascii="Book Antiqua" w:hAnsi="Book Antiqua" w:cs="Book Antiqua"/>
          <w:b/>
          <w:bCs/>
          <w:iCs/>
          <w:szCs w:val="24"/>
          <w:lang w:val="es-ES_tradnl"/>
        </w:rPr>
      </w:pPr>
      <w:r>
        <w:rPr>
          <w:rFonts w:ascii="Book Antiqua" w:hAnsi="Book Antiqua" w:cs="Book Antiqua"/>
          <w:b/>
          <w:bCs/>
          <w:iCs/>
          <w:szCs w:val="24"/>
          <w:lang w:val="es-ES_tradnl"/>
        </w:rPr>
        <w:t>DECRÉTASE POR LA ASAMBLEA LEGISLATIVA DE PUERTO RICO:</w:t>
      </w:r>
    </w:p>
    <w:p w14:paraId="28B031E8" w14:textId="77777777" w:rsidR="00F3602A" w:rsidRDefault="00F3602A">
      <w:pPr>
        <w:suppressLineNumbers/>
        <w:sectPr w:rsidR="00F3602A">
          <w:headerReference w:type="default" r:id="rId7"/>
          <w:headerReference w:type="first" r:id="rId8"/>
          <w:pgSz w:w="12240" w:h="15840"/>
          <w:pgMar w:top="1440" w:right="1440" w:bottom="1440" w:left="1440" w:header="720" w:footer="0" w:gutter="0"/>
          <w:lnNumType w:countBy="1" w:distance="283"/>
          <w:cols w:space="720"/>
          <w:formProt w:val="0"/>
          <w:titlePg/>
          <w:docGrid w:linePitch="326"/>
        </w:sectPr>
      </w:pPr>
    </w:p>
    <w:p w14:paraId="28B031E9" w14:textId="77777777" w:rsidR="00F3602A" w:rsidRDefault="00A46E93">
      <w:pPr>
        <w:pStyle w:val="normal-p"/>
        <w:spacing w:before="0" w:after="0" w:line="480" w:lineRule="auto"/>
        <w:ind w:firstLine="706"/>
        <w:jc w:val="both"/>
        <w:rPr>
          <w:rFonts w:ascii="Book Antiqua" w:hAnsi="Book Antiqua" w:cs="Book Antiqua"/>
          <w:lang w:val="es-ES"/>
        </w:rPr>
      </w:pPr>
      <w:r>
        <w:rPr>
          <w:rFonts w:ascii="Book Antiqua" w:hAnsi="Book Antiqua" w:cs="Book Antiqua"/>
          <w:lang w:val="es-ES"/>
        </w:rPr>
        <w:t>Sección 1.- Para enmendar el Artículo 5 de la Ley Núm. 81 de 14 de marzo de 1912, según enmendada, conocida como “Ley del Departamento de Salud”, para que lea como sigue:</w:t>
      </w:r>
    </w:p>
    <w:p w14:paraId="28B031EA" w14:textId="77777777" w:rsidR="00F3602A" w:rsidRDefault="00A46E93">
      <w:pPr>
        <w:pStyle w:val="normal-p"/>
        <w:spacing w:before="0" w:after="0" w:line="480" w:lineRule="auto"/>
        <w:ind w:firstLine="706"/>
        <w:jc w:val="both"/>
      </w:pPr>
      <w:r>
        <w:rPr>
          <w:rFonts w:ascii="Book Antiqua" w:hAnsi="Book Antiqua" w:cs="Book Antiqua"/>
          <w:lang w:val="es-ES"/>
        </w:rPr>
        <w:t>“</w:t>
      </w:r>
      <w:r>
        <w:rPr>
          <w:rFonts w:ascii="Book Antiqua" w:hAnsi="Book Antiqua" w:cs="Book Antiqua"/>
        </w:rPr>
        <w:t>Artículo 5.- Medidas de emergencia para combatir epidemias</w:t>
      </w:r>
    </w:p>
    <w:p w14:paraId="28B031EB" w14:textId="77777777" w:rsidR="00F3602A" w:rsidRDefault="00A46E93">
      <w:pPr>
        <w:pStyle w:val="normal-p"/>
        <w:spacing w:before="0" w:after="0" w:line="480" w:lineRule="auto"/>
        <w:ind w:firstLine="708"/>
        <w:jc w:val="both"/>
        <w:rPr>
          <w:rFonts w:ascii="Book Antiqua" w:hAnsi="Book Antiqua" w:cs="Book Antiqua"/>
        </w:rPr>
      </w:pPr>
      <w:r>
        <w:rPr>
          <w:rFonts w:ascii="Book Antiqua" w:hAnsi="Book Antiqua" w:cs="Book Antiqua"/>
        </w:rPr>
        <w:lastRenderedPageBreak/>
        <w:t xml:space="preserve">En caso de que alguna epidemia amenazare la salud </w:t>
      </w:r>
      <w:r>
        <w:rPr>
          <w:rFonts w:ascii="Book Antiqua" w:hAnsi="Book Antiqua" w:cs="Book Antiqua"/>
          <w:strike/>
        </w:rPr>
        <w:t>del Estado Libre Asociado</w:t>
      </w:r>
      <w:r>
        <w:rPr>
          <w:rFonts w:ascii="Book Antiqua" w:hAnsi="Book Antiqua" w:cs="Book Antiqua"/>
        </w:rPr>
        <w:t xml:space="preserve"> </w:t>
      </w:r>
      <w:r>
        <w:rPr>
          <w:rFonts w:ascii="Book Antiqua" w:hAnsi="Book Antiqua" w:cs="Book Antiqua"/>
          <w:i/>
          <w:iCs/>
          <w:u w:val="single"/>
        </w:rPr>
        <w:t>de Puerto Rico</w:t>
      </w:r>
      <w:r>
        <w:rPr>
          <w:rFonts w:ascii="Book Antiqua" w:hAnsi="Book Antiqua" w:cs="Book Antiqua"/>
        </w:rPr>
        <w:t xml:space="preserve">, el Secretario de Salud tomará las medidas que juzgue necesarias para combatirla y con la aprobación del Gobernador incurrirá en los gastos que sean necesarios por cuenta del Gobierno, con cargo al Fondo de Emergencia, creado por la Ley Núm. 91 de 21 de junio de 1966, según enmendada. </w:t>
      </w:r>
    </w:p>
    <w:p w14:paraId="28B031EE" w14:textId="708D5E71" w:rsidR="00F3602A" w:rsidRPr="00E67BC0" w:rsidRDefault="00A46E93" w:rsidP="00547C25">
      <w:pPr>
        <w:spacing w:after="0" w:line="480" w:lineRule="auto"/>
        <w:ind w:firstLine="708"/>
        <w:jc w:val="both"/>
        <w:rPr>
          <w:rFonts w:ascii="Book Antiqua" w:hAnsi="Book Antiqua" w:cs="Book Antiqua"/>
          <w:szCs w:val="24"/>
          <w:lang w:val="es-PR"/>
        </w:rPr>
      </w:pPr>
      <w:r w:rsidRPr="00C04798">
        <w:rPr>
          <w:rFonts w:ascii="Book Antiqua" w:hAnsi="Book Antiqua" w:cs="Book Antiqua"/>
          <w:szCs w:val="24"/>
          <w:lang w:val="es-PR"/>
        </w:rPr>
        <w:t>En el contexto de una emergencia de salud pública declarada por el Presidente de los Estados Unidos, el Gobernador de Puerto Rico o el Secretario de Salud, este último tendrá la autoridad para instruir a las juntas de profesionales de la salud adscritas al Departamento de Salud a emitir aquellas licencias provisionales necesarias para que los profesionales de la salud y médicos continúen ofreciendo sus servicios a la población, quedando exentos temporeramente del requisito de presentar el examen correspondiente a su especialidad.</w:t>
      </w:r>
      <w:r w:rsidR="00547C25">
        <w:rPr>
          <w:rFonts w:ascii="Book Antiqua" w:hAnsi="Book Antiqua" w:cs="Book Antiqua"/>
          <w:szCs w:val="24"/>
          <w:lang w:val="es-PR"/>
        </w:rPr>
        <w:t xml:space="preserve"> </w:t>
      </w:r>
      <w:r>
        <w:rPr>
          <w:rFonts w:ascii="Book Antiqua" w:hAnsi="Book Antiqua" w:cs="Book Antiqua"/>
          <w:i/>
          <w:iCs/>
          <w:szCs w:val="24"/>
          <w:u w:val="single"/>
          <w:lang w:val="es-PR"/>
        </w:rPr>
        <w:t>Las licencias provisionales se emitirán únicamente a profesionales que acrediten poseer una licencia activa expedida por cualquier jurisdicción de los Estados Unidos de América o sus territorios, o que hayan aprobado los exámenes correspondientes a su profesión sin que se les hubiere expedido la licencia al momento de declararse la emergencia, y que cumplan con los demás requisitos que establezca el Secretario de Salud mediante reglamento.</w:t>
      </w:r>
      <w:r w:rsidR="00547C25">
        <w:rPr>
          <w:rFonts w:ascii="Book Antiqua" w:hAnsi="Book Antiqua" w:cs="Book Antiqua"/>
          <w:szCs w:val="24"/>
          <w:lang w:val="es-PR"/>
        </w:rPr>
        <w:t xml:space="preserve"> </w:t>
      </w:r>
      <w:r w:rsidRPr="00E67BC0">
        <w:rPr>
          <w:rFonts w:ascii="Book Antiqua" w:hAnsi="Book Antiqua" w:cs="Book Antiqua"/>
          <w:szCs w:val="24"/>
          <w:lang w:val="es-PR"/>
        </w:rPr>
        <w:t>Las licencias que se otorguen durante el estado de emergencia permanecerán vigentes hasta que se anuncie el cese de dicha emergencia. Las juntas tienen la facultad de revocar estas licencias provisionales en cualquier momento si determinan que el profesional de la salud ha incumplido con las normativas legales y reglamentarias que rigen su profesión.</w:t>
      </w:r>
    </w:p>
    <w:p w14:paraId="28B031EF" w14:textId="77777777" w:rsidR="00F3602A" w:rsidRDefault="00A46E93">
      <w:pPr>
        <w:spacing w:after="0" w:line="480" w:lineRule="auto"/>
        <w:ind w:firstLine="708"/>
        <w:jc w:val="both"/>
        <w:rPr>
          <w:rFonts w:ascii="Book Antiqua" w:hAnsi="Book Antiqua" w:cs="Book Antiqua"/>
          <w:szCs w:val="24"/>
          <w:lang w:val="es-PR"/>
        </w:rPr>
      </w:pPr>
      <w:r w:rsidRPr="001A1388">
        <w:rPr>
          <w:rFonts w:ascii="Book Antiqua" w:hAnsi="Book Antiqua" w:cs="Book Antiqua"/>
          <w:i/>
          <w:iCs/>
          <w:szCs w:val="24"/>
          <w:u w:val="single"/>
          <w:lang w:val="es-PR"/>
        </w:rPr>
        <w:lastRenderedPageBreak/>
        <w:t>Al cese de la emergencia, y no más tarde de noventa (90) días siguientes, el Secretario de Salud rendirá un informe a la Asamblea Legislativa que detalle el número y tipo de licencias provisionales emitidas al amparo de este Artículo, la profesión de los licenciados, y cualquier revocación o acción disciplinaria adoptada respecto de las mismas.</w:t>
      </w:r>
      <w:r w:rsidRPr="001A1388">
        <w:rPr>
          <w:rFonts w:ascii="Book Antiqua" w:hAnsi="Book Antiqua" w:cs="Book Antiqua"/>
          <w:szCs w:val="24"/>
          <w:lang w:val="es-PR"/>
        </w:rPr>
        <w:t>”</w:t>
      </w:r>
    </w:p>
    <w:p w14:paraId="28B031F0" w14:textId="77777777" w:rsidR="00F3602A" w:rsidRDefault="00A46E93">
      <w:pPr>
        <w:pStyle w:val="normal-p"/>
        <w:spacing w:before="0" w:after="0" w:line="480" w:lineRule="auto"/>
        <w:ind w:firstLine="708"/>
        <w:jc w:val="both"/>
      </w:pPr>
      <w:r>
        <w:rPr>
          <w:rFonts w:ascii="Book Antiqua" w:hAnsi="Book Antiqua" w:cs="Book Antiqua"/>
          <w:lang w:val="es-ES"/>
        </w:rPr>
        <w:t xml:space="preserve">Sección 2.- El </w:t>
      </w:r>
      <w:proofErr w:type="gramStart"/>
      <w:r>
        <w:rPr>
          <w:rFonts w:ascii="Book Antiqua" w:hAnsi="Book Antiqua" w:cs="Book Antiqua"/>
          <w:lang w:val="es-ES"/>
        </w:rPr>
        <w:t>Secretario</w:t>
      </w:r>
      <w:proofErr w:type="gramEnd"/>
      <w:r>
        <w:rPr>
          <w:rFonts w:ascii="Book Antiqua" w:hAnsi="Book Antiqua" w:cs="Book Antiqua"/>
          <w:lang w:val="es-ES"/>
        </w:rPr>
        <w:t xml:space="preserve"> de Salud promulgará las reglas y reglamentos que estime necesarios para el cumplimiento de este Artículo</w:t>
      </w:r>
      <w:bookmarkStart w:id="3" w:name="_Hlk189734289"/>
      <w:r>
        <w:rPr>
          <w:rFonts w:ascii="Book Antiqua" w:hAnsi="Book Antiqua" w:cs="Book Antiqua"/>
          <w:lang w:val="es-ES"/>
        </w:rPr>
        <w:t>, conforme a las facultades dispuestas en el Artículo 12 de la Ley Núm. 81 de 14 de marzo de 1912, según enmendada</w:t>
      </w:r>
      <w:bookmarkEnd w:id="3"/>
      <w:r>
        <w:rPr>
          <w:rFonts w:ascii="Book Antiqua" w:hAnsi="Book Antiqua" w:cs="Book Antiqua"/>
          <w:i/>
          <w:iCs/>
          <w:u w:val="single"/>
          <w:lang w:val="es-ES"/>
        </w:rPr>
        <w:t>, en un término no mayor de ciento ochenta (180) días a partir de la vigencia de esta Ley</w:t>
      </w:r>
      <w:r>
        <w:rPr>
          <w:rFonts w:ascii="Book Antiqua" w:hAnsi="Book Antiqua" w:cs="Book Antiqua"/>
          <w:lang w:val="es-ES"/>
        </w:rPr>
        <w:t>.</w:t>
      </w:r>
    </w:p>
    <w:p w14:paraId="28B031F1" w14:textId="77777777" w:rsidR="00F3602A" w:rsidRDefault="00A46E93">
      <w:pPr>
        <w:pStyle w:val="normal-p"/>
        <w:spacing w:before="0" w:after="0" w:line="480" w:lineRule="auto"/>
        <w:ind w:firstLine="708"/>
        <w:jc w:val="both"/>
        <w:rPr>
          <w:rFonts w:ascii="Book Antiqua" w:hAnsi="Book Antiqua" w:cs="Book Antiqua"/>
          <w:i/>
          <w:iCs/>
          <w:u w:val="single"/>
          <w:lang w:val="es-ES"/>
        </w:rPr>
      </w:pPr>
      <w:r>
        <w:rPr>
          <w:rFonts w:ascii="Book Antiqua" w:hAnsi="Book Antiqua" w:cs="Book Antiqua"/>
          <w:i/>
          <w:iCs/>
          <w:u w:val="single"/>
          <w:lang w:val="es-ES"/>
        </w:rPr>
        <w:t xml:space="preserve">Sección 3.- Cláusula de </w:t>
      </w:r>
      <w:proofErr w:type="gramStart"/>
      <w:r>
        <w:rPr>
          <w:rFonts w:ascii="Book Antiqua" w:hAnsi="Book Antiqua" w:cs="Book Antiqua"/>
          <w:i/>
          <w:iCs/>
          <w:u w:val="single"/>
          <w:lang w:val="es-ES"/>
        </w:rPr>
        <w:t>separabilidad.-</w:t>
      </w:r>
      <w:proofErr w:type="gramEnd"/>
      <w:r>
        <w:rPr>
          <w:rFonts w:ascii="Book Antiqua" w:hAnsi="Book Antiqua" w:cs="Book Antiqua"/>
          <w:i/>
          <w:iCs/>
          <w:u w:val="single"/>
          <w:lang w:val="es-ES"/>
        </w:rPr>
        <w:t xml:space="preserve"> 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que así hubiere sido anulada o declarada inconstitucional.</w:t>
      </w:r>
    </w:p>
    <w:p w14:paraId="28B031F2" w14:textId="77777777" w:rsidR="00F3602A" w:rsidRDefault="00A46E93">
      <w:pPr>
        <w:pStyle w:val="normal-p"/>
        <w:shd w:val="clear" w:color="auto" w:fill="FFFFFF"/>
        <w:spacing w:before="0" w:after="0" w:line="480" w:lineRule="auto"/>
        <w:ind w:left="180" w:firstLine="528"/>
        <w:jc w:val="both"/>
      </w:pPr>
      <w:r>
        <w:rPr>
          <w:rFonts w:ascii="Book Antiqua" w:hAnsi="Book Antiqua" w:cs="Book Antiqua"/>
        </w:rPr>
        <w:t xml:space="preserve">Sección </w:t>
      </w:r>
      <w:r>
        <w:rPr>
          <w:rFonts w:ascii="Book Antiqua" w:hAnsi="Book Antiqua" w:cs="Book Antiqua"/>
          <w:strike/>
        </w:rPr>
        <w:t>3</w:t>
      </w:r>
      <w:r>
        <w:rPr>
          <w:rFonts w:ascii="Book Antiqua" w:hAnsi="Book Antiqua" w:cs="Book Antiqua"/>
        </w:rPr>
        <w:t xml:space="preserve"> </w:t>
      </w:r>
      <w:r>
        <w:rPr>
          <w:rFonts w:ascii="Book Antiqua" w:hAnsi="Book Antiqua" w:cs="Book Antiqua"/>
          <w:i/>
          <w:iCs/>
          <w:u w:val="single"/>
        </w:rPr>
        <w:t>4</w:t>
      </w:r>
      <w:r>
        <w:rPr>
          <w:rFonts w:ascii="Book Antiqua" w:hAnsi="Book Antiqua" w:cs="Book Antiqua"/>
          <w:lang w:val="es-ES"/>
        </w:rPr>
        <w:t>.- Esta Ley comenzará a regir inmediatamente después de su aprobación.</w:t>
      </w:r>
    </w:p>
    <w:sectPr w:rsidR="00F3602A">
      <w:type w:val="continuous"/>
      <w:pgSz w:w="12240" w:h="15840"/>
      <w:pgMar w:top="1440" w:right="1440" w:bottom="1440" w:left="1440" w:header="720" w:footer="0" w:gutter="0"/>
      <w:lnNumType w:countBy="1" w:distance="283"/>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CFE1F" w14:textId="77777777" w:rsidR="00827CAD" w:rsidRDefault="00827CAD">
      <w:pPr>
        <w:spacing w:after="0"/>
      </w:pPr>
      <w:r>
        <w:separator/>
      </w:r>
    </w:p>
  </w:endnote>
  <w:endnote w:type="continuationSeparator" w:id="0">
    <w:p w14:paraId="7EC64714" w14:textId="77777777" w:rsidR="00827CAD" w:rsidRDefault="00827CA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DejaVu Sans">
    <w:altName w:val="Verdana"/>
    <w:charset w:val="01"/>
    <w:family w:val="auto"/>
    <w:pitch w:val="variable"/>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Gothic;ＭＳ ゴシック">
    <w:charset w:val="8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07FC6" w14:textId="77777777" w:rsidR="00827CAD" w:rsidRDefault="00827CAD">
      <w:pPr>
        <w:spacing w:after="0"/>
      </w:pPr>
      <w:r>
        <w:separator/>
      </w:r>
    </w:p>
  </w:footnote>
  <w:footnote w:type="continuationSeparator" w:id="0">
    <w:p w14:paraId="508CAD0F" w14:textId="77777777" w:rsidR="00827CAD" w:rsidRDefault="00827CA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031F3" w14:textId="77777777" w:rsidR="00F3602A" w:rsidRDefault="00A46E93">
    <w:pPr>
      <w:pStyle w:val="Header"/>
      <w:jc w:val="center"/>
    </w:pPr>
    <w:r>
      <w:rPr>
        <w:rStyle w:val="PageNumber"/>
        <w:rFonts w:eastAsia="MS Gothic;ＭＳ ゴシック"/>
      </w:rPr>
      <w:fldChar w:fldCharType="begin"/>
    </w:r>
    <w:r>
      <w:rPr>
        <w:rStyle w:val="PageNumber"/>
        <w:rFonts w:eastAsia="MS Gothic;ＭＳ ゴシック"/>
      </w:rPr>
      <w:instrText xml:space="preserve"> PAGE </w:instrText>
    </w:r>
    <w:r>
      <w:rPr>
        <w:rStyle w:val="PageNumber"/>
        <w:rFonts w:eastAsia="MS Gothic;ＭＳ ゴシック"/>
      </w:rPr>
      <w:fldChar w:fldCharType="separate"/>
    </w:r>
    <w:r>
      <w:rPr>
        <w:rStyle w:val="PageNumber"/>
        <w:rFonts w:eastAsia="MS Gothic;ＭＳ ゴシック"/>
      </w:rPr>
      <w:t>4</w:t>
    </w:r>
    <w:r>
      <w:rPr>
        <w:rStyle w:val="PageNumber"/>
        <w:rFonts w:eastAsia="MS Gothic;ＭＳ ゴシック"/>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031F4" w14:textId="77777777" w:rsidR="00F3602A" w:rsidRDefault="00A46E93">
    <w:pPr>
      <w:keepNext/>
      <w:widowControl w:val="0"/>
      <w:suppressLineNumbers/>
      <w:tabs>
        <w:tab w:val="center" w:pos="4320"/>
        <w:tab w:val="right" w:pos="8640"/>
      </w:tabs>
      <w:autoSpaceDE w:val="0"/>
      <w:jc w:val="center"/>
      <w:rPr>
        <w:b/>
        <w:lang w:val="es-ES"/>
      </w:rPr>
    </w:pPr>
    <w:bookmarkStart w:id="2" w:name="_Hlk36034857"/>
    <w:r>
      <w:rPr>
        <w:b/>
        <w:lang w:val="es-ES"/>
      </w:rPr>
      <w:t>TEXTO APROBADO EN VOTACIÓN FINAL POR EL SENADO</w:t>
    </w:r>
  </w:p>
  <w:p w14:paraId="28B031F5" w14:textId="77777777" w:rsidR="00F3602A" w:rsidRDefault="00A46E93">
    <w:pPr>
      <w:widowControl w:val="0"/>
      <w:suppressLineNumbers/>
      <w:pBdr>
        <w:bottom w:val="single" w:sz="18" w:space="1" w:color="000000"/>
      </w:pBdr>
      <w:tabs>
        <w:tab w:val="center" w:pos="4320"/>
        <w:tab w:val="right" w:pos="8640"/>
      </w:tabs>
      <w:autoSpaceDE w:val="0"/>
      <w:jc w:val="center"/>
      <w:rPr>
        <w:b/>
      </w:rPr>
    </w:pPr>
    <w:r>
      <w:rPr>
        <w:b/>
      </w:rPr>
      <w:t>(8 DE MAYO DE 2025)</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320A7"/>
    <w:multiLevelType w:val="multilevel"/>
    <w:tmpl w:val="C06C9600"/>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num w:numId="1" w16cid:durableId="2088653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02A"/>
    <w:rsid w:val="00160230"/>
    <w:rsid w:val="001A1388"/>
    <w:rsid w:val="00547C25"/>
    <w:rsid w:val="00673C95"/>
    <w:rsid w:val="00690382"/>
    <w:rsid w:val="007B313E"/>
    <w:rsid w:val="00827CAD"/>
    <w:rsid w:val="00A46E93"/>
    <w:rsid w:val="00C04798"/>
    <w:rsid w:val="00E6119F"/>
    <w:rsid w:val="00E67BC0"/>
    <w:rsid w:val="00E84A69"/>
    <w:rsid w:val="00EF3E3E"/>
    <w:rsid w:val="00F3602A"/>
    <w:rsid w:val="00FD5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031D2"/>
  <w15:docId w15:val="{A1D1465D-73AF-8449-B5CD-54989A791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80"/>
    </w:pPr>
    <w:rPr>
      <w:rFonts w:ascii="Times New Roman" w:eastAsia="Times New Roman" w:hAnsi="Times New Roman" w:cs="Times New Roman"/>
      <w:sz w:val="24"/>
      <w:lang w:eastAsia="zh-CN"/>
    </w:rPr>
  </w:style>
  <w:style w:type="paragraph" w:styleId="Heading1">
    <w:name w:val="heading 1"/>
    <w:basedOn w:val="Normal"/>
    <w:next w:val="Normal"/>
    <w:uiPriority w:val="9"/>
    <w:qFormat/>
    <w:pPr>
      <w:keepNext/>
      <w:keepLines/>
      <w:numPr>
        <w:numId w:val="1"/>
      </w:numPr>
      <w:spacing w:before="360" w:line="276" w:lineRule="auto"/>
      <w:outlineLvl w:val="0"/>
    </w:pPr>
    <w:rPr>
      <w:rFonts w:ascii="Aptos Display" w:hAnsi="Aptos Display"/>
      <w:color w:val="0F4761"/>
      <w:kern w:val="2"/>
      <w:sz w:val="40"/>
      <w:szCs w:val="40"/>
      <w:lang w:val="es-PR"/>
    </w:rPr>
  </w:style>
  <w:style w:type="paragraph" w:styleId="Heading2">
    <w:name w:val="heading 2"/>
    <w:basedOn w:val="Normal"/>
    <w:next w:val="Normal"/>
    <w:uiPriority w:val="9"/>
    <w:semiHidden/>
    <w:unhideWhenUsed/>
    <w:qFormat/>
    <w:pPr>
      <w:keepNext/>
      <w:keepLines/>
      <w:numPr>
        <w:ilvl w:val="1"/>
        <w:numId w:val="1"/>
      </w:numPr>
      <w:spacing w:before="160" w:line="276" w:lineRule="auto"/>
      <w:outlineLvl w:val="1"/>
    </w:pPr>
    <w:rPr>
      <w:rFonts w:ascii="Aptos Display" w:hAnsi="Aptos Display"/>
      <w:color w:val="0F4761"/>
      <w:kern w:val="2"/>
      <w:sz w:val="32"/>
      <w:szCs w:val="32"/>
      <w:lang w:val="es-PR"/>
    </w:rPr>
  </w:style>
  <w:style w:type="paragraph" w:styleId="Heading3">
    <w:name w:val="heading 3"/>
    <w:basedOn w:val="Normal"/>
    <w:next w:val="Normal"/>
    <w:uiPriority w:val="9"/>
    <w:semiHidden/>
    <w:unhideWhenUsed/>
    <w:qFormat/>
    <w:pPr>
      <w:keepNext/>
      <w:keepLines/>
      <w:numPr>
        <w:ilvl w:val="2"/>
        <w:numId w:val="1"/>
      </w:numPr>
      <w:spacing w:before="160" w:line="276" w:lineRule="auto"/>
      <w:outlineLvl w:val="2"/>
    </w:pPr>
    <w:rPr>
      <w:rFonts w:ascii="Aptos" w:hAnsi="Aptos"/>
      <w:color w:val="0F4761"/>
      <w:kern w:val="2"/>
      <w:sz w:val="28"/>
      <w:szCs w:val="28"/>
      <w:lang w:val="es-PR"/>
    </w:rPr>
  </w:style>
  <w:style w:type="paragraph" w:styleId="Heading4">
    <w:name w:val="heading 4"/>
    <w:basedOn w:val="Normal"/>
    <w:next w:val="Normal"/>
    <w:uiPriority w:val="9"/>
    <w:semiHidden/>
    <w:unhideWhenUsed/>
    <w:qFormat/>
    <w:pPr>
      <w:keepNext/>
      <w:keepLines/>
      <w:numPr>
        <w:ilvl w:val="3"/>
        <w:numId w:val="1"/>
      </w:numPr>
      <w:spacing w:before="80" w:after="40" w:line="276" w:lineRule="auto"/>
      <w:outlineLvl w:val="3"/>
    </w:pPr>
    <w:rPr>
      <w:rFonts w:ascii="Aptos" w:hAnsi="Aptos"/>
      <w:i/>
      <w:iCs/>
      <w:color w:val="0F4761"/>
      <w:kern w:val="2"/>
      <w:szCs w:val="24"/>
      <w:lang w:val="es-PR"/>
    </w:rPr>
  </w:style>
  <w:style w:type="paragraph" w:styleId="Heading5">
    <w:name w:val="heading 5"/>
    <w:basedOn w:val="Normal"/>
    <w:next w:val="Normal"/>
    <w:uiPriority w:val="9"/>
    <w:semiHidden/>
    <w:unhideWhenUsed/>
    <w:qFormat/>
    <w:pPr>
      <w:keepNext/>
      <w:keepLines/>
      <w:numPr>
        <w:ilvl w:val="4"/>
        <w:numId w:val="1"/>
      </w:numPr>
      <w:spacing w:before="80" w:after="40" w:line="276" w:lineRule="auto"/>
      <w:outlineLvl w:val="4"/>
    </w:pPr>
    <w:rPr>
      <w:rFonts w:ascii="Aptos" w:hAnsi="Aptos"/>
      <w:color w:val="0F4761"/>
      <w:kern w:val="2"/>
      <w:szCs w:val="24"/>
      <w:lang w:val="es-PR"/>
    </w:rPr>
  </w:style>
  <w:style w:type="paragraph" w:styleId="Heading6">
    <w:name w:val="heading 6"/>
    <w:basedOn w:val="Normal"/>
    <w:next w:val="Normal"/>
    <w:uiPriority w:val="9"/>
    <w:semiHidden/>
    <w:unhideWhenUsed/>
    <w:qFormat/>
    <w:pPr>
      <w:keepNext/>
      <w:keepLines/>
      <w:numPr>
        <w:ilvl w:val="5"/>
        <w:numId w:val="1"/>
      </w:numPr>
      <w:spacing w:before="40" w:after="0" w:line="276" w:lineRule="auto"/>
      <w:outlineLvl w:val="5"/>
    </w:pPr>
    <w:rPr>
      <w:rFonts w:ascii="Aptos" w:hAnsi="Aptos"/>
      <w:i/>
      <w:iCs/>
      <w:color w:val="595959"/>
      <w:kern w:val="2"/>
      <w:szCs w:val="24"/>
      <w:lang w:val="es-PR"/>
    </w:rPr>
  </w:style>
  <w:style w:type="paragraph" w:styleId="Heading7">
    <w:name w:val="heading 7"/>
    <w:basedOn w:val="Normal"/>
    <w:next w:val="Normal"/>
    <w:qFormat/>
    <w:pPr>
      <w:keepNext/>
      <w:keepLines/>
      <w:numPr>
        <w:ilvl w:val="6"/>
        <w:numId w:val="1"/>
      </w:numPr>
      <w:spacing w:before="40" w:after="0" w:line="276" w:lineRule="auto"/>
      <w:outlineLvl w:val="6"/>
    </w:pPr>
    <w:rPr>
      <w:rFonts w:ascii="Aptos" w:hAnsi="Aptos"/>
      <w:color w:val="595959"/>
      <w:kern w:val="2"/>
      <w:szCs w:val="24"/>
      <w:lang w:val="es-PR"/>
    </w:rPr>
  </w:style>
  <w:style w:type="paragraph" w:styleId="Heading8">
    <w:name w:val="heading 8"/>
    <w:basedOn w:val="Normal"/>
    <w:next w:val="Normal"/>
    <w:qFormat/>
    <w:pPr>
      <w:keepNext/>
      <w:keepLines/>
      <w:numPr>
        <w:ilvl w:val="7"/>
        <w:numId w:val="1"/>
      </w:numPr>
      <w:spacing w:after="0" w:line="276" w:lineRule="auto"/>
      <w:outlineLvl w:val="7"/>
    </w:pPr>
    <w:rPr>
      <w:rFonts w:ascii="Aptos" w:hAnsi="Aptos"/>
      <w:i/>
      <w:iCs/>
      <w:color w:val="272727"/>
      <w:kern w:val="2"/>
      <w:szCs w:val="24"/>
      <w:lang w:val="es-PR"/>
    </w:rPr>
  </w:style>
  <w:style w:type="paragraph" w:styleId="Heading9">
    <w:name w:val="heading 9"/>
    <w:basedOn w:val="Normal"/>
    <w:next w:val="Normal"/>
    <w:qFormat/>
    <w:pPr>
      <w:keepNext/>
      <w:keepLines/>
      <w:numPr>
        <w:ilvl w:val="8"/>
        <w:numId w:val="1"/>
      </w:numPr>
      <w:spacing w:after="0" w:line="276" w:lineRule="auto"/>
      <w:outlineLvl w:val="8"/>
    </w:pPr>
    <w:rPr>
      <w:rFonts w:ascii="Aptos" w:hAnsi="Aptos"/>
      <w:color w:val="272727"/>
      <w:kern w:val="2"/>
      <w:szCs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qFormat/>
    <w:rPr>
      <w:rFonts w:ascii="Aptos Display" w:eastAsia="Times New Roman" w:hAnsi="Aptos Display" w:cs="Times New Roman"/>
      <w:color w:val="0F4761"/>
      <w:sz w:val="40"/>
      <w:szCs w:val="40"/>
      <w:lang w:val="es-PR"/>
    </w:rPr>
  </w:style>
  <w:style w:type="character" w:customStyle="1" w:styleId="Heading2Char">
    <w:name w:val="Heading 2 Char"/>
    <w:qFormat/>
    <w:rPr>
      <w:rFonts w:ascii="Aptos Display" w:eastAsia="Times New Roman" w:hAnsi="Aptos Display" w:cs="Times New Roman"/>
      <w:color w:val="0F4761"/>
      <w:sz w:val="32"/>
      <w:szCs w:val="32"/>
      <w:lang w:val="es-PR"/>
    </w:rPr>
  </w:style>
  <w:style w:type="character" w:customStyle="1" w:styleId="Heading3Char">
    <w:name w:val="Heading 3 Char"/>
    <w:qFormat/>
    <w:rPr>
      <w:rFonts w:eastAsia="Times New Roman" w:cs="Times New Roman"/>
      <w:color w:val="0F4761"/>
      <w:sz w:val="28"/>
      <w:szCs w:val="28"/>
      <w:lang w:val="es-PR"/>
    </w:rPr>
  </w:style>
  <w:style w:type="character" w:customStyle="1" w:styleId="Heading4Char">
    <w:name w:val="Heading 4 Char"/>
    <w:qFormat/>
    <w:rPr>
      <w:rFonts w:eastAsia="Times New Roman" w:cs="Times New Roman"/>
      <w:i/>
      <w:iCs/>
      <w:color w:val="0F4761"/>
      <w:lang w:val="es-PR"/>
    </w:rPr>
  </w:style>
  <w:style w:type="character" w:customStyle="1" w:styleId="Heading5Char">
    <w:name w:val="Heading 5 Char"/>
    <w:qFormat/>
    <w:rPr>
      <w:rFonts w:eastAsia="Times New Roman" w:cs="Times New Roman"/>
      <w:color w:val="0F4761"/>
      <w:lang w:val="es-PR"/>
    </w:rPr>
  </w:style>
  <w:style w:type="character" w:customStyle="1" w:styleId="Heading6Char">
    <w:name w:val="Heading 6 Char"/>
    <w:qFormat/>
    <w:rPr>
      <w:rFonts w:eastAsia="Times New Roman" w:cs="Times New Roman"/>
      <w:i/>
      <w:iCs/>
      <w:color w:val="595959"/>
      <w:lang w:val="es-PR"/>
    </w:rPr>
  </w:style>
  <w:style w:type="character" w:customStyle="1" w:styleId="Heading7Char">
    <w:name w:val="Heading 7 Char"/>
    <w:qFormat/>
    <w:rPr>
      <w:rFonts w:eastAsia="Times New Roman" w:cs="Times New Roman"/>
      <w:color w:val="595959"/>
      <w:lang w:val="es-PR"/>
    </w:rPr>
  </w:style>
  <w:style w:type="character" w:customStyle="1" w:styleId="Heading8Char">
    <w:name w:val="Heading 8 Char"/>
    <w:qFormat/>
    <w:rPr>
      <w:rFonts w:eastAsia="Times New Roman" w:cs="Times New Roman"/>
      <w:i/>
      <w:iCs/>
      <w:color w:val="272727"/>
      <w:lang w:val="es-PR"/>
    </w:rPr>
  </w:style>
  <w:style w:type="character" w:customStyle="1" w:styleId="Heading9Char">
    <w:name w:val="Heading 9 Char"/>
    <w:qFormat/>
    <w:rPr>
      <w:rFonts w:eastAsia="Times New Roman" w:cs="Times New Roman"/>
      <w:color w:val="272727"/>
      <w:lang w:val="es-PR"/>
    </w:rPr>
  </w:style>
  <w:style w:type="character" w:customStyle="1" w:styleId="TitleChar">
    <w:name w:val="Title Char"/>
    <w:qFormat/>
    <w:rPr>
      <w:rFonts w:ascii="Aptos Display" w:eastAsia="Times New Roman" w:hAnsi="Aptos Display" w:cs="Times New Roman"/>
      <w:spacing w:val="-10"/>
      <w:kern w:val="2"/>
      <w:sz w:val="56"/>
      <w:szCs w:val="56"/>
      <w:lang w:val="es-PR"/>
    </w:rPr>
  </w:style>
  <w:style w:type="character" w:customStyle="1" w:styleId="SubtitleChar">
    <w:name w:val="Subtitle Char"/>
    <w:qFormat/>
    <w:rPr>
      <w:rFonts w:eastAsia="Times New Roman" w:cs="Times New Roman"/>
      <w:color w:val="595959"/>
      <w:spacing w:val="15"/>
      <w:sz w:val="28"/>
      <w:szCs w:val="28"/>
      <w:lang w:val="es-PR"/>
    </w:rPr>
  </w:style>
  <w:style w:type="character" w:customStyle="1" w:styleId="QuoteChar">
    <w:name w:val="Quote Char"/>
    <w:qFormat/>
    <w:rPr>
      <w:i/>
      <w:iCs/>
      <w:color w:val="404040"/>
      <w:lang w:val="es-PR"/>
    </w:rPr>
  </w:style>
  <w:style w:type="character" w:styleId="IntenseEmphasis">
    <w:name w:val="Intense Emphasis"/>
    <w:qFormat/>
    <w:rPr>
      <w:i/>
      <w:iCs/>
      <w:color w:val="0F4761"/>
    </w:rPr>
  </w:style>
  <w:style w:type="character" w:customStyle="1" w:styleId="IntenseQuoteChar">
    <w:name w:val="Intense Quote Char"/>
    <w:qFormat/>
    <w:rPr>
      <w:i/>
      <w:iCs/>
      <w:color w:val="0F4761"/>
      <w:lang w:val="es-PR"/>
    </w:rPr>
  </w:style>
  <w:style w:type="character" w:styleId="IntenseReference">
    <w:name w:val="Intense Reference"/>
    <w:qFormat/>
    <w:rPr>
      <w:b/>
      <w:bCs/>
      <w:smallCaps/>
      <w:color w:val="0F4761"/>
      <w:spacing w:val="5"/>
    </w:rPr>
  </w:style>
  <w:style w:type="character" w:customStyle="1" w:styleId="HeaderChar">
    <w:name w:val="Header Char"/>
    <w:qFormat/>
    <w:rPr>
      <w:rFonts w:ascii="Times New Roman" w:eastAsia="Times New Roman" w:hAnsi="Times New Roman" w:cs="Times New Roman"/>
      <w:kern w:val="0"/>
      <w:szCs w:val="20"/>
    </w:rPr>
  </w:style>
  <w:style w:type="character" w:styleId="PageNumber">
    <w:name w:val="page number"/>
    <w:basedOn w:val="DefaultParagraphFont"/>
  </w:style>
  <w:style w:type="character" w:styleId="LineNumber">
    <w:name w:val="line number"/>
    <w:basedOn w:val="DefaultParagraphFont"/>
  </w:style>
  <w:style w:type="character" w:customStyle="1" w:styleId="FooterChar">
    <w:name w:val="Footer Char"/>
    <w:qFormat/>
    <w:rPr>
      <w:rFonts w:ascii="Times New Roman" w:eastAsia="Times New Roman" w:hAnsi="Times New Roman" w:cs="Times New Roman"/>
      <w:sz w:val="24"/>
    </w:rPr>
  </w:style>
  <w:style w:type="paragraph" w:customStyle="1" w:styleId="Heading">
    <w:name w:val="Heading"/>
    <w:basedOn w:val="Normal"/>
    <w:next w:val="Normal"/>
    <w:qFormat/>
    <w:pPr>
      <w:contextualSpacing/>
    </w:pPr>
    <w:rPr>
      <w:rFonts w:ascii="Aptos Display" w:hAnsi="Aptos Display"/>
      <w:spacing w:val="-10"/>
      <w:kern w:val="2"/>
      <w:sz w:val="56"/>
      <w:szCs w:val="56"/>
      <w:lang w:val="es-PR"/>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qFormat/>
    <w:pPr>
      <w:suppressLineNumbers/>
    </w:pPr>
  </w:style>
  <w:style w:type="paragraph" w:styleId="Subtitle">
    <w:name w:val="Subtitle"/>
    <w:basedOn w:val="Normal"/>
    <w:next w:val="Normal"/>
    <w:uiPriority w:val="11"/>
    <w:qFormat/>
    <w:pPr>
      <w:spacing w:after="160" w:line="276" w:lineRule="auto"/>
    </w:pPr>
    <w:rPr>
      <w:rFonts w:ascii="Aptos" w:hAnsi="Aptos"/>
      <w:color w:val="595959"/>
      <w:spacing w:val="15"/>
      <w:kern w:val="2"/>
      <w:sz w:val="28"/>
      <w:szCs w:val="28"/>
      <w:lang w:val="es-PR"/>
    </w:rPr>
  </w:style>
  <w:style w:type="paragraph" w:styleId="Quote">
    <w:name w:val="Quote"/>
    <w:basedOn w:val="Normal"/>
    <w:next w:val="Normal"/>
    <w:qFormat/>
    <w:pPr>
      <w:spacing w:before="160" w:after="160" w:line="276" w:lineRule="auto"/>
      <w:jc w:val="center"/>
    </w:pPr>
    <w:rPr>
      <w:rFonts w:ascii="Aptos" w:eastAsia="Aptos" w:hAnsi="Aptos"/>
      <w:i/>
      <w:iCs/>
      <w:color w:val="404040"/>
      <w:kern w:val="2"/>
      <w:szCs w:val="24"/>
      <w:lang w:val="es-PR"/>
    </w:rPr>
  </w:style>
  <w:style w:type="paragraph" w:styleId="ListParagraph">
    <w:name w:val="List Paragraph"/>
    <w:basedOn w:val="Normal"/>
    <w:qFormat/>
    <w:pPr>
      <w:spacing w:after="160" w:line="276" w:lineRule="auto"/>
      <w:ind w:left="720"/>
      <w:contextualSpacing/>
    </w:pPr>
    <w:rPr>
      <w:rFonts w:ascii="Aptos" w:eastAsia="Aptos" w:hAnsi="Aptos"/>
      <w:kern w:val="2"/>
      <w:szCs w:val="24"/>
      <w:lang w:val="es-PR"/>
    </w:rPr>
  </w:style>
  <w:style w:type="paragraph" w:styleId="IntenseQuote">
    <w:name w:val="Intense Quote"/>
    <w:basedOn w:val="Normal"/>
    <w:next w:val="Normal"/>
    <w:qFormat/>
    <w:pPr>
      <w:pBdr>
        <w:top w:val="single" w:sz="4" w:space="10" w:color="0F4761"/>
        <w:bottom w:val="single" w:sz="4" w:space="10" w:color="0F4761"/>
      </w:pBdr>
      <w:spacing w:before="360" w:after="360" w:line="276" w:lineRule="auto"/>
      <w:ind w:left="864" w:right="864"/>
      <w:jc w:val="center"/>
    </w:pPr>
    <w:rPr>
      <w:rFonts w:ascii="Aptos" w:eastAsia="Aptos" w:hAnsi="Aptos"/>
      <w:i/>
      <w:iCs/>
      <w:color w:val="0F4761"/>
      <w:kern w:val="2"/>
      <w:szCs w:val="24"/>
      <w:lang w:val="es-PR"/>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pPr>
  </w:style>
  <w:style w:type="paragraph" w:customStyle="1" w:styleId="normal-p">
    <w:name w:val="normal-p"/>
    <w:basedOn w:val="Normal"/>
    <w:qFormat/>
    <w:pPr>
      <w:spacing w:before="280" w:after="280"/>
    </w:pPr>
    <w:rPr>
      <w:szCs w:val="24"/>
      <w:lang w:val="es-PR"/>
    </w:rPr>
  </w:style>
  <w:style w:type="paragraph" w:styleId="Footer">
    <w:name w:val="footer"/>
    <w:basedOn w:val="Normal"/>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976</Words>
  <Characters>5566</Characters>
  <Application>Microsoft Office Word</Application>
  <DocSecurity>4</DocSecurity>
  <Lines>46</Lines>
  <Paragraphs>13</Paragraphs>
  <ScaleCrop>false</ScaleCrop>
  <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Camyl Moreno Pantojas</cp:lastModifiedBy>
  <cp:revision>2</cp:revision>
  <cp:lastPrinted>2025-04-25T17:25:00Z</cp:lastPrinted>
  <dcterms:created xsi:type="dcterms:W3CDTF">2026-05-14T19:42:00Z</dcterms:created>
  <dcterms:modified xsi:type="dcterms:W3CDTF">2026-05-14T19:42:00Z</dcterms:modified>
  <dc:language>en-US</dc:language>
</cp:coreProperties>
</file>