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58632" w14:textId="3E10159E" w:rsidR="00FC5ED4" w:rsidRPr="00FC5ED4" w:rsidRDefault="00FC5ED4" w:rsidP="007D2187">
      <w:pPr>
        <w:jc w:val="center"/>
        <w:rPr>
          <w:rFonts w:ascii="Book Antiqua" w:eastAsia="SimSun" w:hAnsi="Book Antiqua"/>
          <w:b/>
          <w:bCs/>
          <w:sz w:val="28"/>
          <w:szCs w:val="28"/>
          <w:lang w:val="es-ES_tradnl"/>
        </w:rPr>
      </w:pPr>
      <w:r w:rsidRPr="00FC5ED4">
        <w:rPr>
          <w:rFonts w:ascii="Book Antiqua" w:eastAsia="SimSun" w:hAnsi="Book Antiqua"/>
          <w:b/>
          <w:bCs/>
          <w:sz w:val="28"/>
          <w:szCs w:val="28"/>
          <w:lang w:val="es-ES_tradnl"/>
        </w:rPr>
        <w:t>ENTIRILLADO ELECTRÓNICO</w:t>
      </w:r>
    </w:p>
    <w:p w14:paraId="27FC9D21" w14:textId="77777777" w:rsidR="00FC5ED4" w:rsidRDefault="00FC5ED4" w:rsidP="007D2187">
      <w:pPr>
        <w:jc w:val="center"/>
        <w:rPr>
          <w:rFonts w:ascii="Book Antiqua" w:eastAsia="SimSun" w:hAnsi="Book Antiqua"/>
          <w:sz w:val="28"/>
          <w:szCs w:val="28"/>
          <w:lang w:val="es-ES_tradnl"/>
        </w:rPr>
      </w:pPr>
    </w:p>
    <w:p w14:paraId="7E8C167E" w14:textId="62F9E615" w:rsidR="008C2FF7" w:rsidRPr="00A81608" w:rsidRDefault="002910AB" w:rsidP="007D2187">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7D2187">
      <w:pPr>
        <w:rPr>
          <w:rFonts w:ascii="Book Antiqua" w:eastAsia="SimSun" w:hAnsi="Book Antiqua"/>
          <w:lang w:val="es-ES_tradnl"/>
        </w:rPr>
      </w:pPr>
    </w:p>
    <w:p w14:paraId="62BEB31F" w14:textId="007B9149" w:rsidR="008C2FF7" w:rsidRPr="00A81608" w:rsidRDefault="008C2FF7" w:rsidP="007D2187">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7D2187">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7D2187">
      <w:pPr>
        <w:jc w:val="center"/>
        <w:rPr>
          <w:rFonts w:ascii="Book Antiqua" w:eastAsia="SimSun" w:hAnsi="Book Antiqua"/>
          <w:lang w:val="es-ES"/>
        </w:rPr>
      </w:pPr>
    </w:p>
    <w:p w14:paraId="3A4E1D08" w14:textId="77777777" w:rsidR="008C2FF7" w:rsidRDefault="008C2FF7" w:rsidP="007D2187">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2F7A3005" w14:textId="77777777" w:rsidR="007D2187" w:rsidRPr="007D2187" w:rsidRDefault="007D2187" w:rsidP="007D2187">
      <w:pPr>
        <w:jc w:val="center"/>
        <w:rPr>
          <w:rFonts w:ascii="Book Antiqua" w:eastAsia="SimSun" w:hAnsi="Book Antiqua"/>
          <w:b/>
          <w:bCs/>
          <w:szCs w:val="24"/>
          <w:lang w:val="es-ES"/>
        </w:rPr>
      </w:pPr>
    </w:p>
    <w:p w14:paraId="61BC7BF8" w14:textId="4512DB47" w:rsidR="008C2FF7" w:rsidRDefault="008C2FF7" w:rsidP="007D2187">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P. de la C.</w:t>
      </w:r>
      <w:r w:rsidR="001B31FA">
        <w:rPr>
          <w:rFonts w:ascii="Book Antiqua" w:eastAsia="SimSun" w:hAnsi="Book Antiqua"/>
          <w:b/>
          <w:bCs/>
          <w:sz w:val="52"/>
          <w:szCs w:val="52"/>
          <w:lang w:val="es-ES"/>
        </w:rPr>
        <w:t xml:space="preserve"> 321</w:t>
      </w:r>
    </w:p>
    <w:p w14:paraId="3BF09476" w14:textId="77777777" w:rsidR="007D2187" w:rsidRPr="007D2187" w:rsidRDefault="007D2187" w:rsidP="007D2187">
      <w:pPr>
        <w:jc w:val="center"/>
        <w:rPr>
          <w:rFonts w:ascii="Book Antiqua" w:eastAsia="SimSun" w:hAnsi="Book Antiqua"/>
          <w:b/>
          <w:bCs/>
          <w:szCs w:val="24"/>
          <w:u w:val="single"/>
          <w:lang w:val="es-ES"/>
        </w:rPr>
      </w:pPr>
    </w:p>
    <w:p w14:paraId="16ECBE8D" w14:textId="576BEA1C" w:rsidR="008C2FF7" w:rsidRDefault="001B31FA" w:rsidP="007D2187">
      <w:pPr>
        <w:jc w:val="center"/>
        <w:rPr>
          <w:rFonts w:ascii="Book Antiqua" w:eastAsia="SimSun" w:hAnsi="Book Antiqua"/>
          <w:lang w:val="es-ES"/>
        </w:rPr>
      </w:pPr>
      <w:r>
        <w:rPr>
          <w:rFonts w:ascii="Book Antiqua" w:eastAsia="SimSun" w:hAnsi="Book Antiqua"/>
          <w:lang w:val="es-ES"/>
        </w:rPr>
        <w:t xml:space="preserve">10 </w:t>
      </w:r>
      <w:r w:rsidR="008C2FF7" w:rsidRPr="202727DC">
        <w:rPr>
          <w:rFonts w:ascii="Book Antiqua" w:eastAsia="SimSun" w:hAnsi="Book Antiqua"/>
          <w:lang w:val="es-ES"/>
        </w:rPr>
        <w:t xml:space="preserve">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13A66F50" w14:textId="77777777" w:rsidR="007D2187" w:rsidRPr="00A81608" w:rsidRDefault="007D2187" w:rsidP="007D2187">
      <w:pPr>
        <w:jc w:val="center"/>
        <w:rPr>
          <w:rFonts w:ascii="Book Antiqua" w:eastAsia="SimSun" w:hAnsi="Book Antiqua"/>
          <w:lang w:val="es-ES"/>
        </w:rPr>
      </w:pPr>
    </w:p>
    <w:p w14:paraId="1356D874" w14:textId="5BE773FA" w:rsidR="008C2FF7" w:rsidRPr="00A81608" w:rsidRDefault="008C2FF7" w:rsidP="007D2187">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447F3D" w:rsidRPr="00F57D7C">
        <w:rPr>
          <w:rFonts w:ascii="Book Antiqua" w:hAnsi="Book Antiqua"/>
          <w:i/>
          <w:iCs/>
        </w:rPr>
        <w:t>Sanabria Colón</w:t>
      </w:r>
      <w:r w:rsidR="00447F3D">
        <w:rPr>
          <w:rFonts w:ascii="Book Antiqua" w:hAnsi="Book Antiqua"/>
        </w:rPr>
        <w:t xml:space="preserve">  </w:t>
      </w:r>
      <w:r w:rsidR="00447F3D" w:rsidRPr="00DC152D">
        <w:rPr>
          <w:rFonts w:ascii="Book Antiqua" w:hAnsi="Book Antiqua"/>
          <w:i/>
        </w:rPr>
        <w:t xml:space="preserve"> </w:t>
      </w:r>
    </w:p>
    <w:p w14:paraId="05BA9A95" w14:textId="77777777" w:rsidR="008C2FF7" w:rsidRPr="00A81608" w:rsidRDefault="008C2FF7" w:rsidP="007D2187">
      <w:pPr>
        <w:jc w:val="center"/>
        <w:rPr>
          <w:rFonts w:ascii="Book Antiqua" w:hAnsi="Book Antiqua"/>
        </w:rPr>
      </w:pPr>
    </w:p>
    <w:p w14:paraId="0D41A2C5" w14:textId="1BB036B3" w:rsidR="008C2FF7" w:rsidRDefault="008C2FF7" w:rsidP="007D2187">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345CA4">
        <w:rPr>
          <w:rFonts w:ascii="Book Antiqua" w:eastAsia="SimSun" w:hAnsi="Book Antiqua"/>
          <w:lang w:val="es-ES"/>
        </w:rPr>
        <w:t>lo Jurídico</w:t>
      </w:r>
    </w:p>
    <w:p w14:paraId="2EE1B98C" w14:textId="77777777" w:rsidR="007D2187" w:rsidRPr="00A81608" w:rsidRDefault="007D2187" w:rsidP="007D2187">
      <w:pPr>
        <w:jc w:val="center"/>
        <w:rPr>
          <w:rFonts w:ascii="Book Antiqua" w:eastAsia="SimSun" w:hAnsi="Book Antiqua"/>
          <w:i/>
          <w:iCs/>
          <w:lang w:val="es-ES"/>
        </w:rPr>
      </w:pPr>
    </w:p>
    <w:p w14:paraId="2A0E0987" w14:textId="77777777" w:rsidR="008C2FF7" w:rsidRPr="007D2187" w:rsidRDefault="008C2FF7" w:rsidP="007D2187">
      <w:pPr>
        <w:jc w:val="center"/>
        <w:rPr>
          <w:rFonts w:ascii="Book Antiqua" w:eastAsia="SimSun" w:hAnsi="Book Antiqua"/>
          <w:b/>
          <w:sz w:val="28"/>
          <w:szCs w:val="28"/>
          <w:lang w:val="es-ES_tradnl"/>
        </w:rPr>
      </w:pPr>
      <w:r w:rsidRPr="007D2187">
        <w:rPr>
          <w:rFonts w:ascii="Book Antiqua" w:eastAsia="SimSun" w:hAnsi="Book Antiqua"/>
          <w:b/>
          <w:sz w:val="28"/>
          <w:szCs w:val="28"/>
          <w:lang w:val="es-ES_tradnl"/>
        </w:rPr>
        <w:t>LEY</w:t>
      </w:r>
    </w:p>
    <w:p w14:paraId="77904F17" w14:textId="77777777" w:rsidR="008C2FF7" w:rsidRPr="007D2187" w:rsidRDefault="008C2FF7" w:rsidP="007D2187">
      <w:pPr>
        <w:jc w:val="both"/>
        <w:rPr>
          <w:rFonts w:ascii="Book Antiqua" w:hAnsi="Book Antiqua"/>
          <w:szCs w:val="24"/>
          <w:lang w:val="es-ES_tradnl"/>
        </w:rPr>
      </w:pPr>
      <w:bookmarkStart w:id="0" w:name="_Hlk180590778"/>
    </w:p>
    <w:p w14:paraId="76371765" w14:textId="0162401A" w:rsidR="008C2FF7" w:rsidRPr="00A81608" w:rsidRDefault="008C2FF7" w:rsidP="007D2187">
      <w:pPr>
        <w:ind w:left="720" w:hanging="720"/>
        <w:jc w:val="both"/>
        <w:rPr>
          <w:rFonts w:ascii="Book Antiqua" w:hAnsi="Book Antiqua" w:cs="Mongolian Baiti"/>
          <w:lang w:val="es-ES_tradnl"/>
        </w:rPr>
      </w:pPr>
      <w:bookmarkStart w:id="1" w:name="_Hlk180587757"/>
      <w:r w:rsidRPr="00A81608">
        <w:rPr>
          <w:rFonts w:ascii="Book Antiqua" w:hAnsi="Book Antiqua"/>
          <w:szCs w:val="24"/>
        </w:rPr>
        <w:t>Para</w:t>
      </w:r>
      <w:r w:rsidR="004F064C">
        <w:rPr>
          <w:rFonts w:ascii="Book Antiqua" w:hAnsi="Book Antiqua"/>
          <w:szCs w:val="24"/>
        </w:rPr>
        <w:t xml:space="preserve"> </w:t>
      </w:r>
      <w:r w:rsidR="004F064C" w:rsidRPr="004F064C">
        <w:rPr>
          <w:rFonts w:ascii="Book Antiqua" w:hAnsi="Book Antiqua"/>
          <w:szCs w:val="24"/>
        </w:rPr>
        <w:t>enmendar el Artículo 2</w:t>
      </w:r>
      <w:r w:rsidR="004F064C">
        <w:rPr>
          <w:rFonts w:ascii="Book Antiqua" w:hAnsi="Book Antiqua"/>
          <w:szCs w:val="24"/>
        </w:rPr>
        <w:t xml:space="preserve">, añadir un nuevo Artículo 5 y </w:t>
      </w:r>
      <w:r w:rsidR="00206AF8" w:rsidRPr="004F064C">
        <w:rPr>
          <w:rFonts w:ascii="Book Antiqua" w:hAnsi="Book Antiqua"/>
          <w:szCs w:val="24"/>
        </w:rPr>
        <w:t xml:space="preserve">renumerar los actuales Artículos 5, 6 y 7 como Artículos 6, 7 y 8 de la Ley Núm. 259 de 3 de abril de 1946, según enmendada, conocida como </w:t>
      </w:r>
      <w:r w:rsidR="006721AA">
        <w:rPr>
          <w:rFonts w:ascii="Book Antiqua" w:hAnsi="Book Antiqua"/>
          <w:i/>
          <w:iCs/>
          <w:szCs w:val="24"/>
          <w:u w:val="single"/>
        </w:rPr>
        <w:t>“</w:t>
      </w:r>
      <w:r w:rsidR="00206AF8" w:rsidRPr="004F064C">
        <w:rPr>
          <w:rFonts w:ascii="Book Antiqua" w:hAnsi="Book Antiqua"/>
          <w:szCs w:val="24"/>
        </w:rPr>
        <w:t>Ley de Sentencia Suspendida y Libertad a Prueba</w:t>
      </w:r>
      <w:r w:rsidR="006721AA">
        <w:rPr>
          <w:rFonts w:ascii="Book Antiqua" w:hAnsi="Book Antiqua"/>
          <w:i/>
          <w:iCs/>
          <w:szCs w:val="24"/>
          <w:u w:val="single"/>
        </w:rPr>
        <w:t>”,</w:t>
      </w:r>
      <w:r w:rsidR="004F064C" w:rsidRPr="004F064C">
        <w:rPr>
          <w:rFonts w:ascii="Book Antiqua" w:hAnsi="Book Antiqua"/>
          <w:szCs w:val="24"/>
        </w:rPr>
        <w:t xml:space="preserve"> </w:t>
      </w:r>
      <w:r w:rsidR="004F064C" w:rsidRPr="006721AA">
        <w:rPr>
          <w:rFonts w:ascii="Book Antiqua" w:hAnsi="Book Antiqua"/>
          <w:strike/>
          <w:szCs w:val="24"/>
        </w:rPr>
        <w:t>Ley Núm. 259 de 3 de abril de 1946, según enmendada, conocida como Ley de Sentencia Suspendida y Libertad a Prueba</w:t>
      </w:r>
      <w:r w:rsidR="004F064C" w:rsidRPr="004F064C">
        <w:rPr>
          <w:rFonts w:ascii="Book Antiqua" w:hAnsi="Book Antiqua"/>
          <w:szCs w:val="24"/>
        </w:rPr>
        <w:t xml:space="preserve"> a los fines de imponer la sentencia de reclusión en todo caso de delito grave y todo caso de delito menos grave que surja de los mismos hechos o de la misma transacción en la que una persona sea convicta como consecuencia de la violación a lo dispuesto en los Artículos 7.01, 7.02 o 7.03 de la Ley Núm. 22 de 7 de enero de 2000, según enmendada, conocida como “Ley de Vehículos y Tránsito de Puerto Rico”, y que cause grave daño corporal o la muerte a otro ser humano, sujeta a las disposiciones establecidas en el Artículo 7.06 de dicha ley; </w:t>
      </w:r>
      <w:r w:rsidRPr="00A81608">
        <w:rPr>
          <w:rFonts w:ascii="Book Antiqua" w:hAnsi="Book Antiqua"/>
          <w:szCs w:val="24"/>
        </w:rPr>
        <w:t xml:space="preserve">y para otros fines relacionados. </w:t>
      </w:r>
      <w:bookmarkEnd w:id="0"/>
      <w:bookmarkEnd w:id="1"/>
    </w:p>
    <w:p w14:paraId="3A896937" w14:textId="77777777" w:rsidR="008C2FF7" w:rsidRPr="00A81608" w:rsidRDefault="008C2FF7" w:rsidP="007D2187">
      <w:pPr>
        <w:jc w:val="both"/>
        <w:rPr>
          <w:rFonts w:ascii="Book Antiqua" w:hAnsi="Book Antiqua"/>
          <w:szCs w:val="24"/>
          <w:lang w:val="es-ES_tradnl"/>
        </w:rPr>
      </w:pPr>
    </w:p>
    <w:p w14:paraId="44962FA2" w14:textId="77777777" w:rsidR="008C2FF7" w:rsidRDefault="008C2FF7" w:rsidP="007D2187">
      <w:pPr>
        <w:keepNext/>
        <w:jc w:val="center"/>
        <w:outlineLvl w:val="1"/>
        <w:rPr>
          <w:rFonts w:ascii="Book Antiqua" w:hAnsi="Book Antiqua"/>
          <w:bCs/>
          <w:szCs w:val="24"/>
        </w:rPr>
      </w:pPr>
      <w:r w:rsidRPr="007D2187">
        <w:rPr>
          <w:rFonts w:ascii="Book Antiqua" w:hAnsi="Book Antiqua"/>
          <w:bCs/>
          <w:szCs w:val="24"/>
        </w:rPr>
        <w:t>EXPOSICIÓN DE MOTIVOS</w:t>
      </w:r>
    </w:p>
    <w:p w14:paraId="7859E274" w14:textId="77777777" w:rsidR="007D2187" w:rsidRPr="007D2187" w:rsidRDefault="007D2187" w:rsidP="007D2187">
      <w:pPr>
        <w:keepNext/>
        <w:jc w:val="center"/>
        <w:outlineLvl w:val="1"/>
        <w:rPr>
          <w:rFonts w:ascii="Book Antiqua" w:hAnsi="Book Antiqua"/>
          <w:bCs/>
          <w:szCs w:val="24"/>
        </w:rPr>
      </w:pPr>
    </w:p>
    <w:p w14:paraId="666EBB0B" w14:textId="57D5537B" w:rsidR="00206AF8" w:rsidRPr="00206AF8" w:rsidRDefault="00206AF8" w:rsidP="007D2187">
      <w:pPr>
        <w:ind w:firstLine="720"/>
        <w:jc w:val="both"/>
        <w:rPr>
          <w:rFonts w:ascii="Book Antiqua" w:hAnsi="Book Antiqua"/>
          <w:szCs w:val="24"/>
          <w:shd w:val="clear" w:color="auto" w:fill="FFFFFF"/>
        </w:rPr>
      </w:pPr>
      <w:r>
        <w:rPr>
          <w:rFonts w:ascii="Book Antiqua" w:hAnsi="Book Antiqua"/>
          <w:szCs w:val="24"/>
          <w:shd w:val="clear" w:color="auto" w:fill="FFFFFF"/>
        </w:rPr>
        <w:t>Esta Ley</w:t>
      </w:r>
      <w:r w:rsidRPr="00206AF8">
        <w:rPr>
          <w:rFonts w:ascii="Book Antiqua" w:hAnsi="Book Antiqua"/>
          <w:szCs w:val="24"/>
          <w:shd w:val="clear" w:color="auto" w:fill="FFFFFF"/>
        </w:rPr>
        <w:t xml:space="preserve"> se presenta en defensa de personas como Justin Rafael Santos y las hermanas Esther Raquel y Eunice Raquel García Vázquez</w:t>
      </w:r>
      <w:r w:rsidR="00616497">
        <w:rPr>
          <w:rFonts w:ascii="Book Antiqua" w:hAnsi="Book Antiqua"/>
          <w:i/>
          <w:iCs/>
          <w:szCs w:val="24"/>
          <w:u w:val="single"/>
          <w:shd w:val="clear" w:color="auto" w:fill="FFFFFF"/>
        </w:rPr>
        <w:t xml:space="preserve">, y </w:t>
      </w:r>
      <w:r w:rsidR="001D6EA7">
        <w:rPr>
          <w:rFonts w:ascii="Book Antiqua" w:hAnsi="Book Antiqua"/>
          <w:i/>
          <w:iCs/>
          <w:szCs w:val="24"/>
          <w:u w:val="single"/>
          <w:shd w:val="clear" w:color="auto" w:fill="FFFFFF"/>
        </w:rPr>
        <w:t xml:space="preserve">de </w:t>
      </w:r>
      <w:r w:rsidR="00616497">
        <w:rPr>
          <w:rFonts w:ascii="Book Antiqua" w:hAnsi="Book Antiqua"/>
          <w:i/>
          <w:iCs/>
          <w:szCs w:val="24"/>
          <w:u w:val="single"/>
          <w:shd w:val="clear" w:color="auto" w:fill="FFFFFF"/>
        </w:rPr>
        <w:t>sus familiares y amigos</w:t>
      </w:r>
      <w:r w:rsidRPr="00206AF8">
        <w:rPr>
          <w:rFonts w:ascii="Book Antiqua" w:hAnsi="Book Antiqua"/>
          <w:szCs w:val="24"/>
          <w:shd w:val="clear" w:color="auto" w:fill="FFFFFF"/>
        </w:rPr>
        <w:t xml:space="preserve">. </w:t>
      </w:r>
      <w:r w:rsidR="00616497">
        <w:rPr>
          <w:rFonts w:ascii="Book Antiqua" w:hAnsi="Book Antiqua"/>
          <w:szCs w:val="24"/>
          <w:shd w:val="clear" w:color="auto" w:fill="FFFFFF"/>
        </w:rPr>
        <w:t xml:space="preserve"> </w:t>
      </w:r>
      <w:r w:rsidRPr="00206AF8">
        <w:rPr>
          <w:rFonts w:ascii="Book Antiqua" w:hAnsi="Book Antiqua"/>
          <w:szCs w:val="24"/>
          <w:shd w:val="clear" w:color="auto" w:fill="FFFFFF"/>
        </w:rPr>
        <w:t>Justin Rafael Santos, un joven que se distinguía como asistente de tarima y coordinador de presentaciones, tenía el sueño de emprender en la industria del entretenimiento, con el objetivo de gestionar la carrera artística de su hermano, conocido como Arcángel.</w:t>
      </w:r>
      <w:r w:rsidR="00616497">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 Su vida fue trágicamente arrebatada cuando fue impactado por una conductora bajo los </w:t>
      </w:r>
      <w:r w:rsidRPr="00206AF8">
        <w:rPr>
          <w:rFonts w:ascii="Book Antiqua" w:hAnsi="Book Antiqua"/>
          <w:szCs w:val="24"/>
          <w:shd w:val="clear" w:color="auto" w:fill="FFFFFF"/>
        </w:rPr>
        <w:lastRenderedPageBreak/>
        <w:t>efectos del alcohol, quien transitaba en dirección contraria en el puente Teodoro Moscoso, mientras se dirigía a su hogar.</w:t>
      </w:r>
    </w:p>
    <w:p w14:paraId="410A8577" w14:textId="77777777" w:rsidR="00206AF8" w:rsidRPr="00206AF8" w:rsidRDefault="00206AF8" w:rsidP="007D2187">
      <w:pPr>
        <w:ind w:firstLine="720"/>
        <w:jc w:val="both"/>
        <w:rPr>
          <w:rFonts w:ascii="Book Antiqua" w:hAnsi="Book Antiqua"/>
          <w:szCs w:val="24"/>
          <w:shd w:val="clear" w:color="auto" w:fill="FFFFFF"/>
        </w:rPr>
      </w:pPr>
    </w:p>
    <w:p w14:paraId="4BAEF25B" w14:textId="216E4A8B" w:rsidR="00206AF8" w:rsidRPr="00206AF8" w:rsidRDefault="00616497" w:rsidP="00616497">
      <w:pPr>
        <w:ind w:firstLine="720"/>
        <w:jc w:val="both"/>
        <w:rPr>
          <w:rFonts w:ascii="Book Antiqua" w:hAnsi="Book Antiqua"/>
          <w:szCs w:val="24"/>
          <w:shd w:val="clear" w:color="auto" w:fill="FFFFFF"/>
        </w:rPr>
      </w:pPr>
      <w:r w:rsidRPr="00616497">
        <w:rPr>
          <w:rFonts w:ascii="Book Antiqua" w:hAnsi="Book Antiqua"/>
          <w:i/>
          <w:iCs/>
          <w:szCs w:val="24"/>
          <w:u w:val="single"/>
          <w:shd w:val="clear" w:color="auto" w:fill="FFFFFF"/>
        </w:rPr>
        <w:t>Esther Raquel y Eunice Raquel también fueron víctimas de un conductor bajo los efectos del alcohol</w:t>
      </w:r>
      <w:r>
        <w:rPr>
          <w:rFonts w:ascii="Book Antiqua" w:hAnsi="Book Antiqua"/>
          <w:i/>
          <w:iCs/>
          <w:szCs w:val="24"/>
          <w:u w:val="single"/>
          <w:shd w:val="clear" w:color="auto" w:fill="FFFFFF"/>
        </w:rPr>
        <w:t>, esta vez</w:t>
      </w:r>
      <w:r w:rsidRPr="00616497">
        <w:rPr>
          <w:rFonts w:ascii="Book Antiqua" w:hAnsi="Book Antiqua"/>
          <w:i/>
          <w:iCs/>
          <w:szCs w:val="24"/>
          <w:u w:val="single"/>
          <w:shd w:val="clear" w:color="auto" w:fill="FFFFFF"/>
        </w:rPr>
        <w:t xml:space="preserve"> en el municipio de Añasco</w:t>
      </w:r>
      <w:r>
        <w:rPr>
          <w:rFonts w:ascii="Book Antiqua" w:hAnsi="Book Antiqua"/>
          <w:i/>
          <w:iCs/>
          <w:szCs w:val="24"/>
          <w:u w:val="single"/>
          <w:shd w:val="clear" w:color="auto" w:fill="FFFFFF"/>
        </w:rPr>
        <w:t>.</w:t>
      </w:r>
      <w:r>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 </w:t>
      </w:r>
      <w:r w:rsidR="00206AF8" w:rsidRPr="00616497">
        <w:rPr>
          <w:rFonts w:ascii="Book Antiqua" w:hAnsi="Book Antiqua"/>
          <w:strike/>
          <w:szCs w:val="24"/>
          <w:shd w:val="clear" w:color="auto" w:fill="FFFFFF"/>
        </w:rPr>
        <w:t>Por otro lado,</w:t>
      </w:r>
      <w:r w:rsidR="00206AF8" w:rsidRPr="00206AF8">
        <w:rPr>
          <w:rFonts w:ascii="Book Antiqua" w:hAnsi="Book Antiqua"/>
          <w:szCs w:val="24"/>
          <w:shd w:val="clear" w:color="auto" w:fill="FFFFFF"/>
        </w:rPr>
        <w:t xml:space="preserve"> Esther Raquel, una joven de 23 años, estudiante universitaria en el campo de la educación especial de nivel elemental</w:t>
      </w:r>
      <w:r w:rsidR="00206AF8" w:rsidRPr="00616497">
        <w:rPr>
          <w:rFonts w:ascii="Book Antiqua" w:hAnsi="Book Antiqua"/>
          <w:strike/>
          <w:szCs w:val="24"/>
          <w:shd w:val="clear" w:color="auto" w:fill="FFFFFF"/>
        </w:rPr>
        <w:t>,</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y</w:t>
      </w:r>
      <w:r w:rsidRPr="00616497">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madre de una niña de tres años y con seis meses de embarazo</w:t>
      </w:r>
      <w:r w:rsidR="00206AF8" w:rsidRPr="00616497">
        <w:rPr>
          <w:rFonts w:ascii="Book Antiqua" w:hAnsi="Book Antiqua"/>
          <w:strike/>
          <w:szCs w:val="24"/>
          <w:shd w:val="clear" w:color="auto" w:fill="FFFFFF"/>
        </w:rPr>
        <w:t>, y</w:t>
      </w:r>
      <w:r w:rsidR="00206AF8" w:rsidRPr="00206AF8">
        <w:rPr>
          <w:rFonts w:ascii="Book Antiqua" w:hAnsi="Book Antiqua"/>
          <w:szCs w:val="24"/>
          <w:shd w:val="clear" w:color="auto" w:fill="FFFFFF"/>
        </w:rPr>
        <w:t xml:space="preserve"> </w:t>
      </w:r>
      <w:r>
        <w:rPr>
          <w:rFonts w:ascii="Book Antiqua" w:hAnsi="Book Antiqua"/>
          <w:szCs w:val="24"/>
          <w:u w:val="single"/>
          <w:shd w:val="clear" w:color="auto" w:fill="FFFFFF"/>
        </w:rPr>
        <w:t>.</w:t>
      </w:r>
      <w:r w:rsidRPr="00616497">
        <w:rPr>
          <w:rFonts w:ascii="Book Antiqua" w:hAnsi="Book Antiqua"/>
          <w:szCs w:val="24"/>
          <w:shd w:val="clear" w:color="auto" w:fill="FFFFFF"/>
        </w:rPr>
        <w:t xml:space="preserve">  </w:t>
      </w:r>
      <w:r w:rsidR="00206AF8" w:rsidRPr="00206AF8">
        <w:rPr>
          <w:rFonts w:ascii="Book Antiqua" w:hAnsi="Book Antiqua"/>
          <w:szCs w:val="24"/>
          <w:shd w:val="clear" w:color="auto" w:fill="FFFFFF"/>
        </w:rPr>
        <w:t>Eunice Raquel, de 19 años,</w:t>
      </w:r>
      <w:r>
        <w:rPr>
          <w:rFonts w:ascii="Book Antiqua" w:hAnsi="Book Antiqua"/>
          <w:szCs w:val="24"/>
          <w:shd w:val="clear" w:color="auto" w:fill="FFFFFF"/>
        </w:rPr>
        <w:t xml:space="preserve"> </w:t>
      </w:r>
      <w:r>
        <w:rPr>
          <w:rFonts w:ascii="Book Antiqua" w:hAnsi="Book Antiqua"/>
          <w:i/>
          <w:iCs/>
          <w:szCs w:val="24"/>
          <w:u w:val="single"/>
          <w:shd w:val="clear" w:color="auto" w:fill="FFFFFF"/>
        </w:rPr>
        <w:t>quien</w:t>
      </w:r>
      <w:r w:rsidR="00206AF8" w:rsidRPr="00206AF8">
        <w:rPr>
          <w:rFonts w:ascii="Book Antiqua" w:hAnsi="Book Antiqua"/>
          <w:szCs w:val="24"/>
          <w:shd w:val="clear" w:color="auto" w:fill="FFFFFF"/>
        </w:rPr>
        <w:t xml:space="preserve"> </w:t>
      </w:r>
      <w:r w:rsidRPr="00616497">
        <w:rPr>
          <w:rFonts w:ascii="Book Antiqua" w:hAnsi="Book Antiqua"/>
          <w:i/>
          <w:iCs/>
          <w:szCs w:val="24"/>
          <w:u w:val="single"/>
          <w:shd w:val="clear" w:color="auto" w:fill="FFFFFF"/>
        </w:rPr>
        <w:t>era estudiante de aviación con 56 horas de vuelo completadas</w:t>
      </w:r>
      <w:r>
        <w:rPr>
          <w:rFonts w:ascii="Book Antiqua" w:hAnsi="Book Antiqua"/>
          <w:i/>
          <w:iCs/>
          <w:szCs w:val="24"/>
          <w:u w:val="single"/>
          <w:shd w:val="clear" w:color="auto" w:fill="FFFFFF"/>
        </w:rPr>
        <w:t xml:space="preserve">, ya que </w:t>
      </w:r>
      <w:r w:rsidRPr="00616497">
        <w:rPr>
          <w:rFonts w:ascii="Book Antiqua" w:hAnsi="Book Antiqua"/>
          <w:i/>
          <w:iCs/>
          <w:szCs w:val="24"/>
          <w:u w:val="single"/>
          <w:shd w:val="clear" w:color="auto" w:fill="FFFFFF"/>
        </w:rPr>
        <w:t>aspiraba obtener las licencias de piloto privado, instrumental y comercial</w:t>
      </w:r>
      <w:r>
        <w:rPr>
          <w:rFonts w:ascii="Book Antiqua" w:hAnsi="Book Antiqua"/>
          <w:i/>
          <w:iCs/>
          <w:szCs w:val="24"/>
          <w:u w:val="single"/>
          <w:shd w:val="clear" w:color="auto" w:fill="FFFFFF"/>
        </w:rPr>
        <w:t xml:space="preserve"> para cumplir su sueño de</w:t>
      </w:r>
      <w:r w:rsidRPr="00616497">
        <w:rPr>
          <w:rFonts w:ascii="Book Antiqua" w:hAnsi="Book Antiqua"/>
          <w:i/>
          <w:iCs/>
          <w:szCs w:val="24"/>
          <w:shd w:val="clear" w:color="auto" w:fill="FFFFFF"/>
        </w:rPr>
        <w:t xml:space="preserve"> </w:t>
      </w:r>
      <w:r w:rsidR="00206AF8" w:rsidRPr="00616497">
        <w:rPr>
          <w:rFonts w:ascii="Book Antiqua" w:hAnsi="Book Antiqua"/>
          <w:strike/>
          <w:szCs w:val="24"/>
          <w:shd w:val="clear" w:color="auto" w:fill="FFFFFF"/>
        </w:rPr>
        <w:t>soñaba en</w:t>
      </w:r>
      <w:r w:rsidR="00206AF8" w:rsidRPr="00206AF8">
        <w:rPr>
          <w:rFonts w:ascii="Book Antiqua" w:hAnsi="Book Antiqua"/>
          <w:szCs w:val="24"/>
          <w:shd w:val="clear" w:color="auto" w:fill="FFFFFF"/>
        </w:rPr>
        <w:t xml:space="preserve"> convertirse en piloto de aerolínea de pasajeros </w:t>
      </w:r>
      <w:r w:rsidR="00206AF8" w:rsidRPr="00616497">
        <w:rPr>
          <w:rFonts w:ascii="Book Antiqua" w:hAnsi="Book Antiqua"/>
          <w:strike/>
          <w:szCs w:val="24"/>
          <w:shd w:val="clear" w:color="auto" w:fill="FFFFFF"/>
        </w:rPr>
        <w:t>y para cumplir su sueño era una estudiante de aviación con 56 horas de vuelo completadas en la que aspiraba obtener las licencias de piloto privado, instrumental y comercial</w:t>
      </w:r>
      <w:r w:rsidR="00206AF8" w:rsidRPr="00206AF8">
        <w:rPr>
          <w:rFonts w:ascii="Book Antiqua" w:hAnsi="Book Antiqua"/>
          <w:szCs w:val="24"/>
          <w:shd w:val="clear" w:color="auto" w:fill="FFFFFF"/>
        </w:rPr>
        <w:t xml:space="preserve">. </w:t>
      </w:r>
      <w:r w:rsidR="00206AF8" w:rsidRPr="00616497">
        <w:rPr>
          <w:rFonts w:ascii="Book Antiqua" w:hAnsi="Book Antiqua"/>
          <w:strike/>
          <w:szCs w:val="24"/>
          <w:shd w:val="clear" w:color="auto" w:fill="FFFFFF"/>
        </w:rPr>
        <w:t>Sus vidas fueron igualmente arrebatadas al convertirse en víctimas de un conductor bajo los efectos del alcohol en el municipio de Añasco.</w:t>
      </w:r>
    </w:p>
    <w:p w14:paraId="11947BE1" w14:textId="77777777" w:rsidR="00206AF8" w:rsidRPr="00206AF8" w:rsidRDefault="00206AF8" w:rsidP="007D2187">
      <w:pPr>
        <w:ind w:firstLine="720"/>
        <w:jc w:val="both"/>
        <w:rPr>
          <w:rFonts w:ascii="Book Antiqua" w:hAnsi="Book Antiqua"/>
          <w:szCs w:val="24"/>
          <w:shd w:val="clear" w:color="auto" w:fill="FFFFFF"/>
        </w:rPr>
      </w:pPr>
    </w:p>
    <w:p w14:paraId="08613305"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Estos casos resaltan la urgencia de fortalecer las leyes y medidas de prevención contra la conducción en estado de embriaguez, un problema que continúa cobrando vidas inocentes en nuestras carreteras y deja un profundo impacto en la sociedad puertorriqueña. La memoria de estos jóvenes debe servir como un llamado a la acción para proteger a nuestros ciudadanos y asegurar que tragedias como esta no se repitan. </w:t>
      </w:r>
    </w:p>
    <w:p w14:paraId="13EEF6D9" w14:textId="77777777" w:rsidR="00206AF8" w:rsidRPr="00206AF8" w:rsidRDefault="00206AF8" w:rsidP="007D2187">
      <w:pPr>
        <w:ind w:firstLine="720"/>
        <w:jc w:val="both"/>
        <w:rPr>
          <w:rFonts w:ascii="Book Antiqua" w:hAnsi="Book Antiqua"/>
          <w:szCs w:val="24"/>
          <w:shd w:val="clear" w:color="auto" w:fill="FFFFFF"/>
        </w:rPr>
      </w:pPr>
    </w:p>
    <w:p w14:paraId="5180A6DE"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El Impacto Mortal del Alcohol en la Conducción de Vehículos de Motor </w:t>
      </w:r>
    </w:p>
    <w:p w14:paraId="4F8E69CA" w14:textId="77777777" w:rsidR="00206AF8" w:rsidRPr="00206AF8" w:rsidRDefault="00206AF8" w:rsidP="007D2187">
      <w:pPr>
        <w:ind w:firstLine="720"/>
        <w:jc w:val="both"/>
        <w:rPr>
          <w:rFonts w:ascii="Book Antiqua" w:hAnsi="Book Antiqua"/>
          <w:szCs w:val="24"/>
          <w:shd w:val="clear" w:color="auto" w:fill="FFFFFF"/>
        </w:rPr>
      </w:pPr>
    </w:p>
    <w:p w14:paraId="257D4DBD" w14:textId="68D5FD2B" w:rsidR="00206AF8" w:rsidRPr="00F84602" w:rsidRDefault="00206AF8" w:rsidP="007D2187">
      <w:pPr>
        <w:ind w:firstLine="720"/>
        <w:jc w:val="both"/>
        <w:rPr>
          <w:rFonts w:ascii="Book Antiqua" w:hAnsi="Book Antiqua"/>
          <w:i/>
          <w:iCs/>
          <w:szCs w:val="24"/>
          <w:u w:val="single"/>
          <w:shd w:val="clear" w:color="auto" w:fill="FFFFFF"/>
        </w:rPr>
      </w:pPr>
      <w:r w:rsidRPr="00206AF8">
        <w:rPr>
          <w:rFonts w:ascii="Book Antiqua" w:hAnsi="Book Antiqua"/>
          <w:szCs w:val="24"/>
          <w:shd w:val="clear" w:color="auto" w:fill="FFFFFF"/>
        </w:rPr>
        <w:t>El alcohol es una sustancia que tiene efectos negativos en la función del cerebro, afectando el pensamiento, la capacidad de razonar y la coordinación muscular, habilidades esenciales para operar un vehículo de manera segura. Según la Administración Nacional de Seguridad del Tráfico en las Carreteras (NHTSA) del Departamento de Transporte de los Estados Unidos, cada día, alrededor de 37 personas en los Estados Unidos mueren en choques automovilísticos relacionados con el alcohol; en otras palabras, cada 39 minutos una persona muere por esta causa. En 2022, 13,524 personas murieron en choques de tráfico por conducir bajo los efectos del alcohol, de las cuales el 67 por ciento (9,047) ocurrieron en accidentes de tráfico en los que al menos un conductor tenía un nivel de alcohol en su organismo de .15</w:t>
      </w:r>
      <w:r w:rsidR="001D6EA7">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g/dL o más. El índice de deterioro por alcohol entre los conductores involucrados en accidentes de tráfico mortales en 2022 fue casi tres veces mayor por la noche que durante el día. </w:t>
      </w:r>
      <w:r w:rsidRPr="00F84602">
        <w:rPr>
          <w:rFonts w:ascii="Book Antiqua" w:hAnsi="Book Antiqua"/>
          <w:strike/>
          <w:szCs w:val="24"/>
          <w:shd w:val="clear" w:color="auto" w:fill="FFFFFF"/>
        </w:rPr>
        <w:t>Se hubiese podido evitar todas estas muertes.</w:t>
      </w:r>
      <w:r w:rsidR="001D6EA7">
        <w:rPr>
          <w:rFonts w:ascii="Book Antiqua" w:hAnsi="Book Antiqua"/>
          <w:szCs w:val="24"/>
          <w:shd w:val="clear" w:color="auto" w:fill="FFFFFF"/>
        </w:rPr>
        <w:t xml:space="preserve">  </w:t>
      </w:r>
      <w:r w:rsidR="00F84602">
        <w:rPr>
          <w:rFonts w:ascii="Book Antiqua" w:hAnsi="Book Antiqua"/>
          <w:i/>
          <w:iCs/>
          <w:szCs w:val="24"/>
          <w:u w:val="single"/>
          <w:shd w:val="clear" w:color="auto" w:fill="FFFFFF"/>
        </w:rPr>
        <w:t>No obstante, la conclusión más alarmante de estas cifras es que, evidentemente, todas esas fatalidades fueron evitables.</w:t>
      </w:r>
    </w:p>
    <w:p w14:paraId="531C1FF4" w14:textId="77777777" w:rsidR="00206AF8" w:rsidRPr="00206AF8" w:rsidRDefault="00206AF8" w:rsidP="007D2187">
      <w:pPr>
        <w:ind w:firstLine="720"/>
        <w:jc w:val="both"/>
        <w:rPr>
          <w:rFonts w:ascii="Book Antiqua" w:hAnsi="Book Antiqua"/>
          <w:szCs w:val="24"/>
          <w:shd w:val="clear" w:color="auto" w:fill="FFFFFF"/>
        </w:rPr>
      </w:pPr>
    </w:p>
    <w:p w14:paraId="6776C82B"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Conducción en Estado de Embriaguez: Un Acto Voluntario de Alto Riesgo que Exige Máximo Rigor Penal</w:t>
      </w:r>
    </w:p>
    <w:p w14:paraId="52EA0AD6" w14:textId="77777777" w:rsidR="00206AF8" w:rsidRPr="00206AF8" w:rsidRDefault="00206AF8" w:rsidP="007D2187">
      <w:pPr>
        <w:ind w:firstLine="720"/>
        <w:jc w:val="both"/>
        <w:rPr>
          <w:rFonts w:ascii="Book Antiqua" w:hAnsi="Book Antiqua"/>
          <w:szCs w:val="24"/>
          <w:shd w:val="clear" w:color="auto" w:fill="FFFFFF"/>
        </w:rPr>
      </w:pPr>
    </w:p>
    <w:p w14:paraId="77AE9F30"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Este proyecto de ley se ubica dentro de los principios que rigen la aplicación de la sanción penal según el Artículo 11, 33 L.P.R.A. § 5011, del Código Penal de Puerto Rico. </w:t>
      </w:r>
      <w:r w:rsidRPr="00206AF8">
        <w:rPr>
          <w:rFonts w:ascii="Book Antiqua" w:hAnsi="Book Antiqua"/>
          <w:szCs w:val="24"/>
          <w:shd w:val="clear" w:color="auto" w:fill="FFFFFF"/>
        </w:rPr>
        <w:lastRenderedPageBreak/>
        <w:t>El Artículo 11 dispone en lo pertinente que “[…] [l]as penas se establecerán de forma proporcional a la gravedad del hecho delictivo. La imposición de las penas tendrá como objetivos generales: (a) La protección de la sociedad. (b) La justicia a las víctimas de delito. (c) La prevención de delitos. (d) El castigo justo al autor del delito en proporción a la gravedad del delito y a su responsabilidad. (e) La rehabilitación social y moral del convicto […]”. Este artículo incluye como principio de aplicación a toda ley penal las siguientes garantías: proporcionalidad, necesidad y adecuación de la pena o medida de seguridad, y que no atenten contra la dignidad humana. El requisito de la proporcionalidad tiene su base en la prohibición constitucional de los castigos crueles e inusitados y se refiere a que la pena sea proporcionada a la gravedad del hecho y a la responsabilidad del autor. Véase, Dora Neváres-Muñiz, supra, a las páginas 23-24.</w:t>
      </w:r>
    </w:p>
    <w:p w14:paraId="011DE06A" w14:textId="77777777" w:rsidR="00206AF8" w:rsidRPr="00206AF8" w:rsidRDefault="00206AF8" w:rsidP="007D2187">
      <w:pPr>
        <w:ind w:firstLine="720"/>
        <w:jc w:val="both"/>
        <w:rPr>
          <w:rFonts w:ascii="Book Antiqua" w:hAnsi="Book Antiqua"/>
          <w:szCs w:val="24"/>
          <w:shd w:val="clear" w:color="auto" w:fill="FFFFFF"/>
        </w:rPr>
      </w:pPr>
    </w:p>
    <w:p w14:paraId="7236EC3D" w14:textId="6C09081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A los fines de precisar la pena de reclusión en la Ley de Sentencia Suspendida y Libertad a Prueba, Ley Núm. 259 de 3 de abril de 1946, según enmendada, este proyecto incorpora el Artículo 49</w:t>
      </w:r>
      <w:r w:rsidRPr="00E93057">
        <w:rPr>
          <w:rFonts w:ascii="Book Antiqua" w:hAnsi="Book Antiqua"/>
          <w:strike/>
          <w:szCs w:val="24"/>
          <w:shd w:val="clear" w:color="auto" w:fill="FFFFFF"/>
        </w:rPr>
        <w:t>, 33 L.P.R.A. § 5082,</w:t>
      </w:r>
      <w:r w:rsidRPr="00206AF8">
        <w:rPr>
          <w:rFonts w:ascii="Book Antiqua" w:hAnsi="Book Antiqua"/>
          <w:szCs w:val="24"/>
          <w:shd w:val="clear" w:color="auto" w:fill="FFFFFF"/>
        </w:rPr>
        <w:t xml:space="preserve"> del Código Penal de Puerto Rico</w:t>
      </w:r>
      <w:r w:rsidR="00E93057">
        <w:rPr>
          <w:rFonts w:ascii="Book Antiqua" w:hAnsi="Book Antiqua"/>
          <w:i/>
          <w:iCs/>
          <w:szCs w:val="24"/>
          <w:u w:val="single"/>
          <w:shd w:val="clear" w:color="auto" w:fill="FFFFFF"/>
        </w:rPr>
        <w:t>, Ley 146-2012, según enmendada</w:t>
      </w:r>
      <w:r w:rsidRPr="00206AF8">
        <w:rPr>
          <w:rFonts w:ascii="Book Antiqua" w:hAnsi="Book Antiqua"/>
          <w:szCs w:val="24"/>
          <w:shd w:val="clear" w:color="auto" w:fill="FFFFFF"/>
        </w:rPr>
        <w:t>. El Articulo 49 precisa la pena de reclusión como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Las sentencias de reclusión impuestas a menores de veintiún (21) años deben cumplirse en instituciones habilitadas para este grupo de sentenciados.</w:t>
      </w:r>
    </w:p>
    <w:p w14:paraId="4011E708" w14:textId="77777777" w:rsidR="00206AF8" w:rsidRPr="00206AF8" w:rsidRDefault="00206AF8" w:rsidP="007D2187">
      <w:pPr>
        <w:ind w:firstLine="720"/>
        <w:jc w:val="both"/>
        <w:rPr>
          <w:rFonts w:ascii="Book Antiqua" w:hAnsi="Book Antiqua"/>
          <w:szCs w:val="24"/>
          <w:shd w:val="clear" w:color="auto" w:fill="FFFFFF"/>
        </w:rPr>
      </w:pPr>
    </w:p>
    <w:p w14:paraId="616061E3" w14:textId="330D555A" w:rsidR="008C2FF7" w:rsidRDefault="001E29B1" w:rsidP="007D2187">
      <w:pPr>
        <w:ind w:firstLine="720"/>
        <w:jc w:val="both"/>
        <w:rPr>
          <w:rFonts w:ascii="Book Antiqua" w:hAnsi="Book Antiqua"/>
          <w:szCs w:val="24"/>
        </w:rPr>
      </w:pPr>
      <w:r>
        <w:rPr>
          <w:rFonts w:ascii="Book Antiqua" w:hAnsi="Book Antiqua"/>
          <w:i/>
          <w:iCs/>
          <w:szCs w:val="24"/>
          <w:u w:val="single"/>
          <w:shd w:val="clear" w:color="auto" w:fill="FFFFFF"/>
        </w:rPr>
        <w:t>En Puerto Rico, t</w:t>
      </w:r>
      <w:r w:rsidR="00F84602">
        <w:rPr>
          <w:rFonts w:ascii="Book Antiqua" w:hAnsi="Book Antiqua"/>
          <w:i/>
          <w:iCs/>
          <w:szCs w:val="24"/>
          <w:u w:val="single"/>
          <w:shd w:val="clear" w:color="auto" w:fill="FFFFFF"/>
        </w:rPr>
        <w:t xml:space="preserve">oda persona que haya consumido </w:t>
      </w:r>
      <w:r w:rsidR="00F84602" w:rsidRPr="00F84602">
        <w:rPr>
          <w:rFonts w:ascii="Book Antiqua" w:hAnsi="Book Antiqua"/>
          <w:i/>
          <w:iCs/>
          <w:szCs w:val="24"/>
          <w:u w:val="single"/>
        </w:rPr>
        <w:t xml:space="preserve">bebidas embriagantes </w:t>
      </w:r>
      <w:r w:rsidR="00F84602">
        <w:rPr>
          <w:rFonts w:ascii="Book Antiqua" w:hAnsi="Book Antiqua"/>
          <w:i/>
          <w:iCs/>
          <w:szCs w:val="24"/>
          <w:u w:val="single"/>
        </w:rPr>
        <w:t>o</w:t>
      </w:r>
      <w:r w:rsidR="00F84602" w:rsidRPr="00F84602">
        <w:rPr>
          <w:rFonts w:ascii="Book Antiqua" w:hAnsi="Book Antiqua"/>
          <w:i/>
          <w:iCs/>
          <w:szCs w:val="24"/>
          <w:u w:val="single"/>
        </w:rPr>
        <w:t xml:space="preserve"> drogas o sustancias controladas</w:t>
      </w:r>
      <w:r>
        <w:rPr>
          <w:rFonts w:ascii="Book Antiqua" w:hAnsi="Book Antiqua"/>
          <w:i/>
          <w:iCs/>
          <w:szCs w:val="24"/>
          <w:u w:val="single"/>
        </w:rPr>
        <w:t xml:space="preserve"> y conduce un vehículo de motor comete delito.  Punto.</w:t>
      </w:r>
      <w:r w:rsidR="00F84602" w:rsidRPr="001E29B1">
        <w:rPr>
          <w:rFonts w:ascii="Book Antiqua" w:hAnsi="Book Antiqua"/>
          <w:i/>
          <w:iCs/>
          <w:szCs w:val="24"/>
          <w:shd w:val="clear" w:color="auto" w:fill="FFFFFF"/>
        </w:rPr>
        <w:t xml:space="preserve"> </w:t>
      </w:r>
      <w:r w:rsidR="00206AF8" w:rsidRPr="001E29B1">
        <w:rPr>
          <w:rFonts w:ascii="Book Antiqua" w:hAnsi="Book Antiqua"/>
          <w:strike/>
          <w:szCs w:val="24"/>
          <w:shd w:val="clear" w:color="auto" w:fill="FFFFFF"/>
        </w:rPr>
        <w:t>Un conductor ebrio sabe o debe saber que el consumo de alcohol afecta su capacidad para manejar y que conducir en la vía pública en ese estado incrementa drásticamente el riesgo de accidentes y la posibilidad de causar la muerte de otras personas. A pesar de este conocimiento, elige conducir, demostrando una total indiferencia ante el peligro que representa. Además, tanto la decisión de ingerir alcohol como la de ponerse al volante son actos conscientes y voluntarios. El Estado invierte recursos públicos en campañas de concienciación y advertencias sobre los peligros de la conducción bajo los efectos del alcohol precisamente porque se trata de una conducta de alto riesgo. En cuanto al riesgo sustancial, la</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La</w:t>
      </w:r>
      <w:r w:rsidRPr="001E29B1">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evidencia científica y estadística demuestra que el alcohol deteriora la capacidad motora, cognitiva y de reacción, aumentando significativamente la probabilidad de causar un accidente con consecuencias fatales</w:t>
      </w:r>
      <w:r w:rsidR="00206AF8" w:rsidRPr="001E29B1">
        <w:rPr>
          <w:rFonts w:ascii="Book Antiqua" w:hAnsi="Book Antiqua"/>
          <w:strike/>
          <w:szCs w:val="24"/>
          <w:shd w:val="clear" w:color="auto" w:fill="FFFFFF"/>
        </w:rPr>
        <w:t>. En cuanto al riesgo injustificado, no existe ninguna justificación válida para conducir bajo los efectos del alcohol. Existen</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 y existen</w:t>
      </w:r>
      <w:r w:rsidRPr="001E29B1">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 xml:space="preserve">múltiples alternativas seguras, como el transporte público, servicios de transporte privado (Uber, taxis) o contar con un conductor designado. </w:t>
      </w:r>
      <w:r>
        <w:rPr>
          <w:rFonts w:ascii="Book Antiqua" w:hAnsi="Book Antiqua"/>
          <w:szCs w:val="24"/>
          <w:shd w:val="clear" w:color="auto" w:fill="FFFFFF"/>
        </w:rPr>
        <w:t xml:space="preserve"> </w:t>
      </w:r>
      <w:r w:rsidR="00206AF8" w:rsidRPr="00206AF8">
        <w:rPr>
          <w:rFonts w:ascii="Book Antiqua" w:hAnsi="Book Antiqua"/>
          <w:szCs w:val="24"/>
          <w:shd w:val="clear" w:color="auto" w:fill="FFFFFF"/>
        </w:rPr>
        <w:t xml:space="preserve">Por lo tanto, la conducción en estado de embriaguez no solo implica una plena conciencia del riesgo, sino también una indiferencia absoluta ante la seguridad propia y la de los demás. </w:t>
      </w:r>
      <w:r w:rsidR="00206AF8" w:rsidRPr="001E29B1">
        <w:rPr>
          <w:rFonts w:ascii="Book Antiqua" w:hAnsi="Book Antiqua"/>
          <w:strike/>
          <w:szCs w:val="24"/>
          <w:shd w:val="clear" w:color="auto" w:fill="FFFFFF"/>
        </w:rPr>
        <w:t>A través de esta legislación,</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 xml:space="preserve">Con esta Ley, </w:t>
      </w:r>
      <w:r w:rsidR="00206AF8" w:rsidRPr="00206AF8">
        <w:rPr>
          <w:rFonts w:ascii="Book Antiqua" w:hAnsi="Book Antiqua"/>
          <w:szCs w:val="24"/>
          <w:shd w:val="clear" w:color="auto" w:fill="FFFFFF"/>
        </w:rPr>
        <w:t xml:space="preserve">buscamos justicia, concienciación y un compromiso renovado con la seguridad vial en Puerto Rico. Dada su gravedad, esta </w:t>
      </w:r>
      <w:r w:rsidR="00206AF8" w:rsidRPr="00206AF8">
        <w:rPr>
          <w:rFonts w:ascii="Book Antiqua" w:hAnsi="Book Antiqua"/>
          <w:szCs w:val="24"/>
          <w:shd w:val="clear" w:color="auto" w:fill="FFFFFF"/>
        </w:rPr>
        <w:lastRenderedPageBreak/>
        <w:t>conducta debe ser sancionada con el mayor rigor penal para proteger la vida y la integridad física de la ciudadanía.</w:t>
      </w:r>
      <w:r w:rsidR="008C2FF7" w:rsidRPr="00A81608">
        <w:rPr>
          <w:rFonts w:ascii="Book Antiqua" w:hAnsi="Book Antiqua"/>
          <w:szCs w:val="24"/>
        </w:rPr>
        <w:t xml:space="preserve"> </w:t>
      </w:r>
    </w:p>
    <w:p w14:paraId="034CD8EA" w14:textId="77777777" w:rsidR="00E80F2E" w:rsidRPr="00A81608" w:rsidRDefault="00E80F2E" w:rsidP="007D2187">
      <w:pPr>
        <w:ind w:firstLine="720"/>
        <w:jc w:val="both"/>
        <w:rPr>
          <w:rFonts w:ascii="Book Antiqua" w:hAnsi="Book Antiqua"/>
          <w:szCs w:val="24"/>
        </w:rPr>
      </w:pPr>
    </w:p>
    <w:p w14:paraId="49982BDD" w14:textId="77777777" w:rsidR="008C2FF7" w:rsidRPr="00A81608" w:rsidRDefault="008C2FF7" w:rsidP="007D2187">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pgSz w:w="12240" w:h="15840" w:code="1"/>
          <w:pgMar w:top="1440" w:right="1440" w:bottom="1440" w:left="1440" w:header="720" w:footer="720" w:gutter="0"/>
          <w:cols w:space="720"/>
          <w:titlePg/>
          <w:docGrid w:linePitch="326"/>
        </w:sectPr>
      </w:pPr>
    </w:p>
    <w:p w14:paraId="0F55D617" w14:textId="2CB88D6F" w:rsid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1</w:t>
      </w:r>
      <w:r>
        <w:rPr>
          <w:rFonts w:ascii="Book Antiqua" w:hAnsi="Book Antiqua"/>
          <w:szCs w:val="24"/>
          <w:lang w:val="es-ES_tradnl"/>
        </w:rPr>
        <w:t>. —Título</w:t>
      </w:r>
    </w:p>
    <w:p w14:paraId="3B596CA5" w14:textId="1166EBEA"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Esta ley se conocerá como “La Ley Justin Rafael Santos y hermanas Esther Raquel y Eunice Raquel García Vázquez para la Justicia y Protección en la Carretera”.</w:t>
      </w:r>
    </w:p>
    <w:p w14:paraId="70A9BEEB" w14:textId="07835A9D"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2</w:t>
      </w:r>
      <w:r>
        <w:rPr>
          <w:rFonts w:ascii="Book Antiqua" w:hAnsi="Book Antiqua"/>
          <w:szCs w:val="24"/>
          <w:lang w:val="es-ES_tradnl"/>
        </w:rPr>
        <w:t>.—</w:t>
      </w:r>
      <w:r w:rsidRPr="00206AF8">
        <w:rPr>
          <w:rFonts w:ascii="Book Antiqua" w:hAnsi="Book Antiqua"/>
          <w:szCs w:val="24"/>
          <w:lang w:val="es-ES_tradnl"/>
        </w:rPr>
        <w:t xml:space="preserve">Se enmienda el Artículo 2 de la Ley Núm. 259 de 3 de abril de 1946, según enmendada, para que lea como sigue:  </w:t>
      </w:r>
    </w:p>
    <w:p w14:paraId="3B0E3A6D" w14:textId="77777777"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sidRPr="00206AF8">
        <w:rPr>
          <w:rFonts w:ascii="Book Antiqua" w:hAnsi="Book Antiqua"/>
          <w:szCs w:val="24"/>
          <w:lang w:val="es-ES_tradnl"/>
        </w:rPr>
        <w:t>“Artículo 2.-</w:t>
      </w:r>
    </w:p>
    <w:p w14:paraId="2BE44795" w14:textId="7E787B49"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podrá suspender los efectos de la sentencia de reclusión en todo caso de delito grave y todo caso de delito menos grave que surja de los mismos hechos o de la misma transacción, que no fuere:</w:t>
      </w:r>
    </w:p>
    <w:p w14:paraId="6F9AECC1"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(a)</w:t>
      </w:r>
      <w:r w:rsidRPr="00206AF8">
        <w:rPr>
          <w:rFonts w:ascii="Book Antiqua" w:hAnsi="Book Antiqua"/>
          <w:szCs w:val="24"/>
          <w:lang w:val="es-ES_tradnl"/>
        </w:rPr>
        <w:tab/>
        <w:t>...</w:t>
      </w:r>
    </w:p>
    <w:p w14:paraId="257988D9"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w:t>
      </w:r>
    </w:p>
    <w:p w14:paraId="4283B37D" w14:textId="3A8AE81F"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 xml:space="preserve">(j) Toda persona convicta </w:t>
      </w:r>
      <w:r w:rsidRPr="00E10103">
        <w:rPr>
          <w:rFonts w:ascii="Book Antiqua" w:hAnsi="Book Antiqua"/>
          <w:i/>
          <w:iCs/>
          <w:strike/>
          <w:szCs w:val="24"/>
          <w:lang w:val="es-ES_tradnl"/>
        </w:rPr>
        <w:t>como consecuencia</w:t>
      </w:r>
      <w:r w:rsidRPr="00206AF8">
        <w:rPr>
          <w:rFonts w:ascii="Book Antiqua" w:hAnsi="Book Antiqua"/>
          <w:i/>
          <w:iCs/>
          <w:szCs w:val="24"/>
          <w:lang w:val="es-ES_tradnl"/>
        </w:rPr>
        <w:t xml:space="preserve"> de la violación a lo dispuesto en los Artículos 7.01, 7.02 o 7.03 de la Ley de Vehículos y Tránsito de Puerto Rico, Ley Núm. 22 de 7 de enero de 2000, según enmendada, y que</w:t>
      </w:r>
      <w:r w:rsidR="00E10103">
        <w:rPr>
          <w:rFonts w:ascii="Book Antiqua" w:hAnsi="Book Antiqua"/>
          <w:i/>
          <w:iCs/>
          <w:szCs w:val="24"/>
          <w:lang w:val="es-ES_tradnl"/>
        </w:rPr>
        <w:t xml:space="preserve"> </w:t>
      </w:r>
      <w:r w:rsidR="00E10103" w:rsidRPr="00E10103">
        <w:rPr>
          <w:rFonts w:ascii="Book Antiqua" w:hAnsi="Book Antiqua"/>
          <w:i/>
          <w:iCs/>
          <w:strike/>
          <w:szCs w:val="24"/>
          <w:lang w:val="es-ES_tradnl"/>
        </w:rPr>
        <w:t>cause</w:t>
      </w:r>
      <w:r w:rsidR="00E10103" w:rsidRPr="00E10103">
        <w:rPr>
          <w:rFonts w:ascii="Book Antiqua" w:hAnsi="Book Antiqua"/>
          <w:i/>
          <w:iCs/>
          <w:szCs w:val="24"/>
          <w:lang w:val="es-ES_tradnl"/>
        </w:rPr>
        <w:t xml:space="preserve"> </w:t>
      </w:r>
      <w:r w:rsidR="00E10103">
        <w:rPr>
          <w:rFonts w:ascii="Book Antiqua" w:hAnsi="Book Antiqua"/>
          <w:i/>
          <w:iCs/>
          <w:szCs w:val="24"/>
          <w:u w:val="single"/>
          <w:lang w:val="es-ES_tradnl"/>
        </w:rPr>
        <w:t>como consecuencia de ello haya causado</w:t>
      </w:r>
      <w:r w:rsidRPr="00206AF8">
        <w:rPr>
          <w:rFonts w:ascii="Book Antiqua" w:hAnsi="Book Antiqua"/>
          <w:i/>
          <w:iCs/>
          <w:szCs w:val="24"/>
          <w:lang w:val="es-ES_tradnl"/>
        </w:rPr>
        <w:t xml:space="preserve"> grave daño corporal o la muerte a otro ser humano, sujeta a las </w:t>
      </w:r>
      <w:r w:rsidRPr="006721AA">
        <w:rPr>
          <w:rFonts w:ascii="Book Antiqua" w:hAnsi="Book Antiqua"/>
          <w:i/>
          <w:iCs/>
          <w:strike/>
          <w:szCs w:val="24"/>
          <w:lang w:val="es-ES_tradnl"/>
        </w:rPr>
        <w:t>disposiciones</w:t>
      </w:r>
      <w:r w:rsidR="006721AA">
        <w:rPr>
          <w:rFonts w:ascii="Book Antiqua" w:hAnsi="Book Antiqua"/>
          <w:i/>
          <w:iCs/>
          <w:szCs w:val="24"/>
          <w:lang w:val="es-ES_tradnl"/>
        </w:rPr>
        <w:t xml:space="preserve"> </w:t>
      </w:r>
      <w:r w:rsidR="006721AA">
        <w:rPr>
          <w:rFonts w:ascii="Book Antiqua" w:hAnsi="Book Antiqua"/>
          <w:i/>
          <w:iCs/>
          <w:szCs w:val="24"/>
          <w:u w:val="single"/>
          <w:lang w:val="es-ES_tradnl"/>
        </w:rPr>
        <w:t>penalidades</w:t>
      </w:r>
      <w:r w:rsidRPr="00206AF8">
        <w:rPr>
          <w:rFonts w:ascii="Book Antiqua" w:hAnsi="Book Antiqua"/>
          <w:i/>
          <w:iCs/>
          <w:szCs w:val="24"/>
          <w:lang w:val="es-ES_tradnl"/>
        </w:rPr>
        <w:t xml:space="preserve"> establecidas en el Artículo 7.06 de dicha ley.</w:t>
      </w:r>
    </w:p>
    <w:p w14:paraId="75E6B5B7" w14:textId="77777777" w:rsid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i/>
          <w:iCs/>
          <w:szCs w:val="24"/>
          <w:lang w:val="es-ES_tradnl"/>
        </w:rPr>
        <w:tab/>
      </w:r>
      <w:r w:rsidRPr="00206AF8">
        <w:rPr>
          <w:rFonts w:ascii="Book Antiqua" w:hAnsi="Book Antiqua"/>
          <w:szCs w:val="24"/>
          <w:lang w:val="es-ES_tradnl"/>
        </w:rPr>
        <w:t xml:space="preserve">Con arreglo a lo anteriormente dispuesto, el tribunal sentenciador podrá también suspender los efectos de la sentencia de reclusión que se hubiere dictado en todo caso de homicidio negligente en su modalidad menos grave que no </w:t>
      </w:r>
      <w:r w:rsidRPr="00206AF8">
        <w:rPr>
          <w:rFonts w:ascii="Book Antiqua" w:hAnsi="Book Antiqua"/>
          <w:szCs w:val="24"/>
          <w:lang w:val="es-ES_tradnl"/>
        </w:rPr>
        <w:lastRenderedPageBreak/>
        <w:t>hubiere sido ocasionado mientras se conducía un vehículo en estado de embriaguez.</w:t>
      </w:r>
    </w:p>
    <w:p w14:paraId="28E2A1EA" w14:textId="70626661"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tendrá jurisdicción original para entender en los casos de delitos graves y delitos menos graves que surjan de los mismos hechos o de la misma transacción, según se dispone anteriormente.”</w:t>
      </w:r>
    </w:p>
    <w:p w14:paraId="196A490E" w14:textId="0B4BB06C"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3</w:t>
      </w:r>
      <w:r>
        <w:rPr>
          <w:rFonts w:ascii="Book Antiqua" w:hAnsi="Book Antiqua"/>
          <w:szCs w:val="24"/>
          <w:lang w:val="es-ES_tradnl"/>
        </w:rPr>
        <w:t>.—</w:t>
      </w:r>
      <w:r w:rsidRPr="00206AF8">
        <w:rPr>
          <w:rFonts w:ascii="Book Antiqua" w:hAnsi="Book Antiqua"/>
          <w:szCs w:val="24"/>
          <w:lang w:val="es-ES_tradnl"/>
        </w:rPr>
        <w:t xml:space="preserve">Se añade un nuevo Artículo 5 a la Ley Núm. 259 de 3 de abril de 1946, según enmendada, para que lea como sigue:  </w:t>
      </w:r>
    </w:p>
    <w:p w14:paraId="1D8156A9" w14:textId="77777777"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“Artículo 5.-</w:t>
      </w:r>
    </w:p>
    <w:p w14:paraId="05E64A32" w14:textId="1533B898"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 xml:space="preserve">La pena de reclusión </w:t>
      </w:r>
      <w:r w:rsidRPr="00E10103">
        <w:rPr>
          <w:rFonts w:ascii="Book Antiqua" w:hAnsi="Book Antiqua"/>
          <w:i/>
          <w:iCs/>
          <w:strike/>
          <w:szCs w:val="24"/>
          <w:lang w:val="es-ES_tradnl"/>
        </w:rPr>
        <w:t>consiste</w:t>
      </w:r>
      <w:r w:rsidR="00E10103" w:rsidRPr="00E10103">
        <w:rPr>
          <w:rFonts w:ascii="Book Antiqua" w:hAnsi="Book Antiqua"/>
          <w:i/>
          <w:iCs/>
          <w:strike/>
          <w:szCs w:val="24"/>
          <w:lang w:val="es-ES_tradnl"/>
        </w:rPr>
        <w:t xml:space="preserve"> en</w:t>
      </w:r>
      <w:r w:rsidR="00E10103" w:rsidRPr="00E10103">
        <w:rPr>
          <w:rFonts w:ascii="Book Antiqua" w:hAnsi="Book Antiqua"/>
          <w:i/>
          <w:iCs/>
          <w:szCs w:val="24"/>
          <w:lang w:val="es-ES_tradnl"/>
        </w:rPr>
        <w:t xml:space="preserve"> </w:t>
      </w:r>
      <w:r w:rsidR="001C7535">
        <w:rPr>
          <w:rFonts w:ascii="Book Antiqua" w:hAnsi="Book Antiqua"/>
          <w:i/>
          <w:iCs/>
          <w:szCs w:val="24"/>
          <w:u w:val="single"/>
          <w:lang w:val="es-ES_tradnl"/>
        </w:rPr>
        <w:t>consistirá en</w:t>
      </w:r>
      <w:r w:rsidRPr="00206AF8">
        <w:rPr>
          <w:rFonts w:ascii="Book Antiqua" w:hAnsi="Book Antiqua"/>
          <w:i/>
          <w:iCs/>
          <w:szCs w:val="24"/>
          <w:lang w:val="es-ES_tradnl"/>
        </w:rPr>
        <w:t xml:space="preserve">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en esta Ley.  Las sentencias de reclusión impuestas a menores de veintiún (21) años deben cumplirse en instituciones habilitadas para este grupo de sentenciados.”</w:t>
      </w:r>
    </w:p>
    <w:p w14:paraId="19B9B6C4" w14:textId="33C16F19" w:rsidR="008C2FF7"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4</w:t>
      </w:r>
      <w:r>
        <w:rPr>
          <w:rFonts w:ascii="Book Antiqua" w:hAnsi="Book Antiqua"/>
          <w:szCs w:val="24"/>
          <w:lang w:val="es-ES_tradnl"/>
        </w:rPr>
        <w:t>.</w:t>
      </w:r>
      <w:r w:rsidRPr="00206AF8">
        <w:rPr>
          <w:rFonts w:ascii="Book Antiqua" w:hAnsi="Book Antiqua"/>
          <w:szCs w:val="24"/>
          <w:lang w:val="es-ES_tradnl"/>
        </w:rPr>
        <w:t xml:space="preserve"> – Se renumeran los actuales Artículos 5, 6 y 7 como Artículos 6, 7 y 8 de la Ley Núm. 259 de 3 de abril de 1946, según enmendada</w:t>
      </w:r>
      <w:r w:rsidR="008C2FF7" w:rsidRPr="000F2D93">
        <w:rPr>
          <w:rFonts w:ascii="Book Antiqua" w:hAnsi="Book Antiqua"/>
          <w:szCs w:val="24"/>
          <w:lang w:val="es-ES_tradnl"/>
        </w:rPr>
        <w:t xml:space="preserve">. </w:t>
      </w:r>
    </w:p>
    <w:p w14:paraId="04A53BFF" w14:textId="120DB1A1"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sidR="00206AF8">
        <w:rPr>
          <w:rFonts w:ascii="Book Antiqua" w:hAnsi="Book Antiqua"/>
          <w:szCs w:val="24"/>
          <w:lang w:val="es-ES_tradnl"/>
        </w:rPr>
        <w:t>5</w:t>
      </w:r>
      <w:r w:rsidRPr="00A81608">
        <w:rPr>
          <w:rFonts w:ascii="Book Antiqua" w:hAnsi="Book Antiqua"/>
          <w:szCs w:val="24"/>
          <w:lang w:val="es-ES_tradnl"/>
        </w:rPr>
        <w:t>.</w:t>
      </w:r>
      <w:r w:rsidRPr="00A81608">
        <w:rPr>
          <w:rFonts w:ascii="Book Antiqua" w:hAnsi="Book Antiqua"/>
          <w:szCs w:val="24"/>
        </w:rPr>
        <w:t xml:space="preserve"> — Supremacía.</w:t>
      </w:r>
    </w:p>
    <w:p w14:paraId="51FB615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0766177A"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lang w:val="es-ES_tradnl"/>
        </w:rPr>
        <w:lastRenderedPageBreak/>
        <w:t xml:space="preserve">Sección </w:t>
      </w:r>
      <w:r>
        <w:rPr>
          <w:rFonts w:ascii="Book Antiqua" w:hAnsi="Book Antiqua"/>
          <w:szCs w:val="24"/>
          <w:lang w:val="es-ES_tradnl"/>
        </w:rPr>
        <w:t>6</w:t>
      </w:r>
      <w:r w:rsidRPr="00A81608">
        <w:rPr>
          <w:rFonts w:ascii="Book Antiqua" w:hAnsi="Book Antiqua"/>
          <w:szCs w:val="24"/>
          <w:lang w:val="es-ES_tradnl"/>
        </w:rPr>
        <w:t>.- Vigencia</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A002" w14:textId="77777777" w:rsidR="008D2548" w:rsidRDefault="008D2548" w:rsidP="008C2FF7">
      <w:r>
        <w:separator/>
      </w:r>
    </w:p>
  </w:endnote>
  <w:endnote w:type="continuationSeparator" w:id="0">
    <w:p w14:paraId="301DA151" w14:textId="77777777" w:rsidR="008D2548" w:rsidRDefault="008D2548"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CAC74" w14:textId="77777777" w:rsidR="008D2548" w:rsidRDefault="008D2548" w:rsidP="008C2FF7">
      <w:r>
        <w:separator/>
      </w:r>
    </w:p>
  </w:footnote>
  <w:footnote w:type="continuationSeparator" w:id="0">
    <w:p w14:paraId="3880BA57" w14:textId="77777777" w:rsidR="008D2548" w:rsidRDefault="008D2548"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7139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61C06"/>
    <w:rsid w:val="000916A2"/>
    <w:rsid w:val="001A28AD"/>
    <w:rsid w:val="001B31FA"/>
    <w:rsid w:val="001C7535"/>
    <w:rsid w:val="001D2332"/>
    <w:rsid w:val="001D6EA7"/>
    <w:rsid w:val="001E29B1"/>
    <w:rsid w:val="001F6B38"/>
    <w:rsid w:val="00206AF8"/>
    <w:rsid w:val="0022609C"/>
    <w:rsid w:val="002910AB"/>
    <w:rsid w:val="0032185C"/>
    <w:rsid w:val="00345CA4"/>
    <w:rsid w:val="003554E1"/>
    <w:rsid w:val="003B20DD"/>
    <w:rsid w:val="003D59C1"/>
    <w:rsid w:val="003F32F4"/>
    <w:rsid w:val="004146AA"/>
    <w:rsid w:val="00447F3D"/>
    <w:rsid w:val="004B45DE"/>
    <w:rsid w:val="004E234E"/>
    <w:rsid w:val="004F064C"/>
    <w:rsid w:val="004F0CB3"/>
    <w:rsid w:val="005D27A3"/>
    <w:rsid w:val="00616497"/>
    <w:rsid w:val="006423E4"/>
    <w:rsid w:val="006721AA"/>
    <w:rsid w:val="00677AF0"/>
    <w:rsid w:val="006B204F"/>
    <w:rsid w:val="006E1602"/>
    <w:rsid w:val="00790195"/>
    <w:rsid w:val="007D2187"/>
    <w:rsid w:val="0082540E"/>
    <w:rsid w:val="0083138B"/>
    <w:rsid w:val="008C2FF7"/>
    <w:rsid w:val="008D2548"/>
    <w:rsid w:val="00996E1C"/>
    <w:rsid w:val="00997EC4"/>
    <w:rsid w:val="009D7040"/>
    <w:rsid w:val="00D824D9"/>
    <w:rsid w:val="00D838AF"/>
    <w:rsid w:val="00DA1698"/>
    <w:rsid w:val="00E10103"/>
    <w:rsid w:val="00E47DAC"/>
    <w:rsid w:val="00E80F2E"/>
    <w:rsid w:val="00E93057"/>
    <w:rsid w:val="00F84602"/>
    <w:rsid w:val="00FC5ED4"/>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1664</Words>
  <Characters>9487</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Victor E. Vélez Cucuta</cp:lastModifiedBy>
  <cp:revision>2</cp:revision>
  <cp:lastPrinted>2025-02-10T18:55:00Z</cp:lastPrinted>
  <dcterms:created xsi:type="dcterms:W3CDTF">2025-04-23T18:41:00Z</dcterms:created>
  <dcterms:modified xsi:type="dcterms:W3CDTF">2025-04-23T18:41:00Z</dcterms:modified>
</cp:coreProperties>
</file>